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68" w:rsidRPr="001B0DD1" w:rsidRDefault="001C4468" w:rsidP="00FF0C62">
      <w:pPr>
        <w:shd w:val="clear" w:color="auto" w:fill="FFFFFF"/>
        <w:tabs>
          <w:tab w:val="left" w:pos="540"/>
        </w:tabs>
        <w:spacing w:before="120" w:after="0" w:line="240" w:lineRule="auto"/>
        <w:jc w:val="center"/>
        <w:rPr>
          <w:rFonts w:ascii="Arial" w:hAnsi="Arial" w:cs="Arial"/>
          <w:b/>
          <w:sz w:val="36"/>
          <w:szCs w:val="36"/>
          <w:lang w:val="nl-NL"/>
        </w:rPr>
      </w:pPr>
      <w:r w:rsidRPr="001B0DD1">
        <w:rPr>
          <w:rFonts w:ascii="Arial" w:hAnsi="Arial" w:cs="Arial"/>
          <w:b/>
          <w:sz w:val="36"/>
          <w:szCs w:val="36"/>
          <w:lang w:val="nl-NL"/>
        </w:rPr>
        <w:t>BÁO CÁO CỦA CÔNG TY QUẢN LÝ QUỸ</w:t>
      </w:r>
    </w:p>
    <w:p w:rsidR="00C17D8E" w:rsidRPr="0018050F" w:rsidRDefault="00C17D8E" w:rsidP="00FF0C62">
      <w:pPr>
        <w:shd w:val="clear" w:color="auto" w:fill="FFFFFF"/>
        <w:tabs>
          <w:tab w:val="left" w:pos="540"/>
        </w:tabs>
        <w:spacing w:before="120" w:after="0" w:line="240" w:lineRule="auto"/>
        <w:jc w:val="center"/>
        <w:rPr>
          <w:rFonts w:ascii="Arial" w:hAnsi="Arial" w:cs="Arial"/>
          <w:b/>
          <w:sz w:val="20"/>
          <w:szCs w:val="26"/>
          <w:lang w:val="nl-NL"/>
        </w:rPr>
      </w:pPr>
      <w:r w:rsidRPr="0018050F">
        <w:rPr>
          <w:rFonts w:ascii="Arial" w:hAnsi="Arial" w:cs="Arial"/>
          <w:b/>
          <w:sz w:val="20"/>
          <w:szCs w:val="26"/>
          <w:lang w:val="nl-NL"/>
        </w:rPr>
        <w:t>(</w:t>
      </w:r>
      <w:r w:rsidRPr="001B0DD1">
        <w:rPr>
          <w:rFonts w:ascii="Arial" w:hAnsi="Arial" w:cs="Arial"/>
          <w:b/>
          <w:i/>
          <w:sz w:val="20"/>
          <w:szCs w:val="26"/>
          <w:lang w:val="nl-NL"/>
        </w:rPr>
        <w:t>Ban hành kèm theo Thông tư số 181/2015/TT-BTC ngày 13 tháng 11 năm 2015 của Bộ Tài chính)</w:t>
      </w:r>
    </w:p>
    <w:p w:rsidR="00C17D8E" w:rsidRPr="001B0DD1" w:rsidRDefault="00C17D8E" w:rsidP="00FF0C62">
      <w:pPr>
        <w:shd w:val="clear" w:color="auto" w:fill="FFFFFF"/>
        <w:tabs>
          <w:tab w:val="left" w:pos="540"/>
        </w:tabs>
        <w:spacing w:before="120" w:after="0" w:line="240" w:lineRule="auto"/>
        <w:jc w:val="center"/>
        <w:rPr>
          <w:rFonts w:ascii="Arial" w:hAnsi="Arial" w:cs="Arial"/>
          <w:b/>
          <w:sz w:val="24"/>
          <w:szCs w:val="24"/>
          <w:lang w:val="nl-NL"/>
        </w:rPr>
      </w:pPr>
      <w:r w:rsidRPr="001B0DD1">
        <w:rPr>
          <w:rFonts w:ascii="Arial" w:hAnsi="Arial" w:cs="Arial"/>
          <w:b/>
          <w:sz w:val="24"/>
          <w:szCs w:val="24"/>
          <w:lang w:val="nl-NL"/>
        </w:rPr>
        <w:t>BÁO CÁO CỦA CÔNG TY TNHH MTV QUẢN LÝ QUỸ CHUBB LIFE</w:t>
      </w:r>
    </w:p>
    <w:p w:rsidR="00C17D8E" w:rsidRPr="001B0DD1" w:rsidRDefault="00C17D8E" w:rsidP="00FF0C62">
      <w:pPr>
        <w:shd w:val="clear" w:color="auto" w:fill="FFFFFF"/>
        <w:tabs>
          <w:tab w:val="left" w:pos="540"/>
        </w:tabs>
        <w:spacing w:before="120" w:after="240" w:line="240" w:lineRule="auto"/>
        <w:jc w:val="center"/>
        <w:rPr>
          <w:rFonts w:ascii="Arial" w:hAnsi="Arial" w:cs="Arial"/>
          <w:b/>
          <w:i/>
          <w:sz w:val="20"/>
          <w:szCs w:val="26"/>
          <w:lang w:val="nl-NL"/>
        </w:rPr>
      </w:pPr>
      <w:r w:rsidRPr="001B0DD1">
        <w:rPr>
          <w:rFonts w:ascii="Arial" w:hAnsi="Arial" w:cs="Arial"/>
          <w:b/>
          <w:i/>
          <w:sz w:val="20"/>
          <w:szCs w:val="26"/>
          <w:lang w:val="nl-NL"/>
        </w:rPr>
        <w:t>(Quý 2/2019)</w:t>
      </w:r>
    </w:p>
    <w:p w:rsidR="00C17D8E" w:rsidRPr="001264C4" w:rsidRDefault="00C17D8E" w:rsidP="00B3750F">
      <w:pPr>
        <w:shd w:val="clear" w:color="auto" w:fill="FFFFFF"/>
        <w:tabs>
          <w:tab w:val="left" w:pos="540"/>
        </w:tabs>
        <w:spacing w:before="120" w:after="0" w:line="240" w:lineRule="auto"/>
        <w:jc w:val="both"/>
        <w:rPr>
          <w:rFonts w:ascii="Arial" w:hAnsi="Arial" w:cs="Arial"/>
          <w:b/>
          <w:sz w:val="20"/>
          <w:szCs w:val="26"/>
          <w:lang w:val="nl-NL"/>
        </w:rPr>
      </w:pPr>
    </w:p>
    <w:p w:rsidR="001C4468" w:rsidRPr="00F2683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F2683A">
        <w:rPr>
          <w:rFonts w:ascii="Times New Roman" w:hAnsi="Times New Roman"/>
          <w:b/>
          <w:sz w:val="24"/>
          <w:szCs w:val="24"/>
          <w:lang w:val="nl-NL"/>
        </w:rPr>
        <w:t>T</w:t>
      </w:r>
      <w:r w:rsidR="00D86A2D">
        <w:rPr>
          <w:rFonts w:ascii="Times New Roman" w:hAnsi="Times New Roman"/>
          <w:b/>
          <w:sz w:val="24"/>
          <w:szCs w:val="24"/>
          <w:lang w:val="nl-NL"/>
        </w:rPr>
        <w:t>HÔNG TIN CHUNG VỀ QUỸ</w:t>
      </w:r>
    </w:p>
    <w:p w:rsidR="00C17D8E" w:rsidRPr="003E47A2"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3E47A2">
        <w:rPr>
          <w:rFonts w:ascii="Times New Roman" w:eastAsia="Times New Roman" w:hAnsi="Times New Roman"/>
          <w:bCs/>
          <w:color w:val="000000"/>
          <w:sz w:val="24"/>
          <w:szCs w:val="24"/>
          <w:lang w:val="nl-NL" w:eastAsia="en-SG"/>
        </w:rPr>
        <w:t>Tên quỹ: Quỹ Đầu tư Trái phiếu Mở rộng Chubb</w:t>
      </w:r>
    </w:p>
    <w:p w:rsidR="00C17D8E" w:rsidRPr="00F2683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3E47A2">
        <w:rPr>
          <w:rFonts w:ascii="Times New Roman" w:eastAsia="Times New Roman" w:hAnsi="Times New Roman"/>
          <w:bCs/>
          <w:color w:val="000000"/>
          <w:sz w:val="24"/>
          <w:szCs w:val="24"/>
          <w:lang w:val="nl-NL" w:eastAsia="en-SG"/>
        </w:rPr>
        <w:t xml:space="preserve"> </w:t>
      </w:r>
      <w:r w:rsidR="00C17D8E" w:rsidRPr="003E47A2">
        <w:rPr>
          <w:rFonts w:ascii="Times New Roman" w:eastAsia="Times New Roman" w:hAnsi="Times New Roman"/>
          <w:bCs/>
          <w:color w:val="000000"/>
          <w:sz w:val="24"/>
          <w:szCs w:val="24"/>
          <w:lang w:val="nl-NL" w:eastAsia="en-SG"/>
        </w:rPr>
        <w:t>Loại hình quỹ: Quỹ mở</w:t>
      </w:r>
    </w:p>
    <w:p w:rsidR="001C4468" w:rsidRPr="00D86A2D"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D86A2D">
        <w:rPr>
          <w:rFonts w:ascii="Times New Roman" w:hAnsi="Times New Roman"/>
          <w:b/>
          <w:sz w:val="24"/>
          <w:szCs w:val="24"/>
          <w:lang w:val="nl-NL"/>
        </w:rPr>
        <w:t>Mục tiêu của Quỹ:</w:t>
      </w:r>
    </w:p>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Pr="00F2683A">
        <w:rPr>
          <w:rFonts w:ascii="Times New Roman" w:hAnsi="Times New Roman"/>
          <w:sz w:val="24"/>
          <w:szCs w:val="24"/>
          <w:lang w:val="nl-NL"/>
        </w:rPr>
        <w:t xml:space="preserve"> </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Hiệu quả hoạt động của Quỹ:</w:t>
      </w:r>
    </w:p>
    <w:tbl>
      <w:tblPr>
        <w:tblW w:w="7830" w:type="dxa"/>
        <w:jc w:val="center"/>
        <w:tblLook w:val="04A0" w:firstRow="1" w:lastRow="0" w:firstColumn="1" w:lastColumn="0" w:noHBand="0" w:noVBand="1"/>
      </w:tblPr>
      <w:tblGrid>
        <w:gridCol w:w="3780"/>
        <w:gridCol w:w="4050"/>
      </w:tblGrid>
      <w:tr w:rsidR="00C17D8E" w:rsidRPr="00F2683A" w:rsidTr="00D86A2D">
        <w:trPr>
          <w:trHeight w:val="545"/>
          <w:jc w:val="center"/>
        </w:trPr>
        <w:tc>
          <w:tcPr>
            <w:tcW w:w="37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17D8E" w:rsidRPr="00045DF3" w:rsidRDefault="00C17D8E" w:rsidP="00DD002F">
            <w:pPr>
              <w:spacing w:after="0" w:line="240" w:lineRule="auto"/>
              <w:jc w:val="center"/>
              <w:rPr>
                <w:rFonts w:ascii="Times New Roman" w:eastAsia="Times New Roman" w:hAnsi="Times New Roman"/>
                <w:bCs/>
                <w:color w:val="000000"/>
                <w:sz w:val="24"/>
                <w:szCs w:val="24"/>
                <w:lang w:val="nl-NL" w:eastAsia="en-SG"/>
              </w:rPr>
            </w:pPr>
            <w:r w:rsidRPr="00045DF3">
              <w:rPr>
                <w:rFonts w:ascii="Times New Roman" w:eastAsia="Times New Roman" w:hAnsi="Times New Roman"/>
                <w:bCs/>
                <w:color w:val="000000"/>
                <w:sz w:val="24"/>
                <w:szCs w:val="24"/>
                <w:lang w:val="nl-NL" w:eastAsia="en-SG"/>
              </w:rPr>
              <w:t>NAV lúc thành lập</w:t>
            </w:r>
            <w:r w:rsidR="00045DF3" w:rsidRPr="00045DF3">
              <w:rPr>
                <w:rFonts w:ascii="Times New Roman" w:eastAsia="Times New Roman" w:hAnsi="Times New Roman"/>
                <w:bCs/>
                <w:color w:val="000000"/>
                <w:sz w:val="24"/>
                <w:szCs w:val="24"/>
                <w:lang w:val="nl-NL" w:eastAsia="en-SG"/>
              </w:rPr>
              <w:t xml:space="preserve"> (</w:t>
            </w:r>
            <w:r w:rsidR="00045DF3">
              <w:rPr>
                <w:rFonts w:ascii="Times New Roman" w:eastAsia="Times New Roman" w:hAnsi="Times New Roman"/>
                <w:bCs/>
                <w:color w:val="000000"/>
                <w:sz w:val="24"/>
                <w:szCs w:val="24"/>
                <w:lang w:val="nl-NL" w:eastAsia="en-SG"/>
              </w:rPr>
              <w:t>VNĐ)</w:t>
            </w:r>
          </w:p>
        </w:tc>
        <w:tc>
          <w:tcPr>
            <w:tcW w:w="4050" w:type="dxa"/>
            <w:tcBorders>
              <w:top w:val="single" w:sz="4" w:space="0" w:color="auto"/>
              <w:left w:val="nil"/>
              <w:bottom w:val="single" w:sz="4" w:space="0" w:color="auto"/>
              <w:right w:val="single" w:sz="4" w:space="0" w:color="auto"/>
            </w:tcBorders>
            <w:shd w:val="clear" w:color="000000" w:fill="DCE6F1"/>
            <w:vAlign w:val="center"/>
            <w:hideMark/>
          </w:tcPr>
          <w:p w:rsidR="00C17D8E" w:rsidRPr="00045DF3" w:rsidRDefault="00C17D8E" w:rsidP="00DD002F">
            <w:pPr>
              <w:spacing w:after="0" w:line="240" w:lineRule="auto"/>
              <w:jc w:val="center"/>
              <w:rPr>
                <w:rFonts w:ascii="Times New Roman" w:eastAsia="Times New Roman" w:hAnsi="Times New Roman"/>
                <w:bCs/>
                <w:color w:val="000000"/>
                <w:sz w:val="24"/>
                <w:szCs w:val="24"/>
                <w:lang w:val="en-SG" w:eastAsia="en-SG"/>
              </w:rPr>
            </w:pPr>
            <w:r w:rsidRPr="00045DF3">
              <w:rPr>
                <w:rFonts w:ascii="Times New Roman" w:eastAsia="Times New Roman" w:hAnsi="Times New Roman"/>
                <w:bCs/>
                <w:color w:val="000000"/>
                <w:sz w:val="24"/>
                <w:szCs w:val="24"/>
                <w:lang w:val="en-SG" w:eastAsia="en-SG"/>
              </w:rPr>
              <w:t>NAV ngày 30/06/2019</w:t>
            </w:r>
            <w:r w:rsidR="00045DF3">
              <w:rPr>
                <w:rFonts w:ascii="Times New Roman" w:eastAsia="Times New Roman" w:hAnsi="Times New Roman"/>
                <w:bCs/>
                <w:color w:val="000000"/>
                <w:sz w:val="24"/>
                <w:szCs w:val="24"/>
                <w:lang w:val="en-SG" w:eastAsia="en-SG"/>
              </w:rPr>
              <w:t xml:space="preserve"> (VNĐ)</w:t>
            </w:r>
          </w:p>
        </w:tc>
      </w:tr>
      <w:tr w:rsidR="00C17D8E" w:rsidRPr="00F2683A" w:rsidTr="00D86A2D">
        <w:trPr>
          <w:trHeight w:val="545"/>
          <w:jc w:val="center"/>
        </w:trPr>
        <w:tc>
          <w:tcPr>
            <w:tcW w:w="3780" w:type="dxa"/>
            <w:tcBorders>
              <w:top w:val="nil"/>
              <w:left w:val="single" w:sz="4" w:space="0" w:color="auto"/>
              <w:bottom w:val="single" w:sz="4" w:space="0" w:color="auto"/>
              <w:right w:val="single" w:sz="4" w:space="0" w:color="auto"/>
            </w:tcBorders>
            <w:shd w:val="clear" w:color="000000" w:fill="DCE6F1"/>
            <w:noWrap/>
            <w:vAlign w:val="center"/>
            <w:hideMark/>
          </w:tcPr>
          <w:p w:rsidR="00C17D8E" w:rsidRPr="00045DF3" w:rsidRDefault="00C17D8E" w:rsidP="00DD002F">
            <w:pPr>
              <w:spacing w:after="0" w:line="240" w:lineRule="auto"/>
              <w:jc w:val="center"/>
              <w:rPr>
                <w:rFonts w:ascii="Times New Roman" w:eastAsia="Times New Roman" w:hAnsi="Times New Roman"/>
                <w:color w:val="000000"/>
                <w:sz w:val="24"/>
                <w:szCs w:val="24"/>
                <w:lang w:val="en-SG" w:eastAsia="en-SG"/>
              </w:rPr>
            </w:pPr>
            <w:r w:rsidRPr="00045DF3">
              <w:rPr>
                <w:rFonts w:ascii="Times New Roman" w:eastAsia="Times New Roman" w:hAnsi="Times New Roman"/>
                <w:color w:val="000000"/>
                <w:sz w:val="24"/>
                <w:szCs w:val="24"/>
                <w:lang w:val="en-SG" w:eastAsia="en-SG"/>
              </w:rPr>
              <w:t>60</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934</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000</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000</w:t>
            </w:r>
          </w:p>
        </w:tc>
        <w:tc>
          <w:tcPr>
            <w:tcW w:w="4050" w:type="dxa"/>
            <w:tcBorders>
              <w:top w:val="nil"/>
              <w:left w:val="nil"/>
              <w:bottom w:val="single" w:sz="4" w:space="0" w:color="auto"/>
              <w:right w:val="single" w:sz="4" w:space="0" w:color="auto"/>
            </w:tcBorders>
            <w:shd w:val="clear" w:color="000000" w:fill="DCE6F1"/>
            <w:noWrap/>
            <w:vAlign w:val="center"/>
            <w:hideMark/>
          </w:tcPr>
          <w:p w:rsidR="00C17D8E" w:rsidRPr="00045DF3" w:rsidRDefault="00C17D8E" w:rsidP="00DD002F">
            <w:pPr>
              <w:spacing w:after="0" w:line="240" w:lineRule="auto"/>
              <w:jc w:val="center"/>
              <w:rPr>
                <w:rFonts w:ascii="Times New Roman" w:eastAsia="Times New Roman" w:hAnsi="Times New Roman"/>
                <w:color w:val="000000"/>
                <w:sz w:val="24"/>
                <w:szCs w:val="24"/>
                <w:lang w:val="en-SG" w:eastAsia="en-SG"/>
              </w:rPr>
            </w:pPr>
            <w:r w:rsidRPr="00045DF3">
              <w:rPr>
                <w:rFonts w:ascii="Times New Roman" w:eastAsia="Times New Roman" w:hAnsi="Times New Roman"/>
                <w:color w:val="000000"/>
                <w:sz w:val="24"/>
                <w:szCs w:val="24"/>
                <w:lang w:val="en-SG" w:eastAsia="en-SG"/>
              </w:rPr>
              <w:t>101</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063</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414</w:t>
            </w:r>
            <w:r w:rsidR="00CC754B" w:rsidRPr="00045DF3">
              <w:rPr>
                <w:rFonts w:ascii="Times New Roman" w:eastAsia="Times New Roman" w:hAnsi="Times New Roman"/>
                <w:color w:val="000000"/>
                <w:sz w:val="24"/>
                <w:szCs w:val="24"/>
                <w:lang w:val="en-SG" w:eastAsia="en-SG"/>
              </w:rPr>
              <w:t>.</w:t>
            </w:r>
            <w:r w:rsidRPr="00045DF3">
              <w:rPr>
                <w:rFonts w:ascii="Times New Roman" w:eastAsia="Times New Roman" w:hAnsi="Times New Roman"/>
                <w:color w:val="000000"/>
                <w:sz w:val="24"/>
                <w:szCs w:val="24"/>
                <w:lang w:val="en-SG" w:eastAsia="en-SG"/>
              </w:rPr>
              <w:t>836</w:t>
            </w:r>
          </w:p>
        </w:tc>
      </w:tr>
    </w:tbl>
    <w:p w:rsidR="00C17D8E" w:rsidRPr="00F2683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Tính đến kỳ báo cáo, giá trị tài sản ròng (NAV) của Quỹ tăng 65</w:t>
      </w:r>
      <w:r w:rsidR="00430277" w:rsidRPr="00045DF3">
        <w:rPr>
          <w:rFonts w:ascii="Times New Roman" w:hAnsi="Times New Roman"/>
          <w:sz w:val="24"/>
          <w:szCs w:val="24"/>
          <w:lang w:val="nl-NL"/>
        </w:rPr>
        <w:t>,</w:t>
      </w:r>
      <w:r w:rsidRPr="00045DF3">
        <w:rPr>
          <w:rFonts w:ascii="Times New Roman" w:hAnsi="Times New Roman"/>
          <w:sz w:val="24"/>
          <w:szCs w:val="24"/>
          <w:lang w:val="nl-NL"/>
        </w:rPr>
        <w:t>86% so với giá trị tài sản ròng (NAV) của Quỹ lúc thành lập.</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và chiến lược đầu tư của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của tổ chức phát hành hoạt động theo Pháp luật, trái phiếu chuẩn bị niêm yết (trong vòng mười hai (12) tháng kể từ Ngày Giao dịch), chuẩn bị đăng ký giao dịch phát hành bởi các tổ chức phát hành hoạt động theo Pháp luật, trái phiếu doanh nghiệp phát hành bởi tổ chức niêm yết có bảo lãnh thanh toán của tổ chức tín dụng có uy tín hoặc có cam kết mua lại của tổ chức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 </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Phân loại Quỹ:</w:t>
      </w:r>
    </w:p>
    <w:p w:rsidR="00C17D8E" w:rsidRPr="00045DF3"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Quỹ được thành lập tại Việt Nam dưới hình thức Quỹ mở theo Giấy chứng nhận chào bán chứng chỉ quỹ đầu tư chứng khoán ra công chúng số 58/GCN-UBCK do Ủy ban Chứng khoán Nhà nước cấp </w:t>
      </w:r>
      <w:r w:rsidRPr="00045DF3">
        <w:rPr>
          <w:rFonts w:ascii="Times New Roman" w:hAnsi="Times New Roman"/>
          <w:sz w:val="24"/>
          <w:szCs w:val="24"/>
          <w:lang w:val="nl-NL"/>
        </w:rPr>
        <w:lastRenderedPageBreak/>
        <w:t>ngày 24 tháng 10 năm 2018 và Giấy chứng nhận thành lập Quỹ mở số 35/GCN-UBCK do Ủy ban Chứng khoán Nhà nước cấp ngày 03 tháng 04 năm 2019.</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gian khuyến cáo đầu tư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không bị giới hạn về thời hạn hoạt động.</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Mức độ rủi ro ngắn hạn (thấp, trung bình, cao):</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có mức độ rủi ro ngắn hạn t</w:t>
      </w:r>
      <w:r w:rsidR="00D506DC">
        <w:rPr>
          <w:rFonts w:ascii="Times New Roman" w:hAnsi="Times New Roman"/>
          <w:sz w:val="24"/>
          <w:szCs w:val="24"/>
          <w:lang w:val="nl-NL"/>
        </w:rPr>
        <w:t>hấp</w:t>
      </w:r>
      <w:r w:rsidRPr="00045DF3">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Thời điểm bắt đầu hoạt động của Quỹ:</w:t>
      </w:r>
    </w:p>
    <w:p w:rsidR="004D4AB0" w:rsidRPr="00045DF3"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045DF3">
        <w:rPr>
          <w:rFonts w:ascii="Times New Roman" w:hAnsi="Times New Roman"/>
          <w:sz w:val="24"/>
          <w:szCs w:val="24"/>
          <w:lang w:val="nl-NL"/>
        </w:rPr>
        <w:t>Quỹ bắt đầu hoạt động từ ngày 03/04/2019.</w:t>
      </w:r>
    </w:p>
    <w:p w:rsidR="001C4468" w:rsidRPr="00F2683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F2683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F2683A"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100</w:t>
            </w:r>
            <w:r w:rsidR="00CC754B" w:rsidRPr="00045DF3">
              <w:rPr>
                <w:rFonts w:ascii="Times New Roman" w:hAnsi="Times New Roman"/>
                <w:sz w:val="24"/>
                <w:szCs w:val="24"/>
                <w:lang w:val="nl-NL"/>
              </w:rPr>
              <w:t>.</w:t>
            </w:r>
            <w:r w:rsidRPr="00045DF3">
              <w:rPr>
                <w:rFonts w:ascii="Times New Roman" w:hAnsi="Times New Roman"/>
                <w:sz w:val="24"/>
                <w:szCs w:val="24"/>
                <w:lang w:val="nl-NL"/>
              </w:rPr>
              <w:t>510</w:t>
            </w:r>
            <w:r w:rsidR="00CC754B" w:rsidRPr="00045DF3">
              <w:rPr>
                <w:rFonts w:ascii="Times New Roman" w:hAnsi="Times New Roman"/>
                <w:sz w:val="24"/>
                <w:szCs w:val="24"/>
                <w:lang w:val="nl-NL"/>
              </w:rPr>
              <w:t>.</w:t>
            </w:r>
            <w:r w:rsidRPr="00045DF3">
              <w:rPr>
                <w:rFonts w:ascii="Times New Roman" w:hAnsi="Times New Roman"/>
                <w:sz w:val="24"/>
                <w:szCs w:val="24"/>
                <w:lang w:val="nl-NL"/>
              </w:rPr>
              <w:t>889</w:t>
            </w:r>
            <w:r w:rsidR="00CC754B" w:rsidRPr="00045DF3">
              <w:rPr>
                <w:rFonts w:ascii="Times New Roman" w:hAnsi="Times New Roman"/>
                <w:sz w:val="24"/>
                <w:szCs w:val="24"/>
                <w:lang w:val="nl-NL"/>
              </w:rPr>
              <w:t>.</w:t>
            </w:r>
            <w:r w:rsidRPr="00045DF3">
              <w:rPr>
                <w:rFonts w:ascii="Times New Roman" w:hAnsi="Times New Roman"/>
                <w:sz w:val="24"/>
                <w:szCs w:val="24"/>
                <w:lang w:val="nl-NL"/>
              </w:rPr>
              <w:t>300</w:t>
            </w:r>
          </w:p>
        </w:tc>
      </w:tr>
      <w:tr w:rsidR="009C5C88" w:rsidRPr="00F2683A"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rsidR="009C5C88" w:rsidRPr="00045DF3" w:rsidRDefault="009C5C88" w:rsidP="00B3750F">
            <w:pPr>
              <w:spacing w:after="0" w:line="240" w:lineRule="auto"/>
              <w:jc w:val="both"/>
              <w:rPr>
                <w:rFonts w:ascii="Times New Roman" w:hAnsi="Times New Roman"/>
                <w:sz w:val="24"/>
                <w:szCs w:val="24"/>
                <w:lang w:val="nl-NL"/>
              </w:rPr>
            </w:pPr>
            <w:r w:rsidRPr="00045DF3">
              <w:rPr>
                <w:rFonts w:ascii="Times New Roman" w:hAnsi="Times New Roman"/>
                <w:sz w:val="24"/>
                <w:szCs w:val="24"/>
                <w:lang w:val="nl-NL"/>
              </w:rPr>
              <w:t xml:space="preserve">             10</w:t>
            </w:r>
            <w:r w:rsidR="00CC754B" w:rsidRPr="00045DF3">
              <w:rPr>
                <w:rFonts w:ascii="Times New Roman" w:hAnsi="Times New Roman"/>
                <w:sz w:val="24"/>
                <w:szCs w:val="24"/>
                <w:lang w:val="nl-NL"/>
              </w:rPr>
              <w:t>.</w:t>
            </w:r>
            <w:r w:rsidRPr="00045DF3">
              <w:rPr>
                <w:rFonts w:ascii="Times New Roman" w:hAnsi="Times New Roman"/>
                <w:sz w:val="24"/>
                <w:szCs w:val="24"/>
                <w:lang w:val="nl-NL"/>
              </w:rPr>
              <w:t>051</w:t>
            </w:r>
            <w:r w:rsidR="00CC754B" w:rsidRPr="00045DF3">
              <w:rPr>
                <w:rFonts w:ascii="Times New Roman" w:hAnsi="Times New Roman"/>
                <w:sz w:val="24"/>
                <w:szCs w:val="24"/>
                <w:lang w:val="nl-NL"/>
              </w:rPr>
              <w:t>.</w:t>
            </w:r>
            <w:r w:rsidRPr="00045DF3">
              <w:rPr>
                <w:rFonts w:ascii="Times New Roman" w:hAnsi="Times New Roman"/>
                <w:sz w:val="24"/>
                <w:szCs w:val="24"/>
                <w:lang w:val="nl-NL"/>
              </w:rPr>
              <w:t>088</w:t>
            </w:r>
            <w:r w:rsidR="00CC754B" w:rsidRPr="00045DF3">
              <w:rPr>
                <w:rFonts w:ascii="Times New Roman" w:hAnsi="Times New Roman"/>
                <w:sz w:val="24"/>
                <w:szCs w:val="24"/>
                <w:lang w:val="nl-NL"/>
              </w:rPr>
              <w:t>,</w:t>
            </w:r>
            <w:r w:rsidRPr="00045DF3">
              <w:rPr>
                <w:rFonts w:ascii="Times New Roman" w:hAnsi="Times New Roman"/>
                <w:sz w:val="24"/>
                <w:szCs w:val="24"/>
                <w:lang w:val="nl-NL"/>
              </w:rPr>
              <w:t xml:space="preserve">93 </w:t>
            </w:r>
          </w:p>
        </w:tc>
      </w:tr>
    </w:tbl>
    <w:p w:rsidR="004D4AB0" w:rsidRPr="00F2683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 xml:space="preserve">Tại ngày 30 tháng 06 năm 2019, số lượng Chứng chỉ quỹ (“CCQ”) đang lưu hành của Quỹ là </w:t>
      </w:r>
      <w:r w:rsidR="009C5C88" w:rsidRPr="00685F5A">
        <w:rPr>
          <w:rFonts w:ascii="Times New Roman" w:hAnsi="Times New Roman"/>
          <w:sz w:val="24"/>
          <w:szCs w:val="24"/>
          <w:lang w:val="nl-NL"/>
        </w:rPr>
        <w:t>10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051</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088</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93</w:t>
      </w:r>
      <w:r w:rsidRPr="00685F5A">
        <w:rPr>
          <w:rFonts w:ascii="Times New Roman" w:hAnsi="Times New Roman"/>
          <w:sz w:val="24"/>
          <w:szCs w:val="24"/>
          <w:lang w:val="nl-NL"/>
        </w:rPr>
        <w:t xml:space="preserve"> CCQ, tương đương với quy mô vốn của Quỹ theo mệnh giá là </w:t>
      </w:r>
      <w:r w:rsidR="009C5C88" w:rsidRPr="00685F5A">
        <w:rPr>
          <w:rFonts w:ascii="Times New Roman" w:hAnsi="Times New Roman"/>
          <w:sz w:val="24"/>
          <w:szCs w:val="24"/>
          <w:lang w:val="nl-NL"/>
        </w:rPr>
        <w:t>100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510</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889</w:t>
      </w:r>
      <w:r w:rsidR="00CC754B" w:rsidRPr="00685F5A">
        <w:rPr>
          <w:rFonts w:ascii="Times New Roman" w:hAnsi="Times New Roman"/>
          <w:sz w:val="24"/>
          <w:szCs w:val="24"/>
          <w:lang w:val="nl-NL"/>
        </w:rPr>
        <w:t>.</w:t>
      </w:r>
      <w:r w:rsidR="009C5C88" w:rsidRPr="00685F5A">
        <w:rPr>
          <w:rFonts w:ascii="Times New Roman" w:hAnsi="Times New Roman"/>
          <w:sz w:val="24"/>
          <w:szCs w:val="24"/>
          <w:lang w:val="nl-NL"/>
        </w:rPr>
        <w:t>300</w:t>
      </w:r>
      <w:r w:rsidRPr="00685F5A">
        <w:rPr>
          <w:rFonts w:ascii="Times New Roman" w:hAnsi="Times New Roman"/>
          <w:sz w:val="24"/>
          <w:szCs w:val="24"/>
          <w:lang w:val="nl-NL"/>
        </w:rPr>
        <w:t xml:space="preserve"> VN</w:t>
      </w:r>
      <w:r w:rsidR="00CC754B" w:rsidRPr="00685F5A">
        <w:rPr>
          <w:rFonts w:ascii="Times New Roman" w:hAnsi="Times New Roman"/>
          <w:sz w:val="24"/>
          <w:szCs w:val="24"/>
          <w:lang w:val="nl-NL"/>
        </w:rPr>
        <w:t>Đ</w:t>
      </w:r>
      <w:r w:rsidR="009C5C88"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Chỉ số tham chiếu của Quỹ:</w:t>
      </w:r>
    </w:p>
    <w:p w:rsidR="000E3955" w:rsidRPr="00685F5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C</w:t>
      </w:r>
      <w:r w:rsidRPr="000769A6">
        <w:rPr>
          <w:rFonts w:ascii="Times New Roman" w:hAnsi="Times New Roman"/>
          <w:sz w:val="24"/>
          <w:szCs w:val="24"/>
          <w:lang w:val="nl-NL"/>
        </w:rPr>
        <w:t>hỉ số Trái phiếu Chính phủ năm (05) năm của HNX</w:t>
      </w:r>
      <w:r w:rsidR="000E3955" w:rsidRPr="00685F5A">
        <w:rPr>
          <w:rFonts w:ascii="Times New Roman" w:hAnsi="Times New Roman"/>
          <w:sz w:val="24"/>
          <w:szCs w:val="24"/>
          <w:lang w:val="nl-NL"/>
        </w:rPr>
        <w:t>.</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Chính sách phân phối lợi nhuận của Quỹ:</w:t>
      </w:r>
    </w:p>
    <w:p w:rsidR="00287AF8" w:rsidRPr="00685F5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rsidR="001C4468" w:rsidRPr="00F2683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F2683A">
        <w:rPr>
          <w:rFonts w:ascii="Times New Roman" w:hAnsi="Times New Roman"/>
          <w:b/>
          <w:sz w:val="24"/>
          <w:szCs w:val="24"/>
          <w:lang w:val="nl-NL"/>
        </w:rPr>
        <w:t>Lợi nhuận thuần thực tế phân phối trên một đơn vị Chứng chỉ quỹ Quỹ</w:t>
      </w:r>
      <w:r w:rsidRPr="00F2683A">
        <w:rPr>
          <w:rFonts w:ascii="Times New Roman" w:hAnsi="Times New Roman"/>
          <w:sz w:val="24"/>
          <w:szCs w:val="24"/>
          <w:lang w:val="nl-NL"/>
        </w:rPr>
        <w:t>:</w:t>
      </w:r>
    </w:p>
    <w:p w:rsidR="00C272AB"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685F5A">
        <w:rPr>
          <w:rFonts w:ascii="Times New Roman" w:hAnsi="Times New Roman"/>
          <w:sz w:val="24"/>
          <w:szCs w:val="24"/>
          <w:lang w:val="nl-NL"/>
        </w:rPr>
        <w:t>Tại ngày 30 tháng 6 năm 2019, lợi nhuận thuần thực tế phân phối trên một đơn vị CCQ là 0 VNĐ</w:t>
      </w:r>
      <w:r w:rsidR="00685F5A">
        <w:rPr>
          <w:rFonts w:ascii="Times New Roman" w:hAnsi="Times New Roman"/>
          <w:sz w:val="24"/>
          <w:szCs w:val="24"/>
          <w:lang w:val="nl-NL"/>
        </w:rPr>
        <w:t>.</w:t>
      </w:r>
    </w:p>
    <w:p w:rsidR="00685F5A" w:rsidRPr="00685F5A" w:rsidRDefault="00685F5A"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685F5A">
        <w:rPr>
          <w:rFonts w:ascii="Times New Roman" w:hAnsi="Times New Roman"/>
          <w:b/>
          <w:sz w:val="24"/>
          <w:szCs w:val="24"/>
          <w:lang w:val="nl-NL"/>
        </w:rPr>
        <w:t xml:space="preserve">II. </w:t>
      </w:r>
      <w:r w:rsidR="00685F5A">
        <w:rPr>
          <w:rFonts w:ascii="Times New Roman" w:hAnsi="Times New Roman"/>
          <w:b/>
          <w:sz w:val="24"/>
          <w:szCs w:val="24"/>
          <w:lang w:val="nl-NL"/>
        </w:rPr>
        <w:tab/>
      </w:r>
      <w:r w:rsidRPr="00685F5A">
        <w:rPr>
          <w:rFonts w:ascii="Times New Roman" w:hAnsi="Times New Roman"/>
          <w:b/>
          <w:sz w:val="24"/>
          <w:szCs w:val="24"/>
          <w:lang w:val="nl-NL"/>
        </w:rPr>
        <w:t>S</w:t>
      </w:r>
      <w:r w:rsidR="008321C8">
        <w:rPr>
          <w:rFonts w:ascii="Times New Roman" w:hAnsi="Times New Roman"/>
          <w:b/>
          <w:sz w:val="24"/>
          <w:szCs w:val="24"/>
          <w:lang w:val="nl-NL"/>
        </w:rPr>
        <w:t>Ố LIỆU HOẠT ĐỘNG</w:t>
      </w:r>
    </w:p>
    <w:p w:rsidR="001C4468"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Cơ cấu tài sản quỹ:</w:t>
      </w:r>
    </w:p>
    <w:tbl>
      <w:tblPr>
        <w:tblStyle w:val="TableGrid"/>
        <w:tblW w:w="0" w:type="auto"/>
        <w:tblInd w:w="108" w:type="dxa"/>
        <w:tblLook w:val="04A0" w:firstRow="1" w:lastRow="0" w:firstColumn="1" w:lastColumn="0" w:noHBand="0" w:noVBand="1"/>
      </w:tblPr>
      <w:tblGrid>
        <w:gridCol w:w="4770"/>
        <w:gridCol w:w="1890"/>
        <w:gridCol w:w="1620"/>
        <w:gridCol w:w="1710"/>
      </w:tblGrid>
      <w:tr w:rsidR="00E25CCB" w:rsidTr="00B3750F">
        <w:tc>
          <w:tcPr>
            <w:tcW w:w="4770" w:type="dxa"/>
            <w:vAlign w:val="center"/>
          </w:tcPr>
          <w:p w:rsidR="00E25CCB" w:rsidRDefault="00E25CCB" w:rsidP="00B3750F">
            <w:pPr>
              <w:spacing w:before="120" w:line="276" w:lineRule="auto"/>
              <w:jc w:val="both"/>
              <w:rPr>
                <w:rFonts w:ascii="Times New Roman" w:hAnsi="Times New Roman"/>
                <w:b/>
                <w:sz w:val="24"/>
                <w:szCs w:val="24"/>
                <w:lang w:val="nl-NL"/>
              </w:rPr>
            </w:pPr>
            <w:r w:rsidRPr="003D7C0D">
              <w:rPr>
                <w:rFonts w:ascii="Times New Roman" w:eastAsia="Times New Roman" w:hAnsi="Times New Roman"/>
                <w:b/>
                <w:sz w:val="24"/>
                <w:szCs w:val="24"/>
                <w:lang w:val="nl-NL"/>
              </w:rPr>
              <w:t>Cơ cấu tài sản quỹ</w:t>
            </w:r>
          </w:p>
        </w:tc>
        <w:tc>
          <w:tcPr>
            <w:tcW w:w="189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30/06/2019</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62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30/06/2018</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c>
          <w:tcPr>
            <w:tcW w:w="1710" w:type="dxa"/>
          </w:tcPr>
          <w:p w:rsidR="00E25CCB" w:rsidRPr="003D7C0D" w:rsidRDefault="00E25CCB" w:rsidP="00B3750F">
            <w:pPr>
              <w:tabs>
                <w:tab w:val="left" w:pos="540"/>
              </w:tabs>
              <w:spacing w:before="120" w:line="276" w:lineRule="auto"/>
              <w:jc w:val="center"/>
              <w:rPr>
                <w:rFonts w:ascii="Times New Roman" w:eastAsia="Times New Roman" w:hAnsi="Times New Roman"/>
                <w:b/>
                <w:sz w:val="24"/>
                <w:szCs w:val="24"/>
                <w:lang w:val="nl-NL"/>
              </w:rPr>
            </w:pPr>
            <w:r w:rsidRPr="003D7C0D">
              <w:rPr>
                <w:rFonts w:ascii="Times New Roman" w:eastAsia="Times New Roman" w:hAnsi="Times New Roman"/>
                <w:b/>
                <w:sz w:val="24"/>
                <w:szCs w:val="24"/>
                <w:lang w:val="nl-NL"/>
              </w:rPr>
              <w:t>30/06/2017</w:t>
            </w:r>
          </w:p>
          <w:p w:rsidR="00E25CCB" w:rsidRDefault="00E25CCB" w:rsidP="00B3750F">
            <w:pPr>
              <w:spacing w:before="120" w:line="276" w:lineRule="auto"/>
              <w:jc w:val="center"/>
              <w:rPr>
                <w:rFonts w:ascii="Times New Roman" w:hAnsi="Times New Roman"/>
                <w:b/>
                <w:sz w:val="24"/>
                <w:szCs w:val="24"/>
                <w:lang w:val="nl-NL"/>
              </w:rPr>
            </w:pPr>
            <w:r w:rsidRPr="003D7C0D">
              <w:rPr>
                <w:rFonts w:ascii="Times New Roman" w:eastAsia="Times New Roman" w:hAnsi="Times New Roman"/>
                <w:b/>
                <w:sz w:val="24"/>
                <w:szCs w:val="24"/>
                <w:lang w:val="nl-NL"/>
              </w:rPr>
              <w:t>(%)</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1.Tiền mặt và các khoản tương đương tiền</w:t>
            </w:r>
          </w:p>
        </w:tc>
        <w:tc>
          <w:tcPr>
            <w:tcW w:w="1890" w:type="dxa"/>
            <w:vAlign w:val="center"/>
          </w:tcPr>
          <w:p w:rsidR="00E25CCB" w:rsidRPr="008321C8" w:rsidRDefault="00E25CCB"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40,11</w:t>
            </w:r>
          </w:p>
        </w:tc>
        <w:tc>
          <w:tcPr>
            <w:tcW w:w="1620" w:type="dxa"/>
            <w:vAlign w:val="center"/>
          </w:tcPr>
          <w:p w:rsidR="00E25CCB" w:rsidRPr="008321C8" w:rsidRDefault="008321C8"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2.Tiền gửi có kỳ hạn trên 3 tháng</w:t>
            </w:r>
          </w:p>
        </w:tc>
        <w:tc>
          <w:tcPr>
            <w:tcW w:w="1890" w:type="dxa"/>
            <w:vAlign w:val="center"/>
          </w:tcPr>
          <w:p w:rsidR="00E25CCB" w:rsidRPr="008321C8" w:rsidRDefault="00E25CCB"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39,43</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3. Chứng chỉ tiền gửi</w:t>
            </w:r>
          </w:p>
        </w:tc>
        <w:tc>
          <w:tcPr>
            <w:tcW w:w="1890" w:type="dxa"/>
            <w:vAlign w:val="center"/>
          </w:tcPr>
          <w:p w:rsidR="00E25CCB" w:rsidRPr="008321C8" w:rsidRDefault="008321C8" w:rsidP="00B3750F">
            <w:pPr>
              <w:spacing w:before="120" w:line="276" w:lineRule="auto"/>
              <w:jc w:val="center"/>
              <w:rPr>
                <w:rFonts w:ascii="Times New Roman" w:hAnsi="Times New Roman"/>
                <w:sz w:val="24"/>
                <w:szCs w:val="24"/>
                <w:lang w:val="nl-NL"/>
              </w:rPr>
            </w:pPr>
            <w:r w:rsidRPr="008321C8">
              <w:rPr>
                <w:rFonts w:ascii="Times New Roman" w:hAnsi="Times New Roman"/>
                <w:sz w:val="24"/>
                <w:szCs w:val="24"/>
                <w:lang w:val="nl-NL"/>
              </w:rPr>
              <w:t>19,71</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D86A2D">
              <w:rPr>
                <w:rFonts w:ascii="Times New Roman" w:hAnsi="Times New Roman"/>
                <w:sz w:val="24"/>
                <w:szCs w:val="24"/>
                <w:lang w:val="nl-NL"/>
              </w:rPr>
              <w:t>4. Tài sản khác</w:t>
            </w:r>
          </w:p>
        </w:tc>
        <w:tc>
          <w:tcPr>
            <w:tcW w:w="1890" w:type="dxa"/>
            <w:vAlign w:val="center"/>
          </w:tcPr>
          <w:p w:rsidR="00E25CCB" w:rsidRPr="008321C8" w:rsidRDefault="00B3750F" w:rsidP="00B3750F">
            <w:pPr>
              <w:spacing w:before="120" w:line="276" w:lineRule="auto"/>
              <w:jc w:val="center"/>
              <w:rPr>
                <w:rFonts w:ascii="Times New Roman" w:hAnsi="Times New Roman"/>
                <w:sz w:val="24"/>
                <w:szCs w:val="24"/>
                <w:lang w:val="nl-NL"/>
              </w:rPr>
            </w:pPr>
            <w:r>
              <w:rPr>
                <w:rFonts w:ascii="Times New Roman" w:hAnsi="Times New Roman"/>
                <w:sz w:val="24"/>
                <w:szCs w:val="24"/>
                <w:lang w:val="nl-NL"/>
              </w:rPr>
              <w:t xml:space="preserve">  </w:t>
            </w:r>
            <w:r w:rsidR="008321C8" w:rsidRPr="008321C8">
              <w:rPr>
                <w:rFonts w:ascii="Times New Roman" w:hAnsi="Times New Roman"/>
                <w:sz w:val="24"/>
                <w:szCs w:val="24"/>
                <w:lang w:val="nl-NL"/>
              </w:rPr>
              <w:t>0,75</w:t>
            </w:r>
          </w:p>
        </w:tc>
        <w:tc>
          <w:tcPr>
            <w:tcW w:w="162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c>
          <w:tcPr>
            <w:tcW w:w="1710" w:type="dxa"/>
            <w:vAlign w:val="center"/>
          </w:tcPr>
          <w:p w:rsidR="00E25CCB"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sz w:val="24"/>
                <w:szCs w:val="24"/>
                <w:lang w:val="nl-NL"/>
              </w:rPr>
              <w:t>N/A</w:t>
            </w:r>
          </w:p>
        </w:tc>
      </w:tr>
      <w:tr w:rsidR="00E25CCB" w:rsidTr="00B3750F">
        <w:tc>
          <w:tcPr>
            <w:tcW w:w="4770" w:type="dxa"/>
          </w:tcPr>
          <w:p w:rsidR="00E25CCB" w:rsidRDefault="00E25CCB" w:rsidP="00B3750F">
            <w:pPr>
              <w:spacing w:before="120" w:line="276" w:lineRule="auto"/>
              <w:jc w:val="both"/>
              <w:rPr>
                <w:rFonts w:ascii="Times New Roman" w:hAnsi="Times New Roman"/>
                <w:b/>
                <w:sz w:val="24"/>
                <w:szCs w:val="24"/>
                <w:lang w:val="nl-NL"/>
              </w:rPr>
            </w:pPr>
            <w:r w:rsidRPr="00F2683A">
              <w:rPr>
                <w:rFonts w:ascii="Times New Roman" w:eastAsia="Times New Roman" w:hAnsi="Times New Roman"/>
                <w:b/>
                <w:sz w:val="24"/>
                <w:szCs w:val="24"/>
                <w:lang w:val="nl-NL"/>
              </w:rPr>
              <w:t>Cộng</w:t>
            </w:r>
          </w:p>
        </w:tc>
        <w:tc>
          <w:tcPr>
            <w:tcW w:w="189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100,00</w:t>
            </w:r>
          </w:p>
        </w:tc>
        <w:tc>
          <w:tcPr>
            <w:tcW w:w="162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c>
          <w:tcPr>
            <w:tcW w:w="1710" w:type="dxa"/>
            <w:vAlign w:val="center"/>
          </w:tcPr>
          <w:p w:rsidR="00E25CCB" w:rsidRPr="008321C8" w:rsidRDefault="008321C8" w:rsidP="00B3750F">
            <w:pPr>
              <w:spacing w:before="120" w:line="276" w:lineRule="auto"/>
              <w:jc w:val="center"/>
              <w:rPr>
                <w:rFonts w:ascii="Times New Roman" w:hAnsi="Times New Roman"/>
                <w:b/>
                <w:sz w:val="24"/>
                <w:szCs w:val="24"/>
                <w:lang w:val="nl-NL"/>
              </w:rPr>
            </w:pPr>
            <w:r w:rsidRPr="008321C8">
              <w:rPr>
                <w:rFonts w:ascii="Times New Roman" w:hAnsi="Times New Roman"/>
                <w:b/>
                <w:sz w:val="24"/>
                <w:szCs w:val="24"/>
                <w:lang w:val="nl-NL"/>
              </w:rPr>
              <w:t>N/A</w:t>
            </w:r>
          </w:p>
        </w:tc>
      </w:tr>
    </w:tbl>
    <w:p w:rsidR="00E25CCB" w:rsidRPr="00E25CCB" w:rsidRDefault="00E25CCB" w:rsidP="00B3750F">
      <w:pPr>
        <w:shd w:val="clear" w:color="auto" w:fill="FFFFFF"/>
        <w:spacing w:before="120" w:after="0" w:line="240" w:lineRule="auto"/>
        <w:jc w:val="both"/>
        <w:rPr>
          <w:rFonts w:ascii="Times New Roman" w:hAnsi="Times New Roman"/>
          <w:b/>
          <w:sz w:val="24"/>
          <w:szCs w:val="24"/>
          <w:lang w:val="nl-NL"/>
        </w:rPr>
      </w:pPr>
    </w:p>
    <w:p w:rsidR="00B40151" w:rsidRPr="003D7C0D"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2683A">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770"/>
        <w:gridCol w:w="1890"/>
        <w:gridCol w:w="1620"/>
        <w:gridCol w:w="1728"/>
      </w:tblGrid>
      <w:tr w:rsidR="00F4320B" w:rsidTr="00B3750F">
        <w:tc>
          <w:tcPr>
            <w:tcW w:w="4770" w:type="dxa"/>
            <w:vAlign w:val="center"/>
          </w:tcPr>
          <w:p w:rsidR="00F4320B" w:rsidRPr="00F4320B" w:rsidRDefault="00F4320B" w:rsidP="00FF0C62">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Chỉ tiêu</w:t>
            </w:r>
          </w:p>
        </w:tc>
        <w:tc>
          <w:tcPr>
            <w:tcW w:w="1890"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30/06/2019</w:t>
            </w:r>
          </w:p>
        </w:tc>
        <w:tc>
          <w:tcPr>
            <w:tcW w:w="1620"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30/06/2018</w:t>
            </w:r>
          </w:p>
        </w:tc>
        <w:tc>
          <w:tcPr>
            <w:tcW w:w="1728" w:type="dxa"/>
            <w:vAlign w:val="center"/>
          </w:tcPr>
          <w:p w:rsidR="00F4320B" w:rsidRPr="00F4320B" w:rsidRDefault="00F4320B" w:rsidP="004777E3">
            <w:pPr>
              <w:tabs>
                <w:tab w:val="left" w:pos="540"/>
              </w:tabs>
              <w:spacing w:before="120" w:line="276" w:lineRule="auto"/>
              <w:jc w:val="center"/>
              <w:rPr>
                <w:rFonts w:ascii="Times New Roman" w:eastAsia="Times New Roman" w:hAnsi="Times New Roman"/>
                <w:b/>
                <w:sz w:val="24"/>
                <w:szCs w:val="24"/>
                <w:lang w:val="nl-NL"/>
              </w:rPr>
            </w:pPr>
            <w:r w:rsidRPr="00F4320B">
              <w:rPr>
                <w:rFonts w:ascii="Times New Roman" w:eastAsia="Times New Roman" w:hAnsi="Times New Roman"/>
                <w:b/>
                <w:sz w:val="24"/>
                <w:szCs w:val="24"/>
                <w:lang w:val="nl-NL"/>
              </w:rPr>
              <w:t>30/06/2017</w:t>
            </w:r>
          </w:p>
        </w:tc>
      </w:tr>
      <w:tr w:rsidR="00F4320B" w:rsidTr="00DD002F">
        <w:trPr>
          <w:trHeight w:val="647"/>
        </w:trPr>
        <w:tc>
          <w:tcPr>
            <w:tcW w:w="4770" w:type="dxa"/>
            <w:vAlign w:val="center"/>
          </w:tcPr>
          <w:p w:rsidR="004777E3" w:rsidRDefault="00F4320B" w:rsidP="004777E3">
            <w:pPr>
              <w:tabs>
                <w:tab w:val="left" w:pos="540"/>
              </w:tabs>
              <w:spacing w:before="120"/>
              <w:rPr>
                <w:rFonts w:ascii="Times New Roman" w:hAnsi="Times New Roman"/>
                <w:b/>
                <w:sz w:val="24"/>
                <w:szCs w:val="24"/>
                <w:lang w:val="nl-NL"/>
              </w:rPr>
            </w:pPr>
            <w:r w:rsidRPr="00F4320B">
              <w:rPr>
                <w:rFonts w:ascii="Times New Roman" w:hAnsi="Times New Roman"/>
                <w:sz w:val="24"/>
                <w:szCs w:val="24"/>
                <w:lang w:val="nl-NL"/>
              </w:rPr>
              <w:t>2.1.</w:t>
            </w:r>
            <w:r>
              <w:rPr>
                <w:rFonts w:ascii="Times New Roman" w:hAnsi="Times New Roman"/>
                <w:sz w:val="24"/>
                <w:szCs w:val="24"/>
                <w:lang w:val="nl-NL"/>
              </w:rPr>
              <w:t xml:space="preserve"> </w:t>
            </w:r>
            <w:r w:rsidRPr="00F4320B">
              <w:rPr>
                <w:rFonts w:ascii="Times New Roman" w:hAnsi="Times New Roman"/>
                <w:sz w:val="24"/>
                <w:szCs w:val="24"/>
                <w:lang w:val="nl-NL"/>
              </w:rPr>
              <w:t>Giá trị tài sản ròng của Quỹ</w:t>
            </w:r>
            <w:r w:rsidR="00B3750F">
              <w:rPr>
                <w:rFonts w:ascii="Times New Roman" w:hAnsi="Times New Roman"/>
                <w:sz w:val="24"/>
                <w:szCs w:val="24"/>
                <w:lang w:val="nl-NL"/>
              </w:rPr>
              <w:t xml:space="preserve"> (VNĐ)</w:t>
            </w:r>
            <w:r w:rsidR="00DD002F">
              <w:rPr>
                <w:rFonts w:ascii="Times New Roman" w:hAnsi="Times New Roman"/>
                <w:sz w:val="24"/>
                <w:szCs w:val="24"/>
                <w:lang w:val="nl-NL"/>
              </w:rPr>
              <w:t xml:space="preserve"> </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101.063.414.836</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4777E3">
        <w:tc>
          <w:tcPr>
            <w:tcW w:w="4770" w:type="dxa"/>
          </w:tcPr>
          <w:p w:rsid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2.2. Tổng số chứng chỉ quỹ đang lưu hành</w:t>
            </w:r>
            <w:r w:rsidR="00B3750F">
              <w:rPr>
                <w:rFonts w:ascii="Times New Roman" w:hAnsi="Times New Roman"/>
                <w:sz w:val="24"/>
                <w:szCs w:val="24"/>
                <w:lang w:val="nl-NL"/>
              </w:rPr>
              <w:t xml:space="preserve"> (CCQ)</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10.051.088,93</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2.3. Giá trị tài sản ròng của một đơn vị Chứng chỉ quỹ (CCQ)</w:t>
            </w:r>
            <w:r w:rsidR="00B3750F">
              <w:rPr>
                <w:rFonts w:ascii="Times New Roman" w:hAnsi="Times New Roman"/>
                <w:sz w:val="24"/>
                <w:szCs w:val="24"/>
                <w:lang w:val="nl-NL"/>
              </w:rPr>
              <w:t xml:space="preserve"> (VNĐ)</w:t>
            </w:r>
          </w:p>
        </w:tc>
        <w:tc>
          <w:tcPr>
            <w:tcW w:w="189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F4320B" w:rsidTr="00B3750F">
        <w:tc>
          <w:tcPr>
            <w:tcW w:w="4770" w:type="dxa"/>
          </w:tcPr>
          <w:p w:rsidR="00F4320B" w:rsidRPr="00F4320B" w:rsidRDefault="00F4320B" w:rsidP="004777E3">
            <w:pPr>
              <w:tabs>
                <w:tab w:val="left" w:pos="540"/>
              </w:tabs>
              <w:spacing w:before="120" w:line="276" w:lineRule="auto"/>
              <w:jc w:val="both"/>
              <w:rPr>
                <w:rFonts w:ascii="Times New Roman" w:hAnsi="Times New Roman"/>
                <w:b/>
                <w:sz w:val="24"/>
                <w:szCs w:val="24"/>
                <w:lang w:val="nl-NL"/>
              </w:rPr>
            </w:pPr>
            <w:r w:rsidRPr="00F4320B">
              <w:rPr>
                <w:rFonts w:ascii="Times New Roman" w:hAnsi="Times New Roman"/>
                <w:sz w:val="24"/>
                <w:szCs w:val="24"/>
                <w:lang w:val="nl-NL"/>
              </w:rPr>
              <w:t>2.4. Giá trị tài sản ròng cao nhất của 1 đơn vị CCQ trong kỳ báo cáo</w:t>
            </w:r>
            <w:r w:rsidR="00B3750F">
              <w:rPr>
                <w:rFonts w:ascii="Times New Roman" w:hAnsi="Times New Roman"/>
                <w:sz w:val="24"/>
                <w:szCs w:val="24"/>
                <w:lang w:val="nl-NL"/>
              </w:rPr>
              <w:t xml:space="preserve"> (VNĐ)</w:t>
            </w:r>
          </w:p>
        </w:tc>
        <w:tc>
          <w:tcPr>
            <w:tcW w:w="1890" w:type="dxa"/>
            <w:vAlign w:val="center"/>
          </w:tcPr>
          <w:p w:rsidR="00F4320B" w:rsidRP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10.054,97</w:t>
            </w:r>
          </w:p>
        </w:tc>
        <w:tc>
          <w:tcPr>
            <w:tcW w:w="1620"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F4320B" w:rsidRDefault="00F4320B"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5</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trị tài sản ròng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9.997,36</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6</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của 1 đơn vị CCQ tại ngày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7</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cao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8</w:t>
            </w:r>
            <w:r w:rsidRPr="00F4320B">
              <w:rPr>
                <w:rFonts w:ascii="Times New Roman" w:hAnsi="Times New Roman"/>
                <w:sz w:val="24"/>
                <w:szCs w:val="24"/>
                <w:lang w:val="nl-NL"/>
              </w:rPr>
              <w:t xml:space="preserve">. </w:t>
            </w:r>
            <w:r w:rsidRPr="00B3750F">
              <w:rPr>
                <w:rFonts w:ascii="Times New Roman" w:hAnsi="Times New Roman"/>
                <w:sz w:val="24"/>
                <w:szCs w:val="24"/>
                <w:lang w:val="nl-NL"/>
              </w:rPr>
              <w:t>Giá cuối ngày thấp nhất của 1 đơn vị CCQ trong kỳ báo cáo</w:t>
            </w:r>
            <w:r>
              <w:rPr>
                <w:rFonts w:ascii="Times New Roman" w:hAnsi="Times New Roman"/>
                <w:sz w:val="24"/>
                <w:szCs w:val="24"/>
                <w:lang w:val="nl-NL"/>
              </w:rPr>
              <w:t xml:space="preserve"> (VNĐ)</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rPr>
          <w:trHeight w:val="665"/>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F4320B">
              <w:rPr>
                <w:rFonts w:ascii="Times New Roman" w:hAnsi="Times New Roman"/>
                <w:sz w:val="24"/>
                <w:szCs w:val="24"/>
                <w:lang w:val="nl-NL"/>
              </w:rPr>
              <w:t>2.</w:t>
            </w:r>
            <w:r>
              <w:rPr>
                <w:rFonts w:ascii="Times New Roman" w:hAnsi="Times New Roman"/>
                <w:sz w:val="24"/>
                <w:szCs w:val="24"/>
                <w:lang w:val="nl-NL"/>
              </w:rPr>
              <w:t>9</w:t>
            </w:r>
            <w:r w:rsidRPr="00F4320B">
              <w:rPr>
                <w:rFonts w:ascii="Times New Roman" w:hAnsi="Times New Roman"/>
                <w:sz w:val="24"/>
                <w:szCs w:val="24"/>
                <w:lang w:val="nl-NL"/>
              </w:rPr>
              <w:t xml:space="preserve">. </w:t>
            </w:r>
            <w:r w:rsidRPr="00B3750F">
              <w:rPr>
                <w:rFonts w:ascii="Times New Roman" w:hAnsi="Times New Roman"/>
                <w:sz w:val="24"/>
                <w:szCs w:val="24"/>
                <w:lang w:val="nl-NL"/>
              </w:rPr>
              <w:t>Tổng tăng trưởng (%)/1 đơn vị CCQ</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2.9.1. Tăng trưởng vốn (%)/1 đơn vị CCQ (Thay đổi do biến động giá)</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0,00</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4336D0">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2.9.2. Tăng trưởng thu nhập (%)/1 đơn vị CCQ (Tính trên thu nhập đã thực hiện)</w:t>
            </w:r>
          </w:p>
        </w:tc>
        <w:tc>
          <w:tcPr>
            <w:tcW w:w="1890" w:type="dxa"/>
            <w:shd w:val="clear" w:color="auto" w:fill="auto"/>
            <w:vAlign w:val="center"/>
          </w:tcPr>
          <w:p w:rsidR="00B3750F" w:rsidRPr="004336D0" w:rsidRDefault="00B3750F" w:rsidP="004777E3">
            <w:pPr>
              <w:tabs>
                <w:tab w:val="left" w:pos="540"/>
              </w:tabs>
              <w:spacing w:before="120" w:line="276" w:lineRule="auto"/>
              <w:jc w:val="center"/>
              <w:rPr>
                <w:rFonts w:ascii="Times New Roman" w:hAnsi="Times New Roman"/>
                <w:sz w:val="24"/>
                <w:szCs w:val="24"/>
                <w:lang w:val="nl-NL"/>
              </w:rPr>
            </w:pPr>
            <w:r w:rsidRPr="004336D0">
              <w:rPr>
                <w:rFonts w:ascii="Times New Roman" w:hAnsi="Times New Roman"/>
                <w:sz w:val="24"/>
                <w:szCs w:val="24"/>
                <w:lang w:val="nl-NL"/>
              </w:rPr>
              <w:t>0,57</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2.10. Phân phối gộp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2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2.11. Phân phối ròng trên 1 đơn vị CCQ</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B3750F">
        <w:tc>
          <w:tcPr>
            <w:tcW w:w="4770" w:type="dxa"/>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2.12. Ngày chốt quyền (Ex-date of distribution)</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sidRPr="00B3750F">
              <w:rPr>
                <w:rFonts w:ascii="Times New Roman" w:hAnsi="Times New Roman"/>
                <w:sz w:val="24"/>
                <w:szCs w:val="24"/>
                <w:lang w:val="nl-NL"/>
              </w:rPr>
              <w:t>N/A (**)</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665"/>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2.13. Tỷ lệ chi phí hoạt động của quỹ (%)</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2,84</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r w:rsidR="00B3750F" w:rsidTr="00FF0C62">
        <w:trPr>
          <w:trHeight w:val="710"/>
        </w:trPr>
        <w:tc>
          <w:tcPr>
            <w:tcW w:w="4770" w:type="dxa"/>
            <w:vAlign w:val="center"/>
          </w:tcPr>
          <w:p w:rsidR="00B3750F" w:rsidRPr="00B3750F" w:rsidRDefault="00B3750F" w:rsidP="004777E3">
            <w:pPr>
              <w:tabs>
                <w:tab w:val="left" w:pos="540"/>
              </w:tabs>
              <w:spacing w:before="120" w:line="276" w:lineRule="auto"/>
              <w:jc w:val="both"/>
              <w:rPr>
                <w:rFonts w:ascii="Times New Roman" w:hAnsi="Times New Roman"/>
                <w:sz w:val="24"/>
                <w:szCs w:val="24"/>
                <w:lang w:val="nl-NL"/>
              </w:rPr>
            </w:pPr>
            <w:r w:rsidRPr="00B3750F">
              <w:rPr>
                <w:rFonts w:ascii="Times New Roman" w:hAnsi="Times New Roman"/>
                <w:sz w:val="24"/>
                <w:szCs w:val="24"/>
                <w:lang w:val="nl-NL"/>
              </w:rPr>
              <w:t>2.14. Tốc độ vòng quay danh mục (</w:t>
            </w:r>
            <w:r w:rsidR="004777E3">
              <w:rPr>
                <w:rFonts w:ascii="Times New Roman" w:hAnsi="Times New Roman"/>
                <w:sz w:val="24"/>
                <w:szCs w:val="24"/>
                <w:lang w:val="nl-NL"/>
              </w:rPr>
              <w:t>%)</w:t>
            </w:r>
          </w:p>
        </w:tc>
        <w:tc>
          <w:tcPr>
            <w:tcW w:w="1890" w:type="dxa"/>
            <w:vAlign w:val="center"/>
          </w:tcPr>
          <w:p w:rsidR="00B3750F" w:rsidRPr="00B3750F" w:rsidRDefault="00B3750F" w:rsidP="004777E3">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63,20</w:t>
            </w:r>
          </w:p>
        </w:tc>
        <w:tc>
          <w:tcPr>
            <w:tcW w:w="1620"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c>
          <w:tcPr>
            <w:tcW w:w="1728" w:type="dxa"/>
            <w:vAlign w:val="center"/>
          </w:tcPr>
          <w:p w:rsidR="00B3750F" w:rsidRDefault="00B3750F" w:rsidP="004777E3">
            <w:pPr>
              <w:tabs>
                <w:tab w:val="left" w:pos="540"/>
              </w:tabs>
              <w:spacing w:before="120" w:line="276" w:lineRule="auto"/>
              <w:jc w:val="center"/>
              <w:rPr>
                <w:rFonts w:ascii="Times New Roman" w:hAnsi="Times New Roman"/>
                <w:b/>
                <w:sz w:val="24"/>
                <w:szCs w:val="24"/>
                <w:lang w:val="nl-NL"/>
              </w:rPr>
            </w:pPr>
            <w:r w:rsidRPr="00F4320B">
              <w:rPr>
                <w:rFonts w:ascii="Times New Roman" w:hAnsi="Times New Roman"/>
                <w:sz w:val="24"/>
                <w:szCs w:val="24"/>
                <w:lang w:val="nl-NL"/>
              </w:rPr>
              <w:t>N/A</w:t>
            </w:r>
          </w:p>
        </w:tc>
      </w:tr>
    </w:tbl>
    <w:p w:rsidR="00FF0C62" w:rsidRDefault="00FF0C62"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DD002F" w:rsidRDefault="00DD002F" w:rsidP="00FF0C62">
      <w:pPr>
        <w:pStyle w:val="ListParagraph"/>
        <w:shd w:val="clear" w:color="auto" w:fill="FFFFFF"/>
        <w:spacing w:before="120" w:after="0" w:line="360" w:lineRule="auto"/>
        <w:ind w:left="360"/>
        <w:jc w:val="both"/>
        <w:rPr>
          <w:rFonts w:ascii="Times New Roman" w:hAnsi="Times New Roman"/>
          <w:b/>
          <w:sz w:val="24"/>
          <w:szCs w:val="24"/>
          <w:lang w:val="nl-NL"/>
        </w:rPr>
      </w:pPr>
    </w:p>
    <w:p w:rsidR="001C4468"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FF0C62">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500"/>
        <w:gridCol w:w="2610"/>
        <w:gridCol w:w="2700"/>
      </w:tblGrid>
      <w:tr w:rsidR="001F3B0D" w:rsidRPr="0037324A" w:rsidTr="001F3B0D">
        <w:tc>
          <w:tcPr>
            <w:tcW w:w="45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Giai đoạn</w:t>
            </w:r>
          </w:p>
        </w:tc>
        <w:tc>
          <w:tcPr>
            <w:tcW w:w="261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Tổng tăng trưởng của NAV/CCQ</w:t>
            </w:r>
          </w:p>
        </w:tc>
        <w:tc>
          <w:tcPr>
            <w:tcW w:w="2700" w:type="dxa"/>
            <w:vAlign w:val="center"/>
          </w:tcPr>
          <w:p w:rsidR="001F3B0D" w:rsidRPr="001F3B0D" w:rsidRDefault="001F3B0D" w:rsidP="001F3B0D">
            <w:pPr>
              <w:spacing w:before="120" w:line="360" w:lineRule="auto"/>
              <w:jc w:val="center"/>
              <w:rPr>
                <w:rFonts w:ascii="Times New Roman" w:hAnsi="Times New Roman"/>
                <w:b/>
                <w:sz w:val="24"/>
                <w:szCs w:val="24"/>
                <w:lang w:val="nl-NL"/>
              </w:rPr>
            </w:pPr>
            <w:r w:rsidRPr="001F3B0D">
              <w:rPr>
                <w:rFonts w:ascii="Times New Roman" w:eastAsia="Times New Roman" w:hAnsi="Times New Roman"/>
                <w:b/>
                <w:sz w:val="24"/>
                <w:szCs w:val="24"/>
                <w:lang w:val="nl-NL"/>
              </w:rPr>
              <w:t>Tăng trưởng NAV/CCQ hàng năm</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- 1 năm</w:t>
            </w:r>
          </w:p>
        </w:tc>
        <w:tc>
          <w:tcPr>
            <w:tcW w:w="2610" w:type="dxa"/>
          </w:tcPr>
          <w:p w:rsidR="001F3B0D" w:rsidRPr="001F3B0D" w:rsidRDefault="001F3B0D" w:rsidP="001F3B0D">
            <w:pPr>
              <w:spacing w:before="120" w:line="360" w:lineRule="auto"/>
              <w:jc w:val="center"/>
              <w:rPr>
                <w:rFonts w:ascii="Times New Roman" w:hAnsi="Times New Roman"/>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- 3 năm</w:t>
            </w:r>
          </w:p>
        </w:tc>
        <w:tc>
          <w:tcPr>
            <w:tcW w:w="261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c>
          <w:tcPr>
            <w:tcW w:w="2700" w:type="dxa"/>
          </w:tcPr>
          <w:p w:rsidR="001F3B0D" w:rsidRDefault="001F3B0D" w:rsidP="001F3B0D">
            <w:pPr>
              <w:spacing w:before="120" w:line="360" w:lineRule="auto"/>
              <w:jc w:val="center"/>
              <w:rPr>
                <w:rFonts w:ascii="Times New Roman" w:hAnsi="Times New Roman"/>
                <w:b/>
                <w:sz w:val="24"/>
                <w:szCs w:val="24"/>
                <w:lang w:val="nl-NL"/>
              </w:rPr>
            </w:pPr>
            <w:r w:rsidRPr="001F3B0D">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Từ khi thành lập</w:t>
            </w:r>
          </w:p>
        </w:tc>
        <w:tc>
          <w:tcPr>
            <w:tcW w:w="2610" w:type="dxa"/>
          </w:tcPr>
          <w:p w:rsidR="001F3B0D" w:rsidRPr="004B07B4" w:rsidRDefault="001F3B0D" w:rsidP="001F3B0D">
            <w:pPr>
              <w:spacing w:before="120" w:line="360" w:lineRule="auto"/>
              <w:jc w:val="center"/>
              <w:rPr>
                <w:rFonts w:ascii="Times New Roman" w:hAnsi="Times New Roman"/>
                <w:sz w:val="24"/>
                <w:szCs w:val="24"/>
                <w:lang w:val="nl-NL"/>
              </w:rPr>
            </w:pPr>
            <w:r w:rsidRPr="004B07B4">
              <w:rPr>
                <w:rFonts w:ascii="Times New Roman" w:hAnsi="Times New Roman"/>
                <w:sz w:val="24"/>
                <w:szCs w:val="24"/>
                <w:lang w:val="nl-NL"/>
              </w:rPr>
              <w:t>0,55%</w:t>
            </w:r>
          </w:p>
        </w:tc>
        <w:tc>
          <w:tcPr>
            <w:tcW w:w="2700" w:type="dxa"/>
          </w:tcPr>
          <w:p w:rsidR="001F3B0D" w:rsidRPr="004B07B4" w:rsidRDefault="00A1471B"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N/A</w:t>
            </w:r>
          </w:p>
        </w:tc>
      </w:tr>
      <w:tr w:rsidR="001F3B0D" w:rsidTr="001F3B0D">
        <w:tc>
          <w:tcPr>
            <w:tcW w:w="4500" w:type="dxa"/>
            <w:vAlign w:val="center"/>
          </w:tcPr>
          <w:p w:rsidR="001F3B0D" w:rsidRPr="00F2683A" w:rsidRDefault="001F3B0D" w:rsidP="001F3B0D">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 Tăng trưởng của chỉ số tham chiếu</w:t>
            </w:r>
          </w:p>
        </w:tc>
        <w:tc>
          <w:tcPr>
            <w:tcW w:w="2610" w:type="dxa"/>
          </w:tcPr>
          <w:p w:rsidR="001F3B0D" w:rsidRPr="000769A6" w:rsidRDefault="000769A6" w:rsidP="001F3B0D">
            <w:pPr>
              <w:spacing w:before="120" w:line="360" w:lineRule="auto"/>
              <w:jc w:val="center"/>
              <w:rPr>
                <w:rFonts w:ascii="Times New Roman" w:hAnsi="Times New Roman"/>
                <w:sz w:val="24"/>
                <w:szCs w:val="24"/>
                <w:lang w:val="nl-NL"/>
              </w:rPr>
            </w:pPr>
            <w:r w:rsidRPr="000769A6">
              <w:rPr>
                <w:rFonts w:ascii="Times New Roman" w:hAnsi="Times New Roman"/>
                <w:sz w:val="24"/>
                <w:szCs w:val="24"/>
                <w:lang w:val="nl-NL"/>
              </w:rPr>
              <w:t>1,07</w:t>
            </w:r>
            <w:r>
              <w:rPr>
                <w:rFonts w:ascii="Times New Roman" w:hAnsi="Times New Roman"/>
                <w:sz w:val="24"/>
                <w:szCs w:val="24"/>
                <w:lang w:val="nl-NL"/>
              </w:rPr>
              <w:t>% (***)</w:t>
            </w:r>
          </w:p>
        </w:tc>
        <w:tc>
          <w:tcPr>
            <w:tcW w:w="2700" w:type="dxa"/>
          </w:tcPr>
          <w:p w:rsidR="001F3B0D" w:rsidRPr="00F75DB6" w:rsidRDefault="00F75DB6" w:rsidP="001F3B0D">
            <w:pPr>
              <w:spacing w:before="120" w:line="360" w:lineRule="auto"/>
              <w:jc w:val="center"/>
              <w:rPr>
                <w:rFonts w:ascii="Times New Roman" w:hAnsi="Times New Roman"/>
                <w:sz w:val="24"/>
                <w:szCs w:val="24"/>
                <w:lang w:val="nl-NL"/>
              </w:rPr>
            </w:pPr>
            <w:r w:rsidRPr="00F75DB6">
              <w:rPr>
                <w:rFonts w:ascii="Times New Roman" w:hAnsi="Times New Roman"/>
                <w:sz w:val="24"/>
                <w:szCs w:val="24"/>
                <w:lang w:val="nl-NL"/>
              </w:rPr>
              <w:t>3,61%</w:t>
            </w:r>
          </w:p>
        </w:tc>
      </w:tr>
    </w:tbl>
    <w:p w:rsidR="001C4468"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9A353C">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320"/>
        <w:gridCol w:w="1350"/>
        <w:gridCol w:w="1350"/>
        <w:gridCol w:w="1350"/>
        <w:gridCol w:w="1548"/>
      </w:tblGrid>
      <w:tr w:rsidR="001F3B0D" w:rsidTr="005E577E">
        <w:tc>
          <w:tcPr>
            <w:tcW w:w="432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Thời kỳ</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30/06/2019</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30/06/2018</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350"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30/06/2017</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c>
          <w:tcPr>
            <w:tcW w:w="1548" w:type="dxa"/>
            <w:vAlign w:val="center"/>
          </w:tcPr>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30/06/2016</w:t>
            </w:r>
          </w:p>
          <w:p w:rsidR="001F3B0D" w:rsidRPr="001F3B0D" w:rsidRDefault="001F3B0D" w:rsidP="001F3B0D">
            <w:pPr>
              <w:tabs>
                <w:tab w:val="left" w:pos="540"/>
              </w:tabs>
              <w:spacing w:before="120"/>
              <w:jc w:val="center"/>
              <w:rPr>
                <w:rFonts w:ascii="Times New Roman" w:eastAsia="Times New Roman" w:hAnsi="Times New Roman"/>
                <w:b/>
                <w:sz w:val="24"/>
                <w:szCs w:val="24"/>
                <w:lang w:val="nl-NL"/>
              </w:rPr>
            </w:pPr>
            <w:r w:rsidRPr="001F3B0D">
              <w:rPr>
                <w:rFonts w:ascii="Times New Roman" w:eastAsia="Times New Roman" w:hAnsi="Times New Roman"/>
                <w:b/>
                <w:sz w:val="24"/>
                <w:szCs w:val="24"/>
                <w:lang w:val="nl-NL"/>
              </w:rPr>
              <w:t>(%)</w:t>
            </w:r>
          </w:p>
        </w:tc>
      </w:tr>
      <w:tr w:rsidR="001F3B0D" w:rsidTr="005E577E">
        <w:tc>
          <w:tcPr>
            <w:tcW w:w="4320" w:type="dxa"/>
          </w:tcPr>
          <w:p w:rsidR="001F3B0D" w:rsidRDefault="001F3B0D" w:rsidP="001F3B0D">
            <w:pPr>
              <w:spacing w:before="120" w:line="360" w:lineRule="auto"/>
              <w:jc w:val="both"/>
              <w:rPr>
                <w:rFonts w:ascii="Times New Roman" w:hAnsi="Times New Roman"/>
                <w:b/>
                <w:sz w:val="24"/>
                <w:szCs w:val="24"/>
                <w:lang w:val="nl-NL"/>
              </w:rPr>
            </w:pPr>
            <w:r w:rsidRPr="00F2683A">
              <w:rPr>
                <w:rFonts w:ascii="Times New Roman" w:eastAsia="Times New Roman" w:hAnsi="Times New Roman"/>
                <w:sz w:val="24"/>
                <w:szCs w:val="24"/>
                <w:lang w:val="nl-NL"/>
              </w:rPr>
              <w:t>Tỷ lệ tăng trưởng (%)/01 đơn vị CCQ</w:t>
            </w:r>
          </w:p>
        </w:tc>
        <w:tc>
          <w:tcPr>
            <w:tcW w:w="1350" w:type="dxa"/>
          </w:tcPr>
          <w:p w:rsidR="001F3B0D" w:rsidRPr="004B07B4" w:rsidRDefault="001F3B0D" w:rsidP="001F3B0D">
            <w:pPr>
              <w:spacing w:before="120" w:line="360" w:lineRule="auto"/>
              <w:jc w:val="center"/>
              <w:rPr>
                <w:rFonts w:ascii="Times New Roman" w:hAnsi="Times New Roman"/>
                <w:sz w:val="24"/>
                <w:szCs w:val="24"/>
                <w:lang w:val="nl-NL"/>
              </w:rPr>
            </w:pPr>
            <w:r w:rsidRPr="004B07B4">
              <w:rPr>
                <w:rFonts w:ascii="Times New Roman" w:hAnsi="Times New Roman"/>
                <w:sz w:val="24"/>
                <w:szCs w:val="24"/>
                <w:lang w:val="nl-NL"/>
              </w:rPr>
              <w:t>0,55</w:t>
            </w:r>
          </w:p>
        </w:tc>
        <w:tc>
          <w:tcPr>
            <w:tcW w:w="1350" w:type="dxa"/>
          </w:tcPr>
          <w:p w:rsidR="001F3B0D" w:rsidRPr="004B07B4" w:rsidRDefault="001F3B0D" w:rsidP="001F3B0D">
            <w:pPr>
              <w:shd w:val="clear" w:color="auto" w:fill="FFFFFF"/>
              <w:tabs>
                <w:tab w:val="left" w:pos="540"/>
              </w:tabs>
              <w:spacing w:before="120"/>
              <w:jc w:val="center"/>
              <w:rPr>
                <w:rFonts w:ascii="Times New Roman" w:hAnsi="Times New Roman"/>
                <w:sz w:val="24"/>
                <w:szCs w:val="24"/>
                <w:lang w:val="nl-NL"/>
              </w:rPr>
            </w:pPr>
            <w:r w:rsidRPr="004B07B4">
              <w:rPr>
                <w:rFonts w:ascii="Times New Roman" w:hAnsi="Times New Roman"/>
                <w:sz w:val="24"/>
                <w:szCs w:val="24"/>
                <w:lang w:val="nl-NL"/>
              </w:rPr>
              <w:t>N/A</w:t>
            </w:r>
          </w:p>
        </w:tc>
        <w:tc>
          <w:tcPr>
            <w:tcW w:w="1350"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c>
          <w:tcPr>
            <w:tcW w:w="1548" w:type="dxa"/>
          </w:tcPr>
          <w:p w:rsidR="001F3B0D" w:rsidRPr="001F3B0D" w:rsidRDefault="001F3B0D" w:rsidP="001F3B0D">
            <w:pPr>
              <w:shd w:val="clear" w:color="auto" w:fill="FFFFFF"/>
              <w:tabs>
                <w:tab w:val="left" w:pos="540"/>
              </w:tabs>
              <w:spacing w:before="120"/>
              <w:jc w:val="center"/>
              <w:rPr>
                <w:rFonts w:ascii="Times New Roman" w:hAnsi="Times New Roman"/>
                <w:sz w:val="24"/>
                <w:szCs w:val="24"/>
                <w:lang w:val="nl-NL"/>
              </w:rPr>
            </w:pPr>
            <w:r w:rsidRPr="001F3B0D">
              <w:rPr>
                <w:rFonts w:ascii="Times New Roman" w:hAnsi="Times New Roman"/>
                <w:sz w:val="24"/>
                <w:szCs w:val="24"/>
                <w:lang w:val="nl-NL"/>
              </w:rPr>
              <w:t>N/A</w:t>
            </w:r>
          </w:p>
        </w:tc>
      </w:tr>
    </w:tbl>
    <w:p w:rsidR="001C4468" w:rsidRPr="00332909"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332909">
        <w:rPr>
          <w:rFonts w:ascii="Times New Roman" w:hAnsi="Times New Roman"/>
          <w:b/>
          <w:i/>
          <w:sz w:val="24"/>
          <w:szCs w:val="24"/>
          <w:u w:val="single"/>
          <w:lang w:val="nl-NL"/>
        </w:rPr>
        <w:t>Ghi chú:</w:t>
      </w:r>
    </w:p>
    <w:p w:rsidR="006F77D6" w:rsidRPr="00332909"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332909">
        <w:rPr>
          <w:rFonts w:ascii="Times New Roman" w:hAnsi="Times New Roman"/>
          <w:i/>
          <w:sz w:val="24"/>
          <w:szCs w:val="24"/>
          <w:lang w:val="nl-NL"/>
        </w:rPr>
        <w:t>N/A:</w:t>
      </w:r>
      <w:r>
        <w:rPr>
          <w:rFonts w:ascii="Times New Roman" w:hAnsi="Times New Roman"/>
          <w:i/>
          <w:sz w:val="24"/>
          <w:szCs w:val="24"/>
          <w:lang w:val="nl-NL"/>
        </w:rPr>
        <w:t xml:space="preserve"> </w:t>
      </w:r>
      <w:r w:rsidR="004F5C05">
        <w:rPr>
          <w:rFonts w:ascii="Times New Roman" w:hAnsi="Times New Roman"/>
          <w:i/>
          <w:sz w:val="24"/>
          <w:szCs w:val="24"/>
          <w:lang w:val="nl-NL"/>
        </w:rPr>
        <w:tab/>
      </w:r>
      <w:r w:rsidR="006F77D6" w:rsidRPr="00332909">
        <w:rPr>
          <w:rFonts w:ascii="Times New Roman" w:hAnsi="Times New Roman"/>
          <w:i/>
          <w:sz w:val="24"/>
          <w:szCs w:val="24"/>
          <w:lang w:val="nl-NL"/>
        </w:rPr>
        <w:t>Quỹ mới thành lập và đi vào hoạt động từ ngày 03 tháng 04 năm 201</w:t>
      </w:r>
      <w:r w:rsidR="00CC754B" w:rsidRPr="00332909">
        <w:rPr>
          <w:rFonts w:ascii="Times New Roman" w:hAnsi="Times New Roman"/>
          <w:i/>
          <w:sz w:val="24"/>
          <w:szCs w:val="24"/>
          <w:lang w:val="nl-NL"/>
        </w:rPr>
        <w:t>9</w:t>
      </w:r>
      <w:r w:rsidR="006F77D6" w:rsidRPr="00332909">
        <w:rPr>
          <w:rFonts w:ascii="Times New Roman" w:hAnsi="Times New Roman"/>
          <w:i/>
          <w:sz w:val="24"/>
          <w:szCs w:val="24"/>
          <w:lang w:val="nl-NL"/>
        </w:rPr>
        <w:t>, nên các chỉ tiêu không đủ dữ liệu để tính toán.</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0034115C" w:rsidRPr="00332909">
        <w:rPr>
          <w:rFonts w:ascii="Times New Roman" w:hAnsi="Times New Roman"/>
          <w:i/>
          <w:sz w:val="24"/>
          <w:szCs w:val="24"/>
          <w:lang w:val="nl-NL"/>
        </w:rPr>
        <w:t>(*</w:t>
      </w: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Chứng chỉ quỹ của Quỹ không được niêm yết trên thị trường chứng khoán</w:t>
      </w:r>
      <w:r w:rsidR="00332909" w:rsidRPr="00332909">
        <w:rPr>
          <w:rFonts w:ascii="Times New Roman" w:hAnsi="Times New Roman"/>
          <w:i/>
          <w:sz w:val="24"/>
          <w:szCs w:val="24"/>
          <w:lang w:val="nl-NL"/>
        </w:rPr>
        <w:t>.</w:t>
      </w:r>
    </w:p>
    <w:p w:rsidR="006F77D6" w:rsidRPr="00332909"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N/A</w:t>
      </w:r>
      <w:r w:rsidR="00CC754B" w:rsidRPr="00332909">
        <w:rPr>
          <w:rFonts w:ascii="Times New Roman" w:hAnsi="Times New Roman"/>
          <w:i/>
          <w:sz w:val="24"/>
          <w:szCs w:val="24"/>
          <w:lang w:val="nl-NL"/>
        </w:rPr>
        <w:t xml:space="preserve"> </w:t>
      </w:r>
      <w:r w:rsidRPr="00332909">
        <w:rPr>
          <w:rFonts w:ascii="Times New Roman" w:hAnsi="Times New Roman"/>
          <w:i/>
          <w:sz w:val="24"/>
          <w:szCs w:val="24"/>
          <w:lang w:val="nl-NL"/>
        </w:rPr>
        <w:t>(</w:t>
      </w:r>
      <w:r w:rsidR="0034115C" w:rsidRPr="00332909">
        <w:rPr>
          <w:rFonts w:ascii="Times New Roman" w:hAnsi="Times New Roman"/>
          <w:i/>
          <w:sz w:val="24"/>
          <w:szCs w:val="24"/>
          <w:lang w:val="nl-NL"/>
        </w:rPr>
        <w:t>**</w:t>
      </w:r>
      <w:r w:rsidR="0024670A"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Pr="00332909">
        <w:rPr>
          <w:rFonts w:ascii="Times New Roman" w:hAnsi="Times New Roman"/>
          <w:i/>
          <w:sz w:val="24"/>
          <w:szCs w:val="24"/>
          <w:lang w:val="nl-NL"/>
        </w:rPr>
        <w:t xml:space="preserve">Quỹ </w:t>
      </w:r>
      <w:r w:rsidR="0034115C" w:rsidRPr="00332909">
        <w:rPr>
          <w:rFonts w:ascii="Times New Roman" w:hAnsi="Times New Roman"/>
          <w:i/>
          <w:sz w:val="24"/>
          <w:szCs w:val="24"/>
          <w:lang w:val="nl-NL"/>
        </w:rPr>
        <w:t>chưa</w:t>
      </w:r>
      <w:r w:rsidRPr="00332909">
        <w:rPr>
          <w:rFonts w:ascii="Times New Roman" w:hAnsi="Times New Roman"/>
          <w:i/>
          <w:sz w:val="24"/>
          <w:szCs w:val="24"/>
          <w:lang w:val="nl-NL"/>
        </w:rPr>
        <w:t xml:space="preserve"> phân phối lợi nhuận.</w:t>
      </w:r>
    </w:p>
    <w:p w:rsidR="0034115C" w:rsidRPr="00332909" w:rsidRDefault="0024670A"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332909">
        <w:rPr>
          <w:rFonts w:ascii="Times New Roman" w:hAnsi="Times New Roman"/>
          <w:i/>
          <w:sz w:val="24"/>
          <w:szCs w:val="24"/>
          <w:lang w:val="nl-NL"/>
        </w:rPr>
        <w:t xml:space="preserve">(***): </w:t>
      </w:r>
      <w:r w:rsidR="004F5C05">
        <w:rPr>
          <w:rFonts w:ascii="Times New Roman" w:hAnsi="Times New Roman"/>
          <w:i/>
          <w:sz w:val="24"/>
          <w:szCs w:val="24"/>
          <w:lang w:val="nl-NL"/>
        </w:rPr>
        <w:tab/>
      </w:r>
      <w:r w:rsidR="0034115C" w:rsidRPr="00332909">
        <w:rPr>
          <w:rFonts w:ascii="Times New Roman" w:hAnsi="Times New Roman"/>
          <w:i/>
          <w:sz w:val="24"/>
          <w:szCs w:val="24"/>
          <w:lang w:val="nl-NL"/>
        </w:rPr>
        <w:t>Quỹ áp dụng chỉ số tham chiếu</w:t>
      </w:r>
      <w:r w:rsidR="000769A6">
        <w:rPr>
          <w:rFonts w:ascii="Times New Roman" w:hAnsi="Times New Roman"/>
          <w:i/>
          <w:sz w:val="24"/>
          <w:szCs w:val="24"/>
          <w:lang w:val="nl-NL"/>
        </w:rPr>
        <w:t xml:space="preserve"> là </w:t>
      </w:r>
      <w:r w:rsidR="000769A6" w:rsidRPr="000769A6">
        <w:rPr>
          <w:rFonts w:ascii="Times New Roman" w:hAnsi="Times New Roman"/>
          <w:i/>
          <w:sz w:val="24"/>
          <w:szCs w:val="24"/>
          <w:lang w:val="nl-NL"/>
        </w:rPr>
        <w:t>Chỉ số Trái phiếu Chính phủ năm (05) năm của HNX</w:t>
      </w:r>
      <w:r w:rsidR="000769A6">
        <w:rPr>
          <w:rFonts w:ascii="Times New Roman" w:hAnsi="Times New Roman"/>
          <w:i/>
          <w:sz w:val="24"/>
          <w:szCs w:val="24"/>
          <w:lang w:val="nl-NL"/>
        </w:rPr>
        <w:t xml:space="preserve"> tại thời điểm 30/06/2019.</w:t>
      </w:r>
    </w:p>
    <w:p w:rsidR="006F77D6" w:rsidRPr="00F2683A" w:rsidRDefault="006F77D6" w:rsidP="00B3750F">
      <w:pPr>
        <w:shd w:val="clear" w:color="auto" w:fill="FFFFFF"/>
        <w:tabs>
          <w:tab w:val="left" w:pos="540"/>
        </w:tabs>
        <w:spacing w:before="120" w:after="0" w:line="240" w:lineRule="auto"/>
        <w:jc w:val="both"/>
        <w:rPr>
          <w:rFonts w:ascii="Times New Roman" w:hAnsi="Times New Roman"/>
          <w:i/>
          <w:sz w:val="24"/>
          <w:szCs w:val="24"/>
          <w:lang w:val="nl-NL"/>
        </w:rPr>
      </w:pPr>
    </w:p>
    <w:p w:rsidR="001C4468" w:rsidRPr="00F2683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III. </w:t>
      </w:r>
      <w:r w:rsidR="00B953F5">
        <w:rPr>
          <w:rFonts w:ascii="Times New Roman" w:hAnsi="Times New Roman"/>
          <w:b/>
          <w:sz w:val="24"/>
          <w:szCs w:val="24"/>
          <w:lang w:val="nl-NL"/>
        </w:rPr>
        <w:tab/>
      </w:r>
      <w:r w:rsidRPr="00F2683A">
        <w:rPr>
          <w:rFonts w:ascii="Times New Roman" w:hAnsi="Times New Roman"/>
          <w:b/>
          <w:sz w:val="24"/>
          <w:szCs w:val="24"/>
          <w:lang w:val="nl-NL"/>
        </w:rPr>
        <w:t>M</w:t>
      </w:r>
      <w:r w:rsidR="00B953F5">
        <w:rPr>
          <w:rFonts w:ascii="Times New Roman" w:hAnsi="Times New Roman"/>
          <w:b/>
          <w:sz w:val="24"/>
          <w:szCs w:val="24"/>
          <w:lang w:val="nl-NL"/>
        </w:rPr>
        <w:t>Ô TẢ THỊ TRƯỜNG TRONG KỲ</w:t>
      </w:r>
    </w:p>
    <w:p w:rsidR="009535E9" w:rsidRPr="00E27DDB"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E27DDB">
        <w:rPr>
          <w:rFonts w:ascii="Times New Roman" w:hAnsi="Times New Roman"/>
          <w:b/>
          <w:sz w:val="24"/>
          <w:szCs w:val="24"/>
          <w:lang w:val="nl-NL"/>
        </w:rPr>
        <w:t>Kinh tế Vĩ mô:</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Tăng trưởng GDP: GDP trong 6 tháng đầu năm ước tính tăng 6</w:t>
      </w:r>
      <w:r w:rsidR="00621E6D" w:rsidRPr="00F50B89">
        <w:rPr>
          <w:rFonts w:ascii="Times New Roman" w:hAnsi="Times New Roman"/>
          <w:sz w:val="24"/>
          <w:szCs w:val="24"/>
          <w:lang w:val="nl-NL"/>
        </w:rPr>
        <w:t>,</w:t>
      </w:r>
      <w:r w:rsidRPr="00F50B89">
        <w:rPr>
          <w:rFonts w:ascii="Times New Roman" w:hAnsi="Times New Roman"/>
          <w:sz w:val="24"/>
          <w:szCs w:val="24"/>
          <w:lang w:val="nl-NL"/>
        </w:rPr>
        <w:t>76% YoY, thấp hơn cùng kì năm 2018 nhưng cao vượt trội so với tăng trưởng 6 tháng các năm từ 2011 – 2017. Việt Nam vẫn là nước có tăng trưởng cao so với các nước trong khu vực. GDP đang có xu hướng tăng tưởng chậm lại qua các quý (6</w:t>
      </w:r>
      <w:r w:rsidR="00621E6D" w:rsidRPr="00F50B89">
        <w:rPr>
          <w:rFonts w:ascii="Times New Roman" w:hAnsi="Times New Roman"/>
          <w:sz w:val="24"/>
          <w:szCs w:val="24"/>
          <w:lang w:val="nl-NL"/>
        </w:rPr>
        <w:t>,</w:t>
      </w:r>
      <w:r w:rsidRPr="00F50B89">
        <w:rPr>
          <w:rFonts w:ascii="Times New Roman" w:hAnsi="Times New Roman"/>
          <w:sz w:val="24"/>
          <w:szCs w:val="24"/>
          <w:lang w:val="nl-NL"/>
        </w:rPr>
        <w:t>71% so v</w:t>
      </w:r>
      <w:r w:rsidR="002339E4" w:rsidRPr="00F50B89">
        <w:rPr>
          <w:rFonts w:ascii="Times New Roman" w:hAnsi="Times New Roman"/>
          <w:sz w:val="24"/>
          <w:szCs w:val="24"/>
          <w:lang w:val="nl-NL"/>
        </w:rPr>
        <w:t>ới 6</w:t>
      </w:r>
      <w:r w:rsidR="00621E6D" w:rsidRPr="00F50B89">
        <w:rPr>
          <w:rFonts w:ascii="Times New Roman" w:hAnsi="Times New Roman"/>
          <w:sz w:val="24"/>
          <w:szCs w:val="24"/>
          <w:lang w:val="nl-NL"/>
        </w:rPr>
        <w:t>,</w:t>
      </w:r>
      <w:r w:rsidRPr="00F50B89">
        <w:rPr>
          <w:rFonts w:ascii="Times New Roman" w:hAnsi="Times New Roman"/>
          <w:sz w:val="24"/>
          <w:szCs w:val="24"/>
          <w:lang w:val="nl-NL"/>
        </w:rPr>
        <w:t>79%). Nguyên nhân chủ yếu là: về phía cung, ngành dịch vụ mặc dù dư địa tăng trưởng lớn nhưng 6 tháng đầu năm chỉ tăng trưởng thấp hơn GDP, nông nghiệp tăng trưởng yếu. Về phía cầu, tiến độ giải ngân đầu tư công và vốn ODA vẫn chậm, tăng trưởng xuất khẩu có xu hướng giảm mặc dù hiệp định CPTPP đã có hiệu lực.</w:t>
      </w:r>
    </w:p>
    <w:p w:rsidR="005E577E"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Lạ</w:t>
      </w:r>
      <w:r w:rsidR="00846481">
        <w:rPr>
          <w:rFonts w:ascii="Times New Roman" w:hAnsi="Times New Roman"/>
          <w:sz w:val="24"/>
          <w:szCs w:val="24"/>
          <w:lang w:val="nl-NL"/>
        </w:rPr>
        <w:t>m phát: Trong Q</w:t>
      </w:r>
      <w:r w:rsidRPr="00F50B89">
        <w:rPr>
          <w:rFonts w:ascii="Times New Roman" w:hAnsi="Times New Roman"/>
          <w:sz w:val="24"/>
          <w:szCs w:val="24"/>
          <w:lang w:val="nl-NL"/>
        </w:rPr>
        <w:t>uý I và đầ</w:t>
      </w:r>
      <w:r w:rsidR="00846481">
        <w:rPr>
          <w:rFonts w:ascii="Times New Roman" w:hAnsi="Times New Roman"/>
          <w:sz w:val="24"/>
          <w:szCs w:val="24"/>
          <w:lang w:val="nl-NL"/>
        </w:rPr>
        <w:t>u Q</w:t>
      </w:r>
      <w:r w:rsidRPr="00F50B89">
        <w:rPr>
          <w:rFonts w:ascii="Times New Roman" w:hAnsi="Times New Roman"/>
          <w:sz w:val="24"/>
          <w:szCs w:val="24"/>
          <w:lang w:val="nl-NL"/>
        </w:rPr>
        <w:t xml:space="preserve">uý II đã có nhiều đợt tăng giá xăng dầu liên tiếp tổng cộng lên đến gần 20% và tăng giá điện 8,36%. Tuy nhiên, bình quân lạm phát 6 tháng chỉ 2,64%, thấp nhất trong 3 năm gần đây. Nguyên nhân là do giá của một số mặt hàng thiết yếu và các mặt hàng thuộc quản lý của Nhà nước tăng chậm đã triệt tiêu phần nào tác động của tăng giá điện và xăng dầu. Tuy vậy, tác động "vòng 2" của việc tăng giá điện và xăng dầu vẫn còn đe dọa trong các quý sắp tới đặc biệt trong bối </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cảnh giá hàng hóa thế giới có nhiều biến động mạnh. Dự báo lạm phát bình quân năm 2019 ở mức kiểm soát dướ</w:t>
      </w:r>
      <w:r w:rsidR="00F50B89" w:rsidRPr="00F50B89">
        <w:rPr>
          <w:rFonts w:ascii="Times New Roman" w:hAnsi="Times New Roman"/>
          <w:sz w:val="24"/>
          <w:szCs w:val="24"/>
          <w:lang w:val="nl-NL"/>
        </w:rPr>
        <w:t>i 4,</w:t>
      </w:r>
      <w:r w:rsidRPr="00F50B89">
        <w:rPr>
          <w:rFonts w:ascii="Times New Roman" w:hAnsi="Times New Roman"/>
          <w:sz w:val="24"/>
          <w:szCs w:val="24"/>
          <w:lang w:val="nl-NL"/>
        </w:rPr>
        <w:t>0% tạo tiền đề cho Ngân hàng Nhà nước tiếp tục thực hiện chính sách tiền tệ chủ động, linh hoạt.</w:t>
      </w:r>
    </w:p>
    <w:p w:rsidR="00BA4FB3" w:rsidRPr="00F50B89"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F50B89">
        <w:rPr>
          <w:rFonts w:ascii="Times New Roman" w:hAnsi="Times New Roman"/>
          <w:sz w:val="24"/>
          <w:szCs w:val="24"/>
          <w:lang w:val="nl-NL"/>
        </w:rPr>
        <w:t>Chính sách ti</w:t>
      </w:r>
      <w:r w:rsidR="00F50B89" w:rsidRPr="00F50B89">
        <w:rPr>
          <w:rFonts w:ascii="Times New Roman" w:hAnsi="Times New Roman"/>
          <w:sz w:val="24"/>
          <w:szCs w:val="24"/>
          <w:lang w:val="nl-NL"/>
        </w:rPr>
        <w:t>ề</w:t>
      </w:r>
      <w:r w:rsidRPr="00F50B89">
        <w:rPr>
          <w:rFonts w:ascii="Times New Roman" w:hAnsi="Times New Roman"/>
          <w:sz w:val="24"/>
          <w:szCs w:val="24"/>
          <w:lang w:val="nl-NL"/>
        </w:rPr>
        <w:t xml:space="preserve">n tệ của Ngân hàng nhà nước nửa đầu năm 2019 vẫn xoay quanh </w:t>
      </w:r>
      <w:r w:rsidR="00436680">
        <w:rPr>
          <w:rFonts w:ascii="Times New Roman" w:hAnsi="Times New Roman"/>
          <w:sz w:val="24"/>
          <w:szCs w:val="24"/>
          <w:lang w:val="nl-NL"/>
        </w:rPr>
        <w:t>hai</w:t>
      </w:r>
      <w:r w:rsidRPr="00F50B89">
        <w:rPr>
          <w:rFonts w:ascii="Times New Roman" w:hAnsi="Times New Roman"/>
          <w:sz w:val="24"/>
          <w:szCs w:val="24"/>
          <w:lang w:val="nl-NL"/>
        </w:rPr>
        <w:t xml:space="preserve"> mục tiêu ổn định tỉ giá và kiềm chế lạm phát. </w:t>
      </w:r>
    </w:p>
    <w:p w:rsidR="00BA4FB3" w:rsidRPr="00846481"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846481">
        <w:rPr>
          <w:rFonts w:ascii="Times New Roman" w:hAnsi="Times New Roman"/>
          <w:sz w:val="24"/>
          <w:szCs w:val="24"/>
          <w:lang w:val="nl-NL"/>
        </w:rPr>
        <w:t>Tỷ giá hối đoái: Sau khi giao dịch trong biên độ hẹp quanh ngưỡng 23</w:t>
      </w:r>
      <w:r w:rsidR="00621E6D" w:rsidRPr="00846481">
        <w:rPr>
          <w:rFonts w:ascii="Times New Roman" w:hAnsi="Times New Roman"/>
          <w:sz w:val="24"/>
          <w:szCs w:val="24"/>
          <w:lang w:val="nl-NL"/>
        </w:rPr>
        <w:t>.</w:t>
      </w:r>
      <w:r w:rsidRPr="00846481">
        <w:rPr>
          <w:rFonts w:ascii="Times New Roman" w:hAnsi="Times New Roman"/>
          <w:sz w:val="24"/>
          <w:szCs w:val="24"/>
          <w:lang w:val="nl-NL"/>
        </w:rPr>
        <w:t>200 trong 4 tháng đầu năm, VN</w:t>
      </w:r>
      <w:r w:rsidR="00846481" w:rsidRPr="00846481">
        <w:rPr>
          <w:rFonts w:ascii="Times New Roman" w:hAnsi="Times New Roman"/>
          <w:sz w:val="24"/>
          <w:szCs w:val="24"/>
          <w:lang w:val="nl-NL"/>
        </w:rPr>
        <w:t>Đ</w:t>
      </w:r>
      <w:r w:rsidRPr="00846481">
        <w:rPr>
          <w:rFonts w:ascii="Times New Roman" w:hAnsi="Times New Roman"/>
          <w:sz w:val="24"/>
          <w:szCs w:val="24"/>
          <w:lang w:val="nl-NL"/>
        </w:rPr>
        <w:t xml:space="preserve"> biến động mạnh hơn trong tháng 5 với việc xác lập mức thấp mới 23</w:t>
      </w:r>
      <w:r w:rsidR="00621E6D" w:rsidRPr="00846481">
        <w:rPr>
          <w:rFonts w:ascii="Times New Roman" w:hAnsi="Times New Roman"/>
          <w:sz w:val="24"/>
          <w:szCs w:val="24"/>
          <w:lang w:val="nl-NL"/>
        </w:rPr>
        <w:t>.</w:t>
      </w:r>
      <w:r w:rsidRPr="00846481">
        <w:rPr>
          <w:rFonts w:ascii="Times New Roman" w:hAnsi="Times New Roman"/>
          <w:sz w:val="24"/>
          <w:szCs w:val="24"/>
          <w:lang w:val="nl-NL"/>
        </w:rPr>
        <w:t>419 trong bối cảnh căng thẳng thương mại leo thang với đồng CNY giảm mạnh so với USD. Dù vậy, VN</w:t>
      </w:r>
      <w:r w:rsidR="00846481" w:rsidRPr="00846481">
        <w:rPr>
          <w:rFonts w:ascii="Times New Roman" w:hAnsi="Times New Roman"/>
          <w:sz w:val="24"/>
          <w:szCs w:val="24"/>
          <w:lang w:val="nl-NL"/>
        </w:rPr>
        <w:t>Đ</w:t>
      </w:r>
      <w:r w:rsidRPr="00846481">
        <w:rPr>
          <w:rFonts w:ascii="Times New Roman" w:hAnsi="Times New Roman"/>
          <w:sz w:val="24"/>
          <w:szCs w:val="24"/>
          <w:lang w:val="nl-NL"/>
        </w:rPr>
        <w:t xml:space="preserve"> đã ổn định trở lại và đang giao dịch ở ngưỡng 23</w:t>
      </w:r>
      <w:r w:rsidR="00621E6D" w:rsidRPr="00846481">
        <w:rPr>
          <w:rFonts w:ascii="Times New Roman" w:hAnsi="Times New Roman"/>
          <w:sz w:val="24"/>
          <w:szCs w:val="24"/>
          <w:lang w:val="nl-NL"/>
        </w:rPr>
        <w:t>.</w:t>
      </w:r>
      <w:r w:rsidRPr="00846481">
        <w:rPr>
          <w:rFonts w:ascii="Times New Roman" w:hAnsi="Times New Roman"/>
          <w:sz w:val="24"/>
          <w:szCs w:val="24"/>
          <w:lang w:val="nl-NL"/>
        </w:rPr>
        <w:t xml:space="preserve">300 (+0,6% YTD) sau khi </w:t>
      </w:r>
      <w:r w:rsidR="00846481" w:rsidRPr="00846481">
        <w:rPr>
          <w:rFonts w:ascii="Times New Roman" w:hAnsi="Times New Roman"/>
          <w:sz w:val="24"/>
          <w:szCs w:val="24"/>
          <w:lang w:val="nl-NL"/>
        </w:rPr>
        <w:t>Ngân Hàng Nhà Nước</w:t>
      </w:r>
      <w:r w:rsidRPr="00846481">
        <w:rPr>
          <w:rFonts w:ascii="Times New Roman" w:hAnsi="Times New Roman"/>
          <w:sz w:val="24"/>
          <w:szCs w:val="24"/>
          <w:lang w:val="nl-NL"/>
        </w:rPr>
        <w:t xml:space="preserve"> chủ động điều tiết cung cầu ngoại tệ và nguồn cung ngoại tệ dồi dào từ FDI và FII.</w:t>
      </w:r>
    </w:p>
    <w:p w:rsidR="00BA4FB3" w:rsidRPr="00846481"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846481">
        <w:rPr>
          <w:rFonts w:ascii="Times New Roman" w:hAnsi="Times New Roman"/>
          <w:sz w:val="24"/>
          <w:szCs w:val="24"/>
          <w:lang w:val="nl-NL"/>
        </w:rPr>
        <w:t>Các điểm nhấn kinh tế khác trong 6 tháng đầu năm 2019</w:t>
      </w:r>
      <w:r w:rsidR="00846481">
        <w:rPr>
          <w:rFonts w:ascii="Times New Roman" w:hAnsi="Times New Roman"/>
          <w:sz w:val="24"/>
          <w:szCs w:val="24"/>
          <w:lang w:val="nl-NL"/>
        </w:rPr>
        <w:t xml:space="preserve">: </w:t>
      </w:r>
      <w:r w:rsidRPr="00846481">
        <w:rPr>
          <w:rFonts w:ascii="Times New Roman" w:hAnsi="Times New Roman"/>
          <w:sz w:val="24"/>
          <w:szCs w:val="24"/>
          <w:lang w:val="nl-NL"/>
        </w:rPr>
        <w:t>PMI sản xuất trở lại mức cao nhất kể từ đầu năm</w:t>
      </w:r>
      <w:r w:rsidR="00846481">
        <w:rPr>
          <w:rFonts w:ascii="Times New Roman" w:hAnsi="Times New Roman"/>
          <w:sz w:val="24"/>
          <w:szCs w:val="24"/>
          <w:lang w:val="nl-NL"/>
        </w:rPr>
        <w:t>, đạt</w:t>
      </w:r>
      <w:r w:rsidRPr="00846481">
        <w:rPr>
          <w:rFonts w:ascii="Times New Roman" w:hAnsi="Times New Roman"/>
          <w:sz w:val="24"/>
          <w:szCs w:val="24"/>
          <w:lang w:val="nl-NL"/>
        </w:rPr>
        <w:t xml:space="preserve"> 52,5 điểm trong tháng 6</w:t>
      </w:r>
      <w:r w:rsidR="00846481">
        <w:rPr>
          <w:rFonts w:ascii="Times New Roman" w:hAnsi="Times New Roman"/>
          <w:sz w:val="24"/>
          <w:szCs w:val="24"/>
          <w:lang w:val="nl-NL"/>
        </w:rPr>
        <w:t xml:space="preserve">. </w:t>
      </w:r>
      <w:r w:rsidR="00846481" w:rsidRPr="00846481">
        <w:rPr>
          <w:rFonts w:ascii="Times New Roman" w:hAnsi="Times New Roman"/>
          <w:sz w:val="24"/>
          <w:szCs w:val="24"/>
          <w:lang w:val="nl-NL"/>
        </w:rPr>
        <w:t>Xuất khẩu tăng tốc trong Q</w:t>
      </w:r>
      <w:r w:rsidR="00846481">
        <w:rPr>
          <w:rFonts w:ascii="Times New Roman" w:hAnsi="Times New Roman"/>
          <w:sz w:val="24"/>
          <w:szCs w:val="24"/>
          <w:lang w:val="nl-NL"/>
        </w:rPr>
        <w:t>úy II</w:t>
      </w:r>
      <w:r w:rsidR="00846481" w:rsidRPr="00846481">
        <w:rPr>
          <w:rFonts w:ascii="Times New Roman" w:hAnsi="Times New Roman"/>
          <w:sz w:val="24"/>
          <w:szCs w:val="24"/>
          <w:lang w:val="nl-NL"/>
        </w:rPr>
        <w:t xml:space="preserve"> nhờ nhóm hàng công nghệ.</w:t>
      </w:r>
    </w:p>
    <w:p w:rsidR="00BA4FB3" w:rsidRPr="00846481" w:rsidRDefault="00BA4FB3"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846481">
        <w:rPr>
          <w:rFonts w:ascii="Times New Roman" w:hAnsi="Times New Roman"/>
          <w:b/>
          <w:sz w:val="24"/>
          <w:szCs w:val="24"/>
          <w:lang w:val="nl-NL"/>
        </w:rPr>
        <w:t>Thị trường chứng khoán:</w:t>
      </w:r>
    </w:p>
    <w:p w:rsidR="00BA4FB3" w:rsidRPr="00E27DDB"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E27DDB">
        <w:rPr>
          <w:rFonts w:ascii="Times New Roman" w:hAnsi="Times New Roman"/>
          <w:sz w:val="24"/>
          <w:szCs w:val="24"/>
          <w:lang w:val="nl-NL"/>
        </w:rPr>
        <w:t>T</w:t>
      </w:r>
      <w:r w:rsidR="00846481" w:rsidRPr="00E27DDB">
        <w:rPr>
          <w:rFonts w:ascii="Times New Roman" w:hAnsi="Times New Roman"/>
          <w:sz w:val="24"/>
          <w:szCs w:val="24"/>
          <w:lang w:val="nl-NL"/>
        </w:rPr>
        <w:t>hị trường Chứng khoán</w:t>
      </w:r>
      <w:r w:rsidRPr="00E27DDB">
        <w:rPr>
          <w:rFonts w:ascii="Times New Roman" w:hAnsi="Times New Roman"/>
          <w:sz w:val="24"/>
          <w:szCs w:val="24"/>
          <w:lang w:val="nl-NL"/>
        </w:rPr>
        <w:t xml:space="preserve"> Việt Nam và thế giới tăng điểm mạ</w:t>
      </w:r>
      <w:r w:rsidR="00846481" w:rsidRPr="00E27DDB">
        <w:rPr>
          <w:rFonts w:ascii="Times New Roman" w:hAnsi="Times New Roman"/>
          <w:sz w:val="24"/>
          <w:szCs w:val="24"/>
          <w:lang w:val="nl-NL"/>
        </w:rPr>
        <w:t>nh trong Quý I</w:t>
      </w:r>
      <w:r w:rsidRPr="00E27DDB">
        <w:rPr>
          <w:rFonts w:ascii="Times New Roman" w:hAnsi="Times New Roman"/>
          <w:sz w:val="24"/>
          <w:szCs w:val="24"/>
          <w:lang w:val="nl-NL"/>
        </w:rPr>
        <w:t>/2019 cả về giá trị và mức độ tăng điểm. Chỉ số VN-Index đạt đỉnh vào giữa tháng 3 sau đó đi vào giai đoạn suy giảm với thanh khoản thấp cho đến cuối Quý II. Kết thúc Quý II thị trường đóng cửa quanh mốc 950 điểm.</w:t>
      </w:r>
    </w:p>
    <w:p w:rsidR="001C4468" w:rsidRPr="00E27DDB" w:rsidRDefault="00BA4FB3" w:rsidP="00B3750F">
      <w:pPr>
        <w:shd w:val="clear" w:color="auto" w:fill="FFFFFF"/>
        <w:tabs>
          <w:tab w:val="left" w:pos="540"/>
        </w:tabs>
        <w:spacing w:before="120" w:after="0" w:line="240" w:lineRule="auto"/>
        <w:jc w:val="both"/>
        <w:rPr>
          <w:rFonts w:ascii="Times New Roman" w:hAnsi="Times New Roman"/>
          <w:sz w:val="24"/>
          <w:szCs w:val="24"/>
          <w:lang w:val="nl-NL"/>
        </w:rPr>
      </w:pPr>
      <w:r w:rsidRPr="00E27DDB">
        <w:rPr>
          <w:rFonts w:ascii="Times New Roman" w:hAnsi="Times New Roman"/>
          <w:sz w:val="24"/>
          <w:szCs w:val="24"/>
          <w:lang w:val="nl-NL"/>
        </w:rPr>
        <w:t xml:space="preserve">Thị trường </w:t>
      </w:r>
      <w:r w:rsidR="00846481" w:rsidRPr="00E27DDB">
        <w:rPr>
          <w:rFonts w:ascii="Times New Roman" w:hAnsi="Times New Roman"/>
          <w:sz w:val="24"/>
          <w:szCs w:val="24"/>
          <w:lang w:val="nl-NL"/>
        </w:rPr>
        <w:t>Trái phiếu Chính phủ</w:t>
      </w:r>
      <w:r w:rsidRPr="00E27DDB">
        <w:rPr>
          <w:rFonts w:ascii="Times New Roman" w:hAnsi="Times New Roman"/>
          <w:sz w:val="24"/>
          <w:szCs w:val="24"/>
          <w:lang w:val="nl-NL"/>
        </w:rPr>
        <w:t xml:space="preserve"> Việt Nam trong 6 tháng đầu năm trải qua sự sụt giảm so với cuối năm 2018 về lợi suất do thanh khoản dư thừa trong hệ thống ngân hàng. Điều này góp phần làm việc hấp thụ đấu giá trái phiếu thuận lợi hơn. Lợi suất </w:t>
      </w:r>
      <w:r w:rsidR="00846481" w:rsidRPr="00E27DDB">
        <w:rPr>
          <w:rFonts w:ascii="Times New Roman" w:hAnsi="Times New Roman"/>
          <w:sz w:val="24"/>
          <w:szCs w:val="24"/>
          <w:lang w:val="nl-NL"/>
        </w:rPr>
        <w:t>Trái phiếu Chính phủ</w:t>
      </w:r>
      <w:r w:rsidRPr="00E27DDB">
        <w:rPr>
          <w:rFonts w:ascii="Times New Roman" w:hAnsi="Times New Roman"/>
          <w:sz w:val="24"/>
          <w:szCs w:val="24"/>
          <w:lang w:val="nl-NL"/>
        </w:rPr>
        <w:t xml:space="preserve"> trên thị trường thứ cấp diễn biến cùng chiều với thị trường sơ cấp, với sự sụt giảm khoảng 30 – 80 bps so với thời điểm tháng 12/2018 trong đó mạnh nhất là kỳ hạn 1 năm.</w:t>
      </w:r>
    </w:p>
    <w:p w:rsidR="00F50B89" w:rsidRDefault="00F50B89"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b/>
          <w:sz w:val="24"/>
          <w:szCs w:val="24"/>
          <w:lang w:val="nl-NL"/>
        </w:rPr>
        <w:t xml:space="preserve">IV. </w:t>
      </w:r>
      <w:r w:rsidR="008978F2">
        <w:rPr>
          <w:rFonts w:ascii="Times New Roman" w:hAnsi="Times New Roman"/>
          <w:b/>
          <w:sz w:val="24"/>
          <w:szCs w:val="24"/>
          <w:lang w:val="nl-NL"/>
        </w:rPr>
        <w:tab/>
      </w:r>
      <w:r w:rsidRPr="00F2683A">
        <w:rPr>
          <w:rFonts w:ascii="Times New Roman" w:hAnsi="Times New Roman"/>
          <w:b/>
          <w:sz w:val="24"/>
          <w:szCs w:val="24"/>
          <w:lang w:val="nl-NL"/>
        </w:rPr>
        <w:t>C</w:t>
      </w:r>
      <w:r w:rsidR="00846481">
        <w:rPr>
          <w:rFonts w:ascii="Times New Roman" w:hAnsi="Times New Roman"/>
          <w:b/>
          <w:sz w:val="24"/>
          <w:szCs w:val="24"/>
          <w:lang w:val="nl-NL"/>
        </w:rPr>
        <w:t>HI TIẾT CÁC CHỈ TIÊU HOẠT ĐỘNG CỦA QUỸ</w:t>
      </w:r>
    </w:p>
    <w:p w:rsidR="001C4468" w:rsidRPr="008978F2"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8978F2">
        <w:rPr>
          <w:rFonts w:ascii="Times New Roman" w:hAnsi="Times New Roman"/>
          <w:b/>
          <w:sz w:val="24"/>
          <w:szCs w:val="24"/>
          <w:lang w:val="nl-NL"/>
        </w:rPr>
        <w:t>Số liệu chi tiết hoạt động của Quỹ</w:t>
      </w:r>
    </w:p>
    <w:tbl>
      <w:tblPr>
        <w:tblStyle w:val="TableGrid"/>
        <w:tblW w:w="0" w:type="auto"/>
        <w:tblLook w:val="04A0" w:firstRow="1" w:lastRow="0" w:firstColumn="1" w:lastColumn="0" w:noHBand="0" w:noVBand="1"/>
      </w:tblPr>
      <w:tblGrid>
        <w:gridCol w:w="3078"/>
        <w:gridCol w:w="2070"/>
        <w:gridCol w:w="2610"/>
        <w:gridCol w:w="2358"/>
      </w:tblGrid>
      <w:tr w:rsidR="008978F2" w:rsidRPr="0037324A" w:rsidTr="008978F2">
        <w:tc>
          <w:tcPr>
            <w:tcW w:w="3078" w:type="dxa"/>
          </w:tcPr>
          <w:p w:rsidR="008978F2" w:rsidRDefault="008978F2" w:rsidP="008978F2">
            <w:pPr>
              <w:tabs>
                <w:tab w:val="left" w:pos="540"/>
              </w:tabs>
              <w:spacing w:before="120"/>
              <w:jc w:val="center"/>
              <w:rPr>
                <w:rFonts w:ascii="Times New Roman" w:hAnsi="Times New Roman"/>
                <w:b/>
                <w:sz w:val="24"/>
                <w:szCs w:val="24"/>
                <w:lang w:val="nl-NL"/>
              </w:rPr>
            </w:pPr>
            <w:r w:rsidRPr="008978F2">
              <w:rPr>
                <w:rFonts w:ascii="Times New Roman" w:hAnsi="Times New Roman"/>
                <w:b/>
                <w:sz w:val="24"/>
                <w:szCs w:val="24"/>
                <w:lang w:val="nl-NL"/>
              </w:rPr>
              <w:t>Chỉ tiêu</w:t>
            </w:r>
          </w:p>
        </w:tc>
        <w:tc>
          <w:tcPr>
            <w:tcW w:w="207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1 năm đến thời điểm báo cáo (%)</w:t>
            </w:r>
          </w:p>
        </w:tc>
        <w:tc>
          <w:tcPr>
            <w:tcW w:w="2610"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3 năm gần nhất tính đến thời điểm báo cáo (%)</w:t>
            </w:r>
          </w:p>
        </w:tc>
        <w:tc>
          <w:tcPr>
            <w:tcW w:w="2358" w:type="dxa"/>
          </w:tcPr>
          <w:p w:rsidR="008978F2" w:rsidRDefault="008978F2" w:rsidP="00B3750F">
            <w:pPr>
              <w:tabs>
                <w:tab w:val="left" w:pos="540"/>
              </w:tabs>
              <w:spacing w:before="120"/>
              <w:jc w:val="both"/>
              <w:rPr>
                <w:rFonts w:ascii="Times New Roman" w:hAnsi="Times New Roman"/>
                <w:b/>
                <w:sz w:val="24"/>
                <w:szCs w:val="24"/>
                <w:lang w:val="nl-NL"/>
              </w:rPr>
            </w:pPr>
            <w:r w:rsidRPr="00F2683A">
              <w:rPr>
                <w:rFonts w:ascii="Times New Roman" w:eastAsia="Times New Roman" w:hAnsi="Times New Roman"/>
                <w:sz w:val="24"/>
                <w:szCs w:val="24"/>
                <w:lang w:val="nl-NL"/>
              </w:rPr>
              <w:t>Từ khi thành lập đến thời điểm báo cáo (%)</w:t>
            </w:r>
          </w:p>
        </w:tc>
      </w:tr>
      <w:tr w:rsidR="001A5984" w:rsidTr="002F6707">
        <w:tc>
          <w:tcPr>
            <w:tcW w:w="307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207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2610"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2358" w:type="dxa"/>
            <w:vAlign w:val="center"/>
          </w:tcPr>
          <w:p w:rsidR="001A5984" w:rsidRPr="00F2683A" w:rsidRDefault="001A5984" w:rsidP="001A5984">
            <w:pPr>
              <w:tabs>
                <w:tab w:val="left" w:pos="540"/>
              </w:tabs>
              <w:spacing w:before="120"/>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thu nhập/1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0,57%</w:t>
            </w:r>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Vốn/1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0,00</w:t>
            </w:r>
          </w:p>
        </w:tc>
      </w:tr>
      <w:tr w:rsidR="00A1471B" w:rsidTr="00DA597D">
        <w:tc>
          <w:tcPr>
            <w:tcW w:w="3078" w:type="dxa"/>
            <w:vAlign w:val="center"/>
          </w:tcPr>
          <w:p w:rsidR="00A1471B" w:rsidRPr="00461ED9" w:rsidRDefault="00A1471B" w:rsidP="00A1471B">
            <w:pPr>
              <w:tabs>
                <w:tab w:val="left" w:pos="540"/>
              </w:tabs>
              <w:spacing w:before="120"/>
              <w:jc w:val="both"/>
              <w:rPr>
                <w:rFonts w:ascii="Times New Roman" w:eastAsia="Times New Roman" w:hAnsi="Times New Roman"/>
                <w:b/>
                <w:sz w:val="24"/>
                <w:szCs w:val="24"/>
                <w:lang w:val="nl-NL"/>
              </w:rPr>
            </w:pPr>
            <w:r w:rsidRPr="00461ED9">
              <w:rPr>
                <w:rFonts w:ascii="Times New Roman" w:eastAsia="Times New Roman" w:hAnsi="Times New Roman"/>
                <w:b/>
                <w:sz w:val="24"/>
                <w:szCs w:val="24"/>
                <w:lang w:val="nl-NL"/>
              </w:rPr>
              <w:t>Tổng tăng trưởng/1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b/>
                <w:sz w:val="24"/>
                <w:szCs w:val="24"/>
                <w:lang w:val="nl-NL"/>
              </w:rPr>
            </w:pPr>
            <w:r w:rsidRPr="008978F2">
              <w:rPr>
                <w:rFonts w:ascii="Times New Roman" w:eastAsia="Times New Roman" w:hAnsi="Times New Roman"/>
                <w:b/>
                <w:sz w:val="24"/>
                <w:szCs w:val="24"/>
                <w:lang w:val="nl-NL"/>
              </w:rPr>
              <w:t>N/A</w:t>
            </w:r>
          </w:p>
        </w:tc>
        <w:tc>
          <w:tcPr>
            <w:tcW w:w="2358" w:type="dxa"/>
            <w:vAlign w:val="center"/>
          </w:tcPr>
          <w:p w:rsidR="00A1471B" w:rsidRPr="004B07B4" w:rsidRDefault="0037324A" w:rsidP="00A1471B">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0,57%</w:t>
            </w:r>
            <w:bookmarkStart w:id="0" w:name="_GoBack"/>
            <w:bookmarkEnd w:id="0"/>
          </w:p>
        </w:tc>
      </w:tr>
      <w:tr w:rsidR="00A1471B" w:rsidTr="00DA597D">
        <w:tc>
          <w:tcPr>
            <w:tcW w:w="3078" w:type="dxa"/>
            <w:vAlign w:val="center"/>
          </w:tcPr>
          <w:p w:rsidR="00A1471B" w:rsidRPr="00F2683A" w:rsidRDefault="00A1471B" w:rsidP="00A1471B">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hàng năm</w:t>
            </w:r>
            <w:r>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 đơn vị CCQ</w:t>
            </w:r>
          </w:p>
        </w:tc>
        <w:tc>
          <w:tcPr>
            <w:tcW w:w="207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610" w:type="dxa"/>
            <w:vAlign w:val="center"/>
          </w:tcPr>
          <w:p w:rsidR="00A1471B" w:rsidRPr="008978F2" w:rsidRDefault="00A1471B" w:rsidP="00A1471B">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w:t>
            </w:r>
          </w:p>
        </w:tc>
        <w:tc>
          <w:tcPr>
            <w:tcW w:w="2358" w:type="dxa"/>
            <w:vAlign w:val="center"/>
          </w:tcPr>
          <w:p w:rsidR="00A1471B" w:rsidRPr="004B07B4" w:rsidRDefault="00A1471B" w:rsidP="00A1471B">
            <w:pPr>
              <w:tabs>
                <w:tab w:val="left" w:pos="540"/>
              </w:tabs>
              <w:spacing w:before="120"/>
              <w:jc w:val="center"/>
              <w:rPr>
                <w:rFonts w:ascii="Times New Roman" w:eastAsia="Times New Roman" w:hAnsi="Times New Roman"/>
                <w:sz w:val="24"/>
                <w:szCs w:val="24"/>
                <w:lang w:val="nl-NL"/>
              </w:rPr>
            </w:pPr>
            <w:r w:rsidRPr="004B07B4">
              <w:rPr>
                <w:rFonts w:ascii="Times New Roman" w:eastAsia="Times New Roman" w:hAnsi="Times New Roman"/>
                <w:sz w:val="24"/>
                <w:szCs w:val="24"/>
                <w:lang w:val="nl-NL"/>
              </w:rPr>
              <w:t>0,55</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Tăng trưởng của danh mục cơ cấu</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(1)</w:t>
            </w:r>
          </w:p>
        </w:tc>
      </w:tr>
      <w:tr w:rsidR="008978F2" w:rsidTr="00DA597D">
        <w:tc>
          <w:tcPr>
            <w:tcW w:w="3078" w:type="dxa"/>
            <w:vAlign w:val="center"/>
          </w:tcPr>
          <w:p w:rsidR="008978F2" w:rsidRPr="00F2683A" w:rsidRDefault="008978F2" w:rsidP="008978F2">
            <w:pPr>
              <w:tabs>
                <w:tab w:val="left" w:pos="540"/>
              </w:tabs>
              <w:spacing w:before="120"/>
              <w:jc w:val="both"/>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Thay đổi giá trị thị trường của 1 đơn vị CCQ</w:t>
            </w:r>
          </w:p>
        </w:tc>
        <w:tc>
          <w:tcPr>
            <w:tcW w:w="207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610"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c>
          <w:tcPr>
            <w:tcW w:w="2358" w:type="dxa"/>
            <w:vAlign w:val="center"/>
          </w:tcPr>
          <w:p w:rsidR="008978F2" w:rsidRPr="008978F2" w:rsidRDefault="008978F2" w:rsidP="008978F2">
            <w:pPr>
              <w:tabs>
                <w:tab w:val="left" w:pos="540"/>
              </w:tabs>
              <w:spacing w:before="120"/>
              <w:jc w:val="center"/>
              <w:rPr>
                <w:rFonts w:ascii="Times New Roman" w:eastAsia="Times New Roman" w:hAnsi="Times New Roman"/>
                <w:sz w:val="24"/>
                <w:szCs w:val="24"/>
                <w:lang w:val="nl-NL"/>
              </w:rPr>
            </w:pPr>
            <w:r w:rsidRPr="008978F2">
              <w:rPr>
                <w:rFonts w:ascii="Times New Roman" w:eastAsia="Times New Roman" w:hAnsi="Times New Roman"/>
                <w:sz w:val="24"/>
                <w:szCs w:val="24"/>
                <w:lang w:val="nl-NL"/>
              </w:rPr>
              <w:t>N/A (2)</w:t>
            </w:r>
          </w:p>
        </w:tc>
      </w:tr>
    </w:tbl>
    <w:p w:rsidR="00CA1215" w:rsidRDefault="00CA1215"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rsidR="00D034B8" w:rsidRPr="008978F2"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8978F2">
        <w:rPr>
          <w:rFonts w:ascii="Times New Roman" w:hAnsi="Times New Roman"/>
          <w:b/>
          <w:i/>
          <w:sz w:val="24"/>
          <w:szCs w:val="24"/>
          <w:u w:val="single"/>
          <w:lang w:val="nl-NL"/>
        </w:rPr>
        <w:t xml:space="preserve">Ghi chú: </w:t>
      </w:r>
    </w:p>
    <w:p w:rsidR="001C4468" w:rsidRPr="004F5C0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 xml:space="preserve">N/A: </w:t>
      </w:r>
      <w:r w:rsidRPr="004F5C05">
        <w:rPr>
          <w:rFonts w:ascii="Times New Roman" w:hAnsi="Times New Roman"/>
          <w:i/>
          <w:sz w:val="24"/>
          <w:szCs w:val="24"/>
          <w:lang w:val="nl-NL"/>
        </w:rPr>
        <w:tab/>
      </w:r>
      <w:r w:rsidRPr="004F5C05">
        <w:rPr>
          <w:rFonts w:ascii="Times New Roman" w:hAnsi="Times New Roman"/>
          <w:i/>
          <w:sz w:val="24"/>
          <w:szCs w:val="24"/>
          <w:lang w:val="nl-NL"/>
        </w:rPr>
        <w:tab/>
        <w:t>Quỹ mới thành lập và đi vào hoạt động từ ngày 03 tháng 04 năm 201</w:t>
      </w:r>
      <w:r w:rsidR="00CC754B" w:rsidRPr="004F5C05">
        <w:rPr>
          <w:rFonts w:ascii="Times New Roman" w:hAnsi="Times New Roman"/>
          <w:i/>
          <w:sz w:val="24"/>
          <w:szCs w:val="24"/>
          <w:lang w:val="nl-NL"/>
        </w:rPr>
        <w:t>9</w:t>
      </w:r>
      <w:r w:rsidRPr="004F5C05">
        <w:rPr>
          <w:rFonts w:ascii="Times New Roman" w:hAnsi="Times New Roman"/>
          <w:i/>
          <w:sz w:val="24"/>
          <w:szCs w:val="24"/>
          <w:lang w:val="nl-NL"/>
        </w:rPr>
        <w:t>, nên các chỉ tiêu không đủ dữ liệu để tính toán</w:t>
      </w:r>
      <w:r w:rsidR="00621E6D" w:rsidRPr="004F5C05">
        <w:rPr>
          <w:rFonts w:ascii="Times New Roman" w:hAnsi="Times New Roman"/>
          <w:i/>
          <w:sz w:val="24"/>
          <w:szCs w:val="24"/>
          <w:lang w:val="nl-NL"/>
        </w:rPr>
        <w:t>.</w:t>
      </w:r>
    </w:p>
    <w:p w:rsidR="00D034B8"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(1)</w:t>
      </w:r>
      <w:r w:rsidR="00D034B8" w:rsidRPr="004F5C05">
        <w:rPr>
          <w:rFonts w:ascii="Times New Roman" w:hAnsi="Times New Roman"/>
          <w:i/>
          <w:sz w:val="24"/>
          <w:szCs w:val="24"/>
          <w:lang w:val="nl-NL"/>
        </w:rPr>
        <w:t xml:space="preserve">: </w:t>
      </w:r>
      <w:r w:rsidR="00D034B8" w:rsidRPr="004F5C05">
        <w:rPr>
          <w:rFonts w:ascii="Times New Roman" w:hAnsi="Times New Roman"/>
          <w:i/>
          <w:sz w:val="24"/>
          <w:szCs w:val="24"/>
          <w:lang w:val="nl-NL"/>
        </w:rPr>
        <w:tab/>
      </w:r>
      <w:r w:rsidR="00686487" w:rsidRPr="004F5C05">
        <w:rPr>
          <w:rFonts w:ascii="Times New Roman" w:hAnsi="Times New Roman"/>
          <w:i/>
          <w:sz w:val="24"/>
          <w:szCs w:val="24"/>
          <w:lang w:val="nl-NL"/>
        </w:rPr>
        <w:t>Quỹ không sử dụng danh mụ</w:t>
      </w:r>
      <w:r w:rsidR="00686487">
        <w:rPr>
          <w:rFonts w:ascii="Times New Roman" w:hAnsi="Times New Roman"/>
          <w:i/>
          <w:sz w:val="24"/>
          <w:szCs w:val="24"/>
          <w:lang w:val="nl-NL"/>
        </w:rPr>
        <w:t>c cơ cấu.</w:t>
      </w:r>
    </w:p>
    <w:p w:rsidR="009671DB" w:rsidRPr="004F5C0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4F5C05">
        <w:rPr>
          <w:rFonts w:ascii="Times New Roman" w:hAnsi="Times New Roman"/>
          <w:i/>
          <w:sz w:val="24"/>
          <w:szCs w:val="24"/>
          <w:lang w:val="nl-NL"/>
        </w:rPr>
        <w:t>N/A</w:t>
      </w:r>
      <w:r w:rsidR="00CC754B" w:rsidRPr="004F5C05">
        <w:rPr>
          <w:rFonts w:ascii="Times New Roman" w:hAnsi="Times New Roman"/>
          <w:i/>
          <w:sz w:val="24"/>
          <w:szCs w:val="24"/>
          <w:lang w:val="nl-NL"/>
        </w:rPr>
        <w:t xml:space="preserve"> </w:t>
      </w:r>
      <w:r w:rsidRPr="004F5C05">
        <w:rPr>
          <w:rFonts w:ascii="Times New Roman" w:hAnsi="Times New Roman"/>
          <w:i/>
          <w:sz w:val="24"/>
          <w:szCs w:val="24"/>
          <w:lang w:val="nl-NL"/>
        </w:rPr>
        <w:t>(2):</w:t>
      </w:r>
      <w:r w:rsidRPr="004F5C05">
        <w:rPr>
          <w:rFonts w:ascii="Times New Roman" w:hAnsi="Times New Roman"/>
          <w:i/>
          <w:sz w:val="24"/>
          <w:szCs w:val="24"/>
          <w:lang w:val="nl-NL"/>
        </w:rPr>
        <w:tab/>
      </w:r>
      <w:r w:rsidR="00686487" w:rsidRPr="004F5C05">
        <w:rPr>
          <w:rFonts w:ascii="Times New Roman" w:hAnsi="Times New Roman"/>
          <w:i/>
          <w:sz w:val="24"/>
          <w:szCs w:val="24"/>
          <w:lang w:val="nl-NL"/>
        </w:rPr>
        <w:t>Chứng chỉ quỹ của Quỹ không được niêm yết trên thị trường chứng khoán.</w:t>
      </w:r>
    </w:p>
    <w:p w:rsidR="001F1E38" w:rsidRPr="00F2683A" w:rsidRDefault="001F1E38"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highlight w:val="yellow"/>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xml:space="preserve">● Biểu đồ tăng trưởng hàng tháng của Quỹ trong </w:t>
      </w:r>
      <w:r w:rsidR="00E46772" w:rsidRPr="00F2683A">
        <w:rPr>
          <w:rFonts w:ascii="Times New Roman" w:hAnsi="Times New Roman"/>
          <w:sz w:val="24"/>
          <w:szCs w:val="24"/>
          <w:lang w:val="nl-NL"/>
        </w:rPr>
        <w:t>3 tháng</w:t>
      </w:r>
      <w:r w:rsidRPr="00F2683A">
        <w:rPr>
          <w:rFonts w:ascii="Times New Roman" w:hAnsi="Times New Roman"/>
          <w:sz w:val="24"/>
          <w:szCs w:val="24"/>
          <w:lang w:val="nl-NL"/>
        </w:rPr>
        <w:t xml:space="preserve"> gần nhấ</w:t>
      </w:r>
      <w:r w:rsidR="004F5C05">
        <w:rPr>
          <w:rFonts w:ascii="Times New Roman" w:hAnsi="Times New Roman"/>
          <w:sz w:val="24"/>
          <w:szCs w:val="24"/>
          <w:lang w:val="nl-NL"/>
        </w:rPr>
        <w:t>t:</w:t>
      </w:r>
    </w:p>
    <w:p w:rsidR="00E46772" w:rsidRPr="00F2683A" w:rsidRDefault="00636709"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noProof/>
          <w:sz w:val="24"/>
          <w:szCs w:val="24"/>
        </w:rPr>
        <w:drawing>
          <wp:inline distT="0" distB="0" distL="0" distR="0" wp14:anchorId="6AFBD3A4" wp14:editId="59F32FD7">
            <wp:extent cx="6124575" cy="3228975"/>
            <wp:effectExtent l="0" t="0" r="9525" b="9525"/>
            <wp:docPr id="1" name="Chart 1">
              <a:extLst xmlns:a="http://schemas.openxmlformats.org/drawingml/2006/main">
                <a:ext uri="{FF2B5EF4-FFF2-40B4-BE49-F238E27FC236}">
                  <a16:creationId xmlns:a16="http://schemas.microsoft.com/office/drawing/2014/main" id="{E452CD17-9352-434A-B7BB-56E8E32A5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4DD0" w:rsidRPr="00F2683A" w:rsidRDefault="00B84DD0" w:rsidP="00B3750F">
      <w:pPr>
        <w:shd w:val="clear" w:color="auto" w:fill="FFFFFF"/>
        <w:tabs>
          <w:tab w:val="left" w:pos="540"/>
        </w:tabs>
        <w:spacing w:before="120" w:after="0" w:line="240" w:lineRule="auto"/>
        <w:jc w:val="both"/>
        <w:rPr>
          <w:rFonts w:ascii="Times New Roman" w:hAnsi="Times New Roman"/>
          <w:sz w:val="24"/>
          <w:szCs w:val="24"/>
          <w:lang w:val="nl-NL"/>
        </w:rPr>
      </w:pPr>
    </w:p>
    <w:p w:rsidR="001C4468" w:rsidRPr="00F2683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F2683A">
        <w:rPr>
          <w:rFonts w:ascii="Times New Roman" w:hAnsi="Times New Roman"/>
          <w:sz w:val="24"/>
          <w:szCs w:val="24"/>
          <w:lang w:val="nl-NL"/>
        </w:rPr>
        <w:t>● Thay đổi giá trị tài sả</w:t>
      </w:r>
      <w:r w:rsidR="004F5C05">
        <w:rPr>
          <w:rFonts w:ascii="Times New Roman" w:hAnsi="Times New Roman"/>
          <w:sz w:val="24"/>
          <w:szCs w:val="24"/>
          <w:lang w:val="nl-NL"/>
        </w:rPr>
        <w:t>n ròng:</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93"/>
        <w:gridCol w:w="1800"/>
        <w:gridCol w:w="1711"/>
        <w:gridCol w:w="1709"/>
      </w:tblGrid>
      <w:tr w:rsidR="001C4468" w:rsidRPr="00F2683A" w:rsidTr="001A5984">
        <w:trPr>
          <w:trHeight w:val="521"/>
        </w:trPr>
        <w:tc>
          <w:tcPr>
            <w:tcW w:w="2340"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Chỉ tiêu</w:t>
            </w:r>
          </w:p>
        </w:tc>
        <w:tc>
          <w:tcPr>
            <w:tcW w:w="917" w:type="pct"/>
            <w:shd w:val="clear" w:color="auto" w:fill="auto"/>
          </w:tcPr>
          <w:p w:rsidR="001C4468" w:rsidRPr="004F5C05" w:rsidRDefault="00B84DD0"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30/06/2019</w:t>
            </w:r>
          </w:p>
        </w:tc>
        <w:tc>
          <w:tcPr>
            <w:tcW w:w="872" w:type="pct"/>
            <w:shd w:val="clear" w:color="auto" w:fill="auto"/>
          </w:tcPr>
          <w:p w:rsidR="001C4468" w:rsidRPr="004F5C05" w:rsidRDefault="00B84DD0"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03/04/2019</w:t>
            </w:r>
          </w:p>
        </w:tc>
        <w:tc>
          <w:tcPr>
            <w:tcW w:w="871" w:type="pct"/>
            <w:shd w:val="clear" w:color="auto" w:fill="auto"/>
          </w:tcPr>
          <w:p w:rsidR="001C4468" w:rsidRPr="004F5C0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4F5C05">
              <w:rPr>
                <w:rFonts w:ascii="Times New Roman" w:eastAsia="Times New Roman" w:hAnsi="Times New Roman"/>
                <w:b/>
                <w:sz w:val="24"/>
                <w:szCs w:val="24"/>
                <w:lang w:val="nl-NL"/>
              </w:rPr>
              <w:t>Tỷ lệ thay đổi</w:t>
            </w:r>
          </w:p>
        </w:tc>
      </w:tr>
      <w:tr w:rsidR="001C4468" w:rsidRPr="00F2683A" w:rsidTr="001A5984">
        <w:trPr>
          <w:trHeight w:val="502"/>
        </w:trPr>
        <w:tc>
          <w:tcPr>
            <w:tcW w:w="2340"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A</w:t>
            </w:r>
          </w:p>
        </w:tc>
        <w:tc>
          <w:tcPr>
            <w:tcW w:w="917"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1</w:t>
            </w:r>
          </w:p>
        </w:tc>
        <w:tc>
          <w:tcPr>
            <w:tcW w:w="872"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2</w:t>
            </w:r>
          </w:p>
        </w:tc>
        <w:tc>
          <w:tcPr>
            <w:tcW w:w="871" w:type="pct"/>
            <w:shd w:val="clear" w:color="auto" w:fill="auto"/>
          </w:tcPr>
          <w:p w:rsidR="001C4468" w:rsidRPr="00F2683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F2683A">
              <w:rPr>
                <w:rFonts w:ascii="Times New Roman" w:eastAsia="Times New Roman" w:hAnsi="Times New Roman"/>
                <w:sz w:val="24"/>
                <w:szCs w:val="24"/>
                <w:lang w:val="nl-NL"/>
              </w:rPr>
              <w:t>3=</w:t>
            </w:r>
            <w:r w:rsidR="00A67095">
              <w:rPr>
                <w:rFonts w:ascii="Times New Roman" w:eastAsia="Times New Roman" w:hAnsi="Times New Roman"/>
                <w:sz w:val="24"/>
                <w:szCs w:val="24"/>
                <w:lang w:val="nl-NL"/>
              </w:rPr>
              <w:t xml:space="preserve"> </w:t>
            </w:r>
            <w:r w:rsidRPr="00F2683A">
              <w:rPr>
                <w:rFonts w:ascii="Times New Roman" w:eastAsia="Times New Roman" w:hAnsi="Times New Roman"/>
                <w:sz w:val="24"/>
                <w:szCs w:val="24"/>
                <w:lang w:val="nl-NL"/>
              </w:rPr>
              <w:t>((1)-(2))/(2)</w:t>
            </w:r>
          </w:p>
        </w:tc>
      </w:tr>
      <w:tr w:rsidR="001C4468" w:rsidRPr="00F2683A" w:rsidTr="001A5984">
        <w:trPr>
          <w:trHeight w:val="521"/>
        </w:trPr>
        <w:tc>
          <w:tcPr>
            <w:tcW w:w="2340" w:type="pct"/>
            <w:shd w:val="clear" w:color="auto" w:fill="auto"/>
          </w:tcPr>
          <w:p w:rsidR="001C4468" w:rsidRPr="001A5984" w:rsidRDefault="001C446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của Quỹ</w:t>
            </w:r>
          </w:p>
        </w:tc>
        <w:tc>
          <w:tcPr>
            <w:tcW w:w="917"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101</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063</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414</w:t>
            </w:r>
            <w:r w:rsidR="00BD584D" w:rsidRPr="001A5984">
              <w:rPr>
                <w:rFonts w:ascii="Times New Roman" w:eastAsia="Times New Roman" w:hAnsi="Times New Roman"/>
                <w:sz w:val="24"/>
                <w:szCs w:val="24"/>
                <w:lang w:val="nl-NL"/>
              </w:rPr>
              <w:t>.</w:t>
            </w:r>
            <w:r w:rsidR="00CA45A9" w:rsidRPr="001A5984">
              <w:rPr>
                <w:rFonts w:ascii="Times New Roman" w:eastAsia="Times New Roman" w:hAnsi="Times New Roman"/>
                <w:sz w:val="24"/>
                <w:szCs w:val="24"/>
                <w:lang w:val="nl-NL"/>
              </w:rPr>
              <w:t>8</w:t>
            </w:r>
            <w:r w:rsidRPr="001A5984">
              <w:rPr>
                <w:rFonts w:ascii="Times New Roman" w:eastAsia="Times New Roman" w:hAnsi="Times New Roman"/>
                <w:sz w:val="24"/>
                <w:szCs w:val="24"/>
                <w:lang w:val="nl-NL"/>
              </w:rPr>
              <w:t>3</w:t>
            </w:r>
            <w:r w:rsidR="00CA45A9" w:rsidRPr="001A5984">
              <w:rPr>
                <w:rFonts w:ascii="Times New Roman" w:eastAsia="Times New Roman" w:hAnsi="Times New Roman"/>
                <w:sz w:val="24"/>
                <w:szCs w:val="24"/>
                <w:lang w:val="nl-NL"/>
              </w:rPr>
              <w:t>6</w:t>
            </w:r>
          </w:p>
        </w:tc>
        <w:tc>
          <w:tcPr>
            <w:tcW w:w="872"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60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934</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871" w:type="pct"/>
            <w:shd w:val="clear" w:color="auto" w:fill="auto"/>
          </w:tcPr>
          <w:p w:rsidR="001C4468" w:rsidRPr="001A5984" w:rsidRDefault="00BD584D"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65,</w:t>
            </w:r>
            <w:r w:rsidR="00B84DD0" w:rsidRPr="001A5984">
              <w:rPr>
                <w:rFonts w:ascii="Times New Roman" w:eastAsia="Times New Roman" w:hAnsi="Times New Roman"/>
                <w:sz w:val="24"/>
                <w:szCs w:val="24"/>
                <w:lang w:val="nl-NL"/>
              </w:rPr>
              <w:t>86%</w:t>
            </w:r>
          </w:p>
        </w:tc>
      </w:tr>
      <w:tr w:rsidR="001C4468" w:rsidRPr="00F2683A" w:rsidTr="001A5984">
        <w:trPr>
          <w:trHeight w:val="508"/>
        </w:trPr>
        <w:tc>
          <w:tcPr>
            <w:tcW w:w="2340" w:type="pct"/>
            <w:shd w:val="clear" w:color="auto" w:fill="auto"/>
          </w:tcPr>
          <w:p w:rsidR="001C4468" w:rsidRPr="001A5984" w:rsidRDefault="001C446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Giá trị tài sản ròng (NAV) trên 1 đơn vị CCQ</w:t>
            </w:r>
          </w:p>
        </w:tc>
        <w:tc>
          <w:tcPr>
            <w:tcW w:w="917"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w:t>
            </w:r>
            <w:r w:rsidR="00BD584D" w:rsidRPr="001A5984">
              <w:rPr>
                <w:rFonts w:ascii="Times New Roman" w:eastAsia="Times New Roman" w:hAnsi="Times New Roman"/>
                <w:sz w:val="24"/>
                <w:szCs w:val="24"/>
                <w:lang w:val="nl-NL"/>
              </w:rPr>
              <w:t>.054,</w:t>
            </w:r>
            <w:r w:rsidRPr="001A5984">
              <w:rPr>
                <w:rFonts w:ascii="Times New Roman" w:eastAsia="Times New Roman" w:hAnsi="Times New Roman"/>
                <w:sz w:val="24"/>
                <w:szCs w:val="24"/>
                <w:lang w:val="nl-NL"/>
              </w:rPr>
              <w:t>97</w:t>
            </w:r>
          </w:p>
        </w:tc>
        <w:tc>
          <w:tcPr>
            <w:tcW w:w="872" w:type="pct"/>
            <w:shd w:val="clear" w:color="auto" w:fill="auto"/>
          </w:tcPr>
          <w:p w:rsidR="001C4468" w:rsidRPr="001A5984" w:rsidRDefault="00B84DD0"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10</w:t>
            </w:r>
            <w:r w:rsidR="00BD584D"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871" w:type="pct"/>
            <w:shd w:val="clear" w:color="auto" w:fill="auto"/>
          </w:tcPr>
          <w:p w:rsidR="001C4468" w:rsidRPr="001A5984" w:rsidRDefault="00BD584D"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4DD0" w:rsidRPr="001A5984">
              <w:rPr>
                <w:rFonts w:ascii="Times New Roman" w:eastAsia="Times New Roman" w:hAnsi="Times New Roman"/>
                <w:sz w:val="24"/>
                <w:szCs w:val="24"/>
                <w:lang w:val="nl-NL"/>
              </w:rPr>
              <w:t>55%</w:t>
            </w:r>
          </w:p>
        </w:tc>
      </w:tr>
    </w:tbl>
    <w:p w:rsidR="001C4468" w:rsidRDefault="00B84DD0" w:rsidP="00B3750F">
      <w:pPr>
        <w:shd w:val="clear" w:color="auto" w:fill="FFFFFF"/>
        <w:tabs>
          <w:tab w:val="left" w:pos="540"/>
        </w:tabs>
        <w:spacing w:before="120" w:after="0" w:line="360" w:lineRule="auto"/>
        <w:jc w:val="both"/>
        <w:rPr>
          <w:rFonts w:ascii="Times New Roman" w:hAnsi="Times New Roman"/>
          <w:sz w:val="24"/>
          <w:szCs w:val="24"/>
          <w:lang w:val="nl-NL"/>
        </w:rPr>
      </w:pPr>
      <w:r w:rsidRPr="001A5984">
        <w:rPr>
          <w:rFonts w:ascii="Times New Roman" w:hAnsi="Times New Roman"/>
          <w:sz w:val="24"/>
          <w:szCs w:val="24"/>
          <w:lang w:val="nl-NL"/>
        </w:rPr>
        <w:t>Do quỹ m</w:t>
      </w:r>
      <w:r w:rsidR="008E3939" w:rsidRPr="001A5984">
        <w:rPr>
          <w:rFonts w:ascii="Times New Roman" w:hAnsi="Times New Roman"/>
          <w:sz w:val="24"/>
          <w:szCs w:val="24"/>
          <w:lang w:val="nl-NL"/>
        </w:rPr>
        <w:t>ới</w:t>
      </w:r>
      <w:r w:rsidRPr="001A5984">
        <w:rPr>
          <w:rFonts w:ascii="Times New Roman" w:hAnsi="Times New Roman"/>
          <w:sz w:val="24"/>
          <w:szCs w:val="24"/>
          <w:lang w:val="nl-NL"/>
        </w:rPr>
        <w:t xml:space="preserve"> thành lập từ 03/04/2019, nên trong giai đoạn từ 03/04/2019 đến 30/06/2019 Quy mô của Quỹ tăng lên 65</w:t>
      </w:r>
      <w:r w:rsidR="00454E48" w:rsidRPr="001A5984">
        <w:rPr>
          <w:rFonts w:ascii="Times New Roman" w:hAnsi="Times New Roman"/>
          <w:sz w:val="24"/>
          <w:szCs w:val="24"/>
          <w:lang w:val="nl-NL"/>
        </w:rPr>
        <w:t>,</w:t>
      </w:r>
      <w:r w:rsidRPr="001A5984">
        <w:rPr>
          <w:rFonts w:ascii="Times New Roman" w:hAnsi="Times New Roman"/>
          <w:sz w:val="24"/>
          <w:szCs w:val="24"/>
          <w:lang w:val="nl-NL"/>
        </w:rPr>
        <w:t>86% chủ yếu do nhà đầu tư mua ròng chứng chỉ Quỹ khiến cho Quỹ gia tăng quy mô vốn và tổng tài sản</w:t>
      </w:r>
      <w:r w:rsidR="001C4468" w:rsidRPr="001A5984">
        <w:rPr>
          <w:rFonts w:ascii="Times New Roman" w:hAnsi="Times New Roman"/>
          <w:sz w:val="24"/>
          <w:szCs w:val="24"/>
          <w:lang w:val="nl-NL"/>
        </w:rPr>
        <w:t>.</w:t>
      </w:r>
      <w:r w:rsidRPr="001A5984">
        <w:rPr>
          <w:rFonts w:ascii="Times New Roman" w:hAnsi="Times New Roman"/>
          <w:sz w:val="24"/>
          <w:szCs w:val="24"/>
          <w:lang w:val="nl-NL"/>
        </w:rPr>
        <w:t xml:space="preserve"> Giá trị tài sản ròng (NAV) trên 1 đơn vị chứng chỉ quỹ tăng 0</w:t>
      </w:r>
      <w:r w:rsidR="00454E48" w:rsidRPr="001A5984">
        <w:rPr>
          <w:rFonts w:ascii="Times New Roman" w:hAnsi="Times New Roman"/>
          <w:sz w:val="24"/>
          <w:szCs w:val="24"/>
          <w:lang w:val="nl-NL"/>
        </w:rPr>
        <w:t>,</w:t>
      </w:r>
      <w:r w:rsidRPr="001A5984">
        <w:rPr>
          <w:rFonts w:ascii="Times New Roman" w:hAnsi="Times New Roman"/>
          <w:sz w:val="24"/>
          <w:szCs w:val="24"/>
          <w:lang w:val="nl-NL"/>
        </w:rPr>
        <w:t>55% do lợi nh</w:t>
      </w:r>
      <w:r w:rsidR="008E3939" w:rsidRPr="001A5984">
        <w:rPr>
          <w:rFonts w:ascii="Times New Roman" w:hAnsi="Times New Roman"/>
          <w:sz w:val="24"/>
          <w:szCs w:val="24"/>
          <w:lang w:val="nl-NL"/>
        </w:rPr>
        <w:t>u</w:t>
      </w:r>
      <w:r w:rsidRPr="001A5984">
        <w:rPr>
          <w:rFonts w:ascii="Times New Roman" w:hAnsi="Times New Roman"/>
          <w:sz w:val="24"/>
          <w:szCs w:val="24"/>
          <w:lang w:val="nl-NL"/>
        </w:rPr>
        <w:t>ận từ kết quả đầu tư mang lại</w:t>
      </w:r>
      <w:r w:rsidR="008E3939" w:rsidRPr="001A5984">
        <w:rPr>
          <w:rFonts w:ascii="Times New Roman" w:hAnsi="Times New Roman"/>
          <w:sz w:val="24"/>
          <w:szCs w:val="24"/>
          <w:lang w:val="nl-NL"/>
        </w:rPr>
        <w: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F2683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Quy mô nắm giữ (Đơn vị)</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Nhà đầu tư nắm giữ</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Tỷ lệ nắm giữ</w:t>
            </w:r>
          </w:p>
        </w:tc>
      </w:tr>
      <w:tr w:rsidR="001C4468" w:rsidRPr="00F2683A" w:rsidTr="001A5984">
        <w:tc>
          <w:tcPr>
            <w:tcW w:w="1882"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A</w:t>
            </w:r>
          </w:p>
        </w:tc>
        <w:tc>
          <w:tcPr>
            <w:tcW w:w="1056"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2</w:t>
            </w:r>
          </w:p>
        </w:tc>
        <w:tc>
          <w:tcPr>
            <w:tcW w:w="870" w:type="pct"/>
            <w:shd w:val="clear" w:color="auto" w:fill="auto"/>
            <w:vAlign w:val="center"/>
          </w:tcPr>
          <w:p w:rsidR="001C4468" w:rsidRPr="001A5984"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Dưới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129</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56</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399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09</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56%</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000 - 10.000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5</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35</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200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35%</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10.000 đến 50.000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Từ 50.000 đến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w:t>
            </w:r>
          </w:p>
        </w:tc>
        <w:tc>
          <w:tcPr>
            <w:tcW w:w="1193" w:type="pct"/>
            <w:shd w:val="clear" w:color="auto" w:fill="auto"/>
            <w:vAlign w:val="center"/>
          </w:tcPr>
          <w:p w:rsidR="007D6CE8" w:rsidRPr="001A5984" w:rsidRDefault="001A59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0</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00%</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Trên 500.000</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1</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959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489,84</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A5984">
              <w:rPr>
                <w:rFonts w:ascii="Times New Roman" w:eastAsia="Times New Roman" w:hAnsi="Times New Roman"/>
                <w:sz w:val="24"/>
                <w:szCs w:val="24"/>
                <w:lang w:val="nl-NL"/>
              </w:rPr>
              <w:t>99</w:t>
            </w:r>
            <w:r w:rsidR="00B85125" w:rsidRPr="001A5984">
              <w:rPr>
                <w:rFonts w:ascii="Times New Roman" w:eastAsia="Times New Roman" w:hAnsi="Times New Roman"/>
                <w:sz w:val="24"/>
                <w:szCs w:val="24"/>
                <w:lang w:val="nl-NL"/>
              </w:rPr>
              <w:t>,</w:t>
            </w:r>
            <w:r w:rsidRPr="001A5984">
              <w:rPr>
                <w:rFonts w:ascii="Times New Roman" w:eastAsia="Times New Roman" w:hAnsi="Times New Roman"/>
                <w:sz w:val="24"/>
                <w:szCs w:val="24"/>
                <w:lang w:val="nl-NL"/>
              </w:rPr>
              <w:t>09%</w:t>
            </w:r>
          </w:p>
        </w:tc>
      </w:tr>
      <w:tr w:rsidR="007D6CE8" w:rsidRPr="00F2683A" w:rsidTr="001A5984">
        <w:tc>
          <w:tcPr>
            <w:tcW w:w="1882" w:type="pct"/>
            <w:shd w:val="clear" w:color="auto" w:fill="auto"/>
            <w:vAlign w:val="center"/>
          </w:tcPr>
          <w:p w:rsidR="007D6CE8" w:rsidRPr="001A5984"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Tổng cộng</w:t>
            </w:r>
          </w:p>
        </w:tc>
        <w:tc>
          <w:tcPr>
            <w:tcW w:w="1056"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135</w:t>
            </w:r>
          </w:p>
        </w:tc>
        <w:tc>
          <w:tcPr>
            <w:tcW w:w="1193" w:type="pct"/>
            <w:shd w:val="clear" w:color="auto" w:fill="auto"/>
            <w:vAlign w:val="center"/>
          </w:tcPr>
          <w:p w:rsidR="007D6CE8" w:rsidRPr="001A5984" w:rsidRDefault="00530319"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051</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088</w:t>
            </w:r>
            <w:r w:rsidR="00B85125" w:rsidRPr="001A5984">
              <w:rPr>
                <w:rFonts w:ascii="Times New Roman" w:eastAsia="Times New Roman" w:hAnsi="Times New Roman"/>
                <w:b/>
                <w:sz w:val="24"/>
                <w:szCs w:val="24"/>
                <w:lang w:val="nl-NL"/>
              </w:rPr>
              <w:t>,</w:t>
            </w:r>
            <w:r w:rsidRPr="001A5984">
              <w:rPr>
                <w:rFonts w:ascii="Times New Roman" w:eastAsia="Times New Roman" w:hAnsi="Times New Roman"/>
                <w:b/>
                <w:sz w:val="24"/>
                <w:szCs w:val="24"/>
                <w:lang w:val="nl-NL"/>
              </w:rPr>
              <w:t>93</w:t>
            </w:r>
          </w:p>
        </w:tc>
        <w:tc>
          <w:tcPr>
            <w:tcW w:w="870" w:type="pct"/>
            <w:shd w:val="clear" w:color="auto" w:fill="auto"/>
            <w:vAlign w:val="center"/>
          </w:tcPr>
          <w:p w:rsidR="007D6CE8" w:rsidRPr="001A5984"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A5984">
              <w:rPr>
                <w:rFonts w:ascii="Times New Roman" w:eastAsia="Times New Roman" w:hAnsi="Times New Roman"/>
                <w:b/>
                <w:sz w:val="24"/>
                <w:szCs w:val="24"/>
                <w:lang w:val="nl-NL"/>
              </w:rPr>
              <w:t>100</w:t>
            </w:r>
            <w:r w:rsidR="00B85125" w:rsidRPr="001A5984">
              <w:rPr>
                <w:rFonts w:ascii="Times New Roman" w:eastAsia="Times New Roman" w:hAnsi="Times New Roman"/>
                <w:b/>
                <w:sz w:val="24"/>
                <w:szCs w:val="24"/>
                <w:lang w:val="nl-NL"/>
              </w:rPr>
              <w:t>,00</w:t>
            </w:r>
            <w:r w:rsidRPr="001A5984">
              <w:rPr>
                <w:rFonts w:ascii="Times New Roman" w:eastAsia="Times New Roman" w:hAnsi="Times New Roman"/>
                <w:b/>
                <w:sz w:val="24"/>
                <w:szCs w:val="24"/>
                <w:lang w:val="nl-NL"/>
              </w:rPr>
              <w:t>%</w:t>
            </w:r>
          </w:p>
        </w:tc>
      </w:tr>
    </w:tbl>
    <w:p w:rsidR="001C4468" w:rsidRPr="00F2683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4B07B4">
        <w:rPr>
          <w:rFonts w:ascii="Times New Roman" w:hAnsi="Times New Roman"/>
          <w:b/>
          <w:sz w:val="24"/>
          <w:szCs w:val="24"/>
          <w:u w:val="single"/>
          <w:lang w:val="nl-NL"/>
        </w:rPr>
        <w:t>Ghi chú:</w:t>
      </w:r>
      <w:r w:rsidRPr="00F2683A">
        <w:rPr>
          <w:rFonts w:ascii="Times New Roman" w:hAnsi="Times New Roman"/>
          <w:i/>
          <w:sz w:val="24"/>
          <w:szCs w:val="24"/>
          <w:lang w:val="nl-NL"/>
        </w:rPr>
        <w:t xml:space="preserve"> Trình bày tình hình nắm giữ Chứng chỉ quỹ của Nhà đầu tư từ ít nhất đến nhiều nhất.</w:t>
      </w:r>
    </w:p>
    <w:p w:rsidR="001C4468" w:rsidRPr="00F2683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F2683A">
        <w:rPr>
          <w:rFonts w:ascii="Times New Roman" w:hAnsi="Times New Roman"/>
          <w:b/>
          <w:sz w:val="24"/>
          <w:szCs w:val="24"/>
          <w:lang w:val="nl-NL"/>
        </w:rPr>
        <w:t>Chi phí ngầm và giảm giá</w:t>
      </w:r>
    </w:p>
    <w:p w:rsidR="003E4AD7" w:rsidRPr="001A5984" w:rsidRDefault="003E4AD7" w:rsidP="001A5984">
      <w:pPr>
        <w:spacing w:before="240"/>
        <w:jc w:val="both"/>
        <w:rPr>
          <w:rFonts w:ascii="Times New Roman" w:hAnsi="Times New Roman"/>
          <w:sz w:val="24"/>
          <w:szCs w:val="24"/>
          <w:lang w:val="nl-NL"/>
        </w:rPr>
      </w:pPr>
      <w:r w:rsidRPr="001A5984">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rsidR="001C4468" w:rsidRPr="001A5984"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A5984">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cập dịch vụ cho Quỹ.</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1A5984">
        <w:rPr>
          <w:rFonts w:ascii="Times New Roman" w:hAnsi="Times New Roman"/>
          <w:b/>
          <w:sz w:val="24"/>
          <w:szCs w:val="24"/>
          <w:lang w:val="nl-NL"/>
        </w:rPr>
        <w:t xml:space="preserve">V. </w:t>
      </w:r>
      <w:r w:rsidR="004B07B4">
        <w:rPr>
          <w:rFonts w:ascii="Times New Roman" w:hAnsi="Times New Roman"/>
          <w:b/>
          <w:sz w:val="24"/>
          <w:szCs w:val="24"/>
          <w:lang w:val="nl-NL"/>
        </w:rPr>
        <w:tab/>
      </w:r>
      <w:r w:rsidRPr="001A5984">
        <w:rPr>
          <w:rFonts w:ascii="Times New Roman" w:hAnsi="Times New Roman"/>
          <w:b/>
          <w:sz w:val="24"/>
          <w:szCs w:val="24"/>
          <w:lang w:val="nl-NL"/>
        </w:rPr>
        <w:t>T</w:t>
      </w:r>
      <w:r w:rsidR="004B07B4">
        <w:rPr>
          <w:rFonts w:ascii="Times New Roman" w:hAnsi="Times New Roman"/>
          <w:b/>
          <w:sz w:val="24"/>
          <w:szCs w:val="24"/>
          <w:lang w:val="nl-NL"/>
        </w:rPr>
        <w:t>HÔNG TIN VỀ TRIỂN VỌNG THỊ TRƯỜNG</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 xml:space="preserve">Khả năng nền kinh tế Việt Nam sẽ đón nhận những tin tức </w:t>
      </w:r>
      <w:r w:rsidR="004B07B4" w:rsidRPr="004B07B4">
        <w:rPr>
          <w:rFonts w:ascii="Times New Roman" w:hAnsi="Times New Roman"/>
          <w:sz w:val="24"/>
          <w:szCs w:val="24"/>
          <w:lang w:val="nl-NL"/>
        </w:rPr>
        <w:t xml:space="preserve">tích </w:t>
      </w:r>
      <w:r w:rsidRPr="004B07B4">
        <w:rPr>
          <w:rFonts w:ascii="Times New Roman" w:hAnsi="Times New Roman"/>
          <w:sz w:val="24"/>
          <w:szCs w:val="24"/>
          <w:lang w:val="nl-NL"/>
        </w:rPr>
        <w:t>cực do các hiệp định FTA, CPTPP và EVFTA vừa ký kết mang lại, đặc biệt trong các lĩnh vực xuất nhập khẩu và đầu tư. Thị trường chứng khoán cũng sẽ hồi phục trong nửa cuối năm trong bối cảnh n</w:t>
      </w:r>
      <w:r w:rsidR="004B07B4" w:rsidRPr="004B07B4">
        <w:rPr>
          <w:rFonts w:ascii="Times New Roman" w:hAnsi="Times New Roman"/>
          <w:sz w:val="24"/>
          <w:szCs w:val="24"/>
          <w:lang w:val="nl-NL"/>
        </w:rPr>
        <w:t>ề</w:t>
      </w:r>
      <w:r w:rsidRPr="004B07B4">
        <w:rPr>
          <w:rFonts w:ascii="Times New Roman" w:hAnsi="Times New Roman"/>
          <w:sz w:val="24"/>
          <w:szCs w:val="24"/>
          <w:lang w:val="nl-NL"/>
        </w:rPr>
        <w:t xml:space="preserve">n kinh tế vĩ mô có nhiều điều kiện ổn định phát triển. </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Chính sách tiền tệ trong 6 tháng đầu năm 2019 nhìn chung được điều hành nới lỏng hơn so với thời điểm 6 tháng cuối năm 2018 do áp lực đến từ tỷ giá và lạm phát đã giảm bớt. Và xu hướng này, được dự báo sẽ tiếp tục trong tương lai gần để thúc đẩy nền kinh tế. Do vậy, khả năng lợi suấ</w:t>
      </w:r>
      <w:r w:rsidR="004B07B4" w:rsidRPr="004B07B4">
        <w:rPr>
          <w:rFonts w:ascii="Times New Roman" w:hAnsi="Times New Roman"/>
          <w:sz w:val="24"/>
          <w:szCs w:val="24"/>
          <w:lang w:val="nl-NL"/>
        </w:rPr>
        <w:t>t T</w:t>
      </w:r>
      <w:r w:rsidRPr="004B07B4">
        <w:rPr>
          <w:rFonts w:ascii="Times New Roman" w:hAnsi="Times New Roman"/>
          <w:sz w:val="24"/>
          <w:szCs w:val="24"/>
          <w:lang w:val="nl-NL"/>
        </w:rPr>
        <w:t>rái phiếu chính phủ và lãi suất liên ngân hàng sẽ tiếp tục xu hướng giảm và duy trì mức thấp như hiện tại.</w:t>
      </w:r>
    </w:p>
    <w:p w:rsidR="00202172" w:rsidRPr="004B07B4" w:rsidRDefault="00202172"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Tuy vậy, tương tự như nhiều quốc gia trong khu vực, Việt Nam vẫn sẽ chịu rủi ro địa chính trị đặc biệt là chiến tranh thương mại Mỹ</w:t>
      </w:r>
      <w:r w:rsidR="004B07B4">
        <w:rPr>
          <w:rFonts w:ascii="Times New Roman" w:hAnsi="Times New Roman"/>
          <w:sz w:val="24"/>
          <w:szCs w:val="24"/>
          <w:lang w:val="nl-NL"/>
        </w:rPr>
        <w:t xml:space="preserve"> </w:t>
      </w:r>
      <w:r w:rsidRPr="004B07B4">
        <w:rPr>
          <w:rFonts w:ascii="Times New Roman" w:hAnsi="Times New Roman"/>
          <w:sz w:val="24"/>
          <w:szCs w:val="24"/>
          <w:lang w:val="nl-NL"/>
        </w:rPr>
        <w:t>- Trung. Biến động của thị trường trong giai đoạn nửa cuối năm 2019 vẫn được dự báo duy trì ở mức cao.</w:t>
      </w:r>
    </w:p>
    <w:p w:rsidR="004B07B4" w:rsidRDefault="004B07B4"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1C4468" w:rsidRPr="00F2683A" w:rsidRDefault="001C4468" w:rsidP="004B07B4">
      <w:pPr>
        <w:shd w:val="clear" w:color="auto" w:fill="FFFFFF"/>
        <w:tabs>
          <w:tab w:val="left" w:pos="540"/>
        </w:tabs>
        <w:spacing w:before="120" w:after="0" w:line="240" w:lineRule="auto"/>
        <w:jc w:val="both"/>
        <w:rPr>
          <w:rFonts w:ascii="Times New Roman" w:hAnsi="Times New Roman"/>
          <w:b/>
          <w:sz w:val="24"/>
          <w:szCs w:val="24"/>
          <w:lang w:val="nl-NL"/>
        </w:rPr>
      </w:pPr>
      <w:r w:rsidRPr="00F2683A">
        <w:rPr>
          <w:rFonts w:ascii="Times New Roman" w:hAnsi="Times New Roman"/>
          <w:b/>
          <w:sz w:val="24"/>
          <w:szCs w:val="24"/>
          <w:lang w:val="nl-NL"/>
        </w:rPr>
        <w:t xml:space="preserve">VI. </w:t>
      </w:r>
      <w:r w:rsidR="004B07B4">
        <w:rPr>
          <w:rFonts w:ascii="Times New Roman" w:hAnsi="Times New Roman"/>
          <w:b/>
          <w:sz w:val="24"/>
          <w:szCs w:val="24"/>
          <w:lang w:val="nl-NL"/>
        </w:rPr>
        <w:tab/>
      </w:r>
      <w:r w:rsidRPr="00F2683A">
        <w:rPr>
          <w:rFonts w:ascii="Times New Roman" w:hAnsi="Times New Roman"/>
          <w:b/>
          <w:sz w:val="24"/>
          <w:szCs w:val="24"/>
          <w:lang w:val="nl-NL"/>
        </w:rPr>
        <w:t>T</w:t>
      </w:r>
      <w:r w:rsidR="004B07B4">
        <w:rPr>
          <w:rFonts w:ascii="Times New Roman" w:hAnsi="Times New Roman"/>
          <w:b/>
          <w:sz w:val="24"/>
          <w:szCs w:val="24"/>
          <w:lang w:val="nl-NL"/>
        </w:rPr>
        <w:t>HÔNG TIN KHÁC</w:t>
      </w:r>
    </w:p>
    <w:p w:rsidR="001C4468" w:rsidRPr="004B07B4" w:rsidRDefault="00C23979" w:rsidP="00B3750F">
      <w:pPr>
        <w:shd w:val="clear" w:color="auto" w:fill="FFFFFF"/>
        <w:tabs>
          <w:tab w:val="left" w:pos="540"/>
        </w:tabs>
        <w:spacing w:before="120" w:after="0" w:line="240" w:lineRule="auto"/>
        <w:jc w:val="both"/>
        <w:rPr>
          <w:rFonts w:ascii="Times New Roman" w:hAnsi="Times New Roman"/>
          <w:sz w:val="24"/>
          <w:szCs w:val="24"/>
          <w:lang w:val="nl-NL"/>
        </w:rPr>
      </w:pPr>
      <w:r w:rsidRPr="004B07B4">
        <w:rPr>
          <w:rFonts w:ascii="Times New Roman" w:hAnsi="Times New Roman"/>
          <w:sz w:val="24"/>
          <w:szCs w:val="24"/>
          <w:lang w:val="nl-NL"/>
        </w:rPr>
        <w:t>Quỹ không có nhân viên và được quản lý bởi Công ty T</w:t>
      </w:r>
      <w:r w:rsidR="004B07B4">
        <w:rPr>
          <w:rFonts w:ascii="Times New Roman" w:hAnsi="Times New Roman"/>
          <w:sz w:val="24"/>
          <w:szCs w:val="24"/>
          <w:lang w:val="nl-NL"/>
        </w:rPr>
        <w:t>rách Nhiệm Hữu Hạn Một Thành Viên</w:t>
      </w:r>
      <w:r w:rsidRPr="004B07B4">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4B07B4">
        <w:rPr>
          <w:rFonts w:ascii="Times New Roman" w:hAnsi="Times New Roman"/>
          <w:sz w:val="24"/>
          <w:szCs w:val="24"/>
          <w:lang w:val="nl-NL"/>
        </w:rPr>
        <w:t>.</w:t>
      </w:r>
    </w:p>
    <w:p w:rsidR="001B0DD1" w:rsidRDefault="001B0DD1" w:rsidP="00B3750F">
      <w:pPr>
        <w:shd w:val="clear" w:color="auto" w:fill="FFFFFF"/>
        <w:tabs>
          <w:tab w:val="left" w:pos="540"/>
        </w:tabs>
        <w:spacing w:before="120" w:after="0" w:line="240" w:lineRule="auto"/>
        <w:jc w:val="both"/>
        <w:rPr>
          <w:rFonts w:ascii="Times New Roman" w:hAnsi="Times New Roman"/>
          <w:sz w:val="24"/>
          <w:szCs w:val="24"/>
          <w:highlight w:val="yellow"/>
          <w:lang w:val="nl-NL"/>
        </w:rPr>
      </w:pPr>
    </w:p>
    <w:p w:rsidR="00444BF6"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p>
    <w:p w:rsidR="00444BF6" w:rsidRDefault="00444BF6" w:rsidP="00B3750F">
      <w:pPr>
        <w:shd w:val="clear" w:color="auto" w:fill="FFFFFF"/>
        <w:tabs>
          <w:tab w:val="left" w:pos="540"/>
        </w:tabs>
        <w:spacing w:before="120" w:after="0" w:line="240" w:lineRule="auto"/>
        <w:jc w:val="both"/>
        <w:rPr>
          <w:rFonts w:ascii="Times New Roman" w:hAnsi="Times New Roman"/>
          <w:sz w:val="24"/>
          <w:szCs w:val="24"/>
          <w:highlight w:val="yellow"/>
          <w:lang w:val="nl-NL"/>
        </w:rPr>
      </w:pPr>
      <w:r w:rsidRPr="004B07B4">
        <w:rPr>
          <w:rFonts w:ascii="Times New Roman" w:hAnsi="Times New Roman"/>
          <w:b/>
          <w:sz w:val="24"/>
          <w:szCs w:val="24"/>
          <w:lang w:val="nl-NL"/>
        </w:rPr>
        <w:t>Nhân sự Ban điều hành công ty Quản lý quỹ gồm có:</w:t>
      </w:r>
    </w:p>
    <w:tbl>
      <w:tblPr>
        <w:tblW w:w="12040" w:type="dxa"/>
        <w:tblInd w:w="108" w:type="dxa"/>
        <w:tblLook w:val="04A0" w:firstRow="1" w:lastRow="0" w:firstColumn="1" w:lastColumn="0" w:noHBand="0" w:noVBand="1"/>
      </w:tblPr>
      <w:tblGrid>
        <w:gridCol w:w="1980"/>
        <w:gridCol w:w="1440"/>
        <w:gridCol w:w="1080"/>
        <w:gridCol w:w="1909"/>
        <w:gridCol w:w="3521"/>
        <w:gridCol w:w="2110"/>
      </w:tblGrid>
      <w:tr w:rsidR="005C4036" w:rsidRPr="0037324A" w:rsidTr="00444BF6">
        <w:trPr>
          <w:trHeight w:val="587"/>
        </w:trPr>
        <w:tc>
          <w:tcPr>
            <w:tcW w:w="4500" w:type="dxa"/>
            <w:gridSpan w:val="3"/>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c>
          <w:tcPr>
            <w:tcW w:w="1909" w:type="dxa"/>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c>
          <w:tcPr>
            <w:tcW w:w="5631" w:type="dxa"/>
            <w:gridSpan w:val="2"/>
            <w:tcBorders>
              <w:top w:val="nil"/>
              <w:left w:val="nil"/>
              <w:bottom w:val="nil"/>
              <w:right w:val="nil"/>
            </w:tcBorders>
            <w:shd w:val="clear" w:color="auto" w:fill="auto"/>
            <w:noWrap/>
            <w:vAlign w:val="bottom"/>
            <w:hideMark/>
          </w:tcPr>
          <w:p w:rsidR="00202172" w:rsidRPr="004B07B4" w:rsidRDefault="00202172" w:rsidP="00B3750F">
            <w:pPr>
              <w:jc w:val="both"/>
              <w:rPr>
                <w:rFonts w:ascii="Times New Roman" w:hAnsi="Times New Roman"/>
                <w:sz w:val="24"/>
                <w:szCs w:val="24"/>
                <w:lang w:val="nl-NL"/>
              </w:rPr>
            </w:pPr>
          </w:p>
        </w:tc>
      </w:tr>
      <w:tr w:rsidR="005C4036" w:rsidRPr="004B07B4" w:rsidTr="00444BF6">
        <w:trPr>
          <w:gridAfter w:val="1"/>
          <w:wAfter w:w="2110" w:type="dxa"/>
          <w:trHeight w:val="39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Họ và tên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5C4036" w:rsidRPr="0037324A" w:rsidTr="00444BF6">
        <w:trPr>
          <w:gridAfter w:val="1"/>
          <w:wAfter w:w="2110" w:type="dxa"/>
          <w:trHeight w:val="217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Lâm Hải Tuấn</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Kỹ sư</w:t>
            </w:r>
          </w:p>
        </w:tc>
        <w:tc>
          <w:tcPr>
            <w:tcW w:w="5430" w:type="dxa"/>
            <w:gridSpan w:val="2"/>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both"/>
              <w:rPr>
                <w:rFonts w:ascii="Times New Roman" w:hAnsi="Times New Roman"/>
                <w:sz w:val="24"/>
                <w:szCs w:val="24"/>
                <w:lang w:val="nl-NL"/>
              </w:rPr>
            </w:pPr>
            <w:r w:rsidRPr="004B07B4">
              <w:rPr>
                <w:rFonts w:ascii="Times New Roman" w:hAnsi="Times New Roman"/>
                <w:sz w:val="24"/>
                <w:szCs w:val="24"/>
                <w:lang w:val="nl-NL"/>
              </w:rPr>
              <w:t>Trước 2005: Ông Tuấn có kinh nghiệm làm việc tại các vị trí cấp cao của 2 tập đoàn tài chính, bảo hiểm toàn cầu là Metlife và Chubb Life</w:t>
            </w:r>
            <w:r w:rsidRPr="004B07B4">
              <w:rPr>
                <w:rFonts w:ascii="Times New Roman" w:hAnsi="Times New Roman"/>
                <w:sz w:val="24"/>
                <w:szCs w:val="24"/>
                <w:lang w:val="nl-NL"/>
              </w:rPr>
              <w:br/>
              <w:t>Từ 2005 - nay: Tổng Giám đốc - Chubb Life Việt Nam</w:t>
            </w:r>
            <w:r w:rsidRPr="004B07B4">
              <w:rPr>
                <w:rFonts w:ascii="Times New Roman" w:hAnsi="Times New Roman"/>
                <w:sz w:val="24"/>
                <w:szCs w:val="24"/>
                <w:lang w:val="nl-NL"/>
              </w:rPr>
              <w:b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Chủ tịch Hội đồng Quản trị - Chubb Life Việt Nam</w:t>
            </w:r>
          </w:p>
        </w:tc>
      </w:tr>
      <w:tr w:rsidR="005C4036" w:rsidRPr="0037324A" w:rsidTr="00444BF6">
        <w:trPr>
          <w:gridAfter w:val="1"/>
          <w:wAfter w:w="2110" w:type="dxa"/>
          <w:trHeight w:val="267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Bùi Thanh Hiệp</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Phó chủ tịch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CPA</w:t>
            </w:r>
          </w:p>
        </w:tc>
        <w:tc>
          <w:tcPr>
            <w:tcW w:w="5430" w:type="dxa"/>
            <w:gridSpan w:val="2"/>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2005: Nắm giữ nhiều vị trí khác nhau tại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Manulife</w:t>
            </w:r>
            <w:r w:rsidRPr="004B07B4">
              <w:rPr>
                <w:rFonts w:ascii="Times New Roman" w:hAnsi="Times New Roman"/>
                <w:color w:val="000000"/>
                <w:sz w:val="24"/>
                <w:szCs w:val="24"/>
                <w:lang w:val="nl-NL" w:eastAsia="en-SG"/>
              </w:rPr>
              <w:t xml:space="preserv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2005</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2010: Kế toán trưởng – ACE </w:t>
            </w:r>
            <w:r w:rsidRPr="004B07B4">
              <w:rPr>
                <w:rFonts w:ascii="Times New Roman" w:hAnsi="Times New Roman"/>
                <w:color w:val="000000"/>
                <w:sz w:val="24"/>
                <w:szCs w:val="24"/>
                <w:lang w:val="nl-NL" w:eastAsia="en-SG"/>
              </w:rPr>
              <w:t>Life Việt Nam</w:t>
            </w:r>
          </w:p>
          <w:p w:rsidR="005C4036" w:rsidRPr="004B07B4" w:rsidRDefault="00202172" w:rsidP="00444BF6">
            <w:pPr>
              <w:spacing w:after="0"/>
              <w:jc w:val="both"/>
              <w:rPr>
                <w:rFonts w:ascii="Times New Roman" w:hAnsi="Times New Roman"/>
                <w:sz w:val="24"/>
                <w:szCs w:val="24"/>
                <w:lang w:val="nl-NL" w:eastAsia="en-SG"/>
              </w:rPr>
            </w:pPr>
            <w:r w:rsidRPr="004B07B4">
              <w:rPr>
                <w:rFonts w:ascii="Times New Roman" w:hAnsi="Times New Roman"/>
                <w:sz w:val="24"/>
                <w:szCs w:val="24"/>
                <w:lang w:val="nl-NL" w:eastAsia="en-SG"/>
              </w:rPr>
              <w:t>Từ 2010</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2011: Trưởng B</w:t>
            </w:r>
            <w:r w:rsidR="00B85125" w:rsidRPr="004B07B4">
              <w:rPr>
                <w:rFonts w:ascii="Times New Roman" w:hAnsi="Times New Roman"/>
                <w:sz w:val="24"/>
                <w:szCs w:val="24"/>
                <w:lang w:val="nl-NL" w:eastAsia="en-SG"/>
              </w:rPr>
              <w:t>ộ phận</w:t>
            </w:r>
            <w:r w:rsidRPr="004B07B4">
              <w:rPr>
                <w:rFonts w:ascii="Times New Roman" w:hAnsi="Times New Roman"/>
                <w:sz w:val="24"/>
                <w:szCs w:val="24"/>
                <w:lang w:val="nl-NL" w:eastAsia="en-SG"/>
              </w:rPr>
              <w:t xml:space="preserve"> Tài chính – VPĐD</w:t>
            </w:r>
            <w:r w:rsidRPr="004B07B4">
              <w:rPr>
                <w:rFonts w:ascii="Times New Roman" w:hAnsi="Times New Roman"/>
                <w:color w:val="000000"/>
                <w:sz w:val="24"/>
                <w:szCs w:val="24"/>
                <w:lang w:val="nl-NL"/>
              </w:rPr>
              <w:t> </w:t>
            </w:r>
            <w:r w:rsidRPr="004B07B4">
              <w:rPr>
                <w:rFonts w:ascii="Times New Roman" w:hAnsi="Times New Roman"/>
                <w:sz w:val="24"/>
                <w:szCs w:val="24"/>
                <w:lang w:val="nl-NL" w:eastAsia="en-SG"/>
              </w:rPr>
              <w:t>Generali Assicurazioni s.p.A VN</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2011</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2012: Kế toán trưởng - </w:t>
            </w:r>
            <w:r w:rsidRPr="004B07B4">
              <w:rPr>
                <w:rFonts w:ascii="Times New Roman" w:hAnsi="Times New Roman"/>
                <w:color w:val="000000"/>
                <w:sz w:val="24"/>
                <w:szCs w:val="24"/>
                <w:lang w:val="nl-NL" w:eastAsia="en-SG"/>
              </w:rPr>
              <w:t>Chubb Life Việt Nam</w:t>
            </w:r>
          </w:p>
          <w:p w:rsidR="005C4036" w:rsidRPr="004B07B4" w:rsidRDefault="00202172" w:rsidP="00444BF6">
            <w:pPr>
              <w:spacing w:after="0"/>
              <w:jc w:val="both"/>
              <w:rPr>
                <w:rFonts w:ascii="Times New Roman" w:hAnsi="Times New Roman"/>
                <w:color w:val="000000"/>
                <w:sz w:val="24"/>
                <w:szCs w:val="24"/>
                <w:lang w:val="nl-NL" w:eastAsia="en-SG"/>
              </w:rPr>
            </w:pPr>
            <w:r w:rsidRPr="004B07B4">
              <w:rPr>
                <w:rFonts w:ascii="Times New Roman" w:hAnsi="Times New Roman"/>
                <w:sz w:val="24"/>
                <w:szCs w:val="24"/>
                <w:lang w:val="nl-NL" w:eastAsia="en-SG"/>
              </w:rPr>
              <w:t>Từ 2012</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2017: Phó chủ tịch - </w:t>
            </w:r>
            <w:r w:rsidRPr="004B07B4">
              <w:rPr>
                <w:rFonts w:ascii="Times New Roman" w:hAnsi="Times New Roman"/>
                <w:color w:val="000000"/>
                <w:sz w:val="24"/>
                <w:szCs w:val="24"/>
                <w:lang w:val="nl-NL" w:eastAsia="en-SG"/>
              </w:rPr>
              <w:t>Chubb Life Việt Nam</w:t>
            </w:r>
          </w:p>
          <w:p w:rsidR="00202172" w:rsidRPr="004B07B4" w:rsidRDefault="00202172" w:rsidP="00444BF6">
            <w:pPr>
              <w:spacing w:after="0"/>
              <w:jc w:val="both"/>
              <w:rPr>
                <w:rFonts w:ascii="Times New Roman" w:eastAsiaTheme="minorHAnsi" w:hAnsi="Times New Roman"/>
                <w:sz w:val="24"/>
                <w:szCs w:val="24"/>
                <w:lang w:val="nl-NL" w:eastAsia="en-SG"/>
              </w:rPr>
            </w:pPr>
            <w:r w:rsidRPr="004B07B4">
              <w:rPr>
                <w:rFonts w:ascii="Times New Roman" w:hAnsi="Times New Roman"/>
                <w:sz w:val="24"/>
                <w:szCs w:val="24"/>
                <w:lang w:val="nl-NL" w:eastAsia="en-SG"/>
              </w:rPr>
              <w:t>Từ 2018</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w:t>
            </w:r>
            <w:r w:rsidR="00B85125" w:rsidRPr="004B07B4">
              <w:rPr>
                <w:rFonts w:ascii="Times New Roman" w:hAnsi="Times New Roman"/>
                <w:sz w:val="24"/>
                <w:szCs w:val="24"/>
                <w:lang w:val="nl-NL" w:eastAsia="en-SG"/>
              </w:rPr>
              <w:t xml:space="preserve"> </w:t>
            </w:r>
            <w:r w:rsidRPr="004B07B4">
              <w:rPr>
                <w:rFonts w:ascii="Times New Roman" w:hAnsi="Times New Roman"/>
                <w:sz w:val="24"/>
                <w:szCs w:val="24"/>
                <w:lang w:val="nl-NL" w:eastAsia="en-SG"/>
              </w:rPr>
              <w:t xml:space="preserve">nay: Phó </w:t>
            </w:r>
            <w:r w:rsidRPr="004B07B4">
              <w:rPr>
                <w:rFonts w:ascii="Times New Roman" w:hAnsi="Times New Roman"/>
                <w:color w:val="000000"/>
                <w:sz w:val="24"/>
                <w:szCs w:val="24"/>
                <w:lang w:val="nl-NL" w:eastAsia="en-SG"/>
              </w:rPr>
              <w:t>Tổng Giám đốc - Chubb Life Việt Nam</w:t>
            </w:r>
          </w:p>
        </w:tc>
      </w:tr>
      <w:tr w:rsidR="005C4036" w:rsidRPr="0037324A" w:rsidTr="00444BF6">
        <w:trPr>
          <w:gridAfter w:val="1"/>
          <w:wAfter w:w="2110" w:type="dxa"/>
          <w:trHeight w:val="270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Lê Thị Hồng Thái</w:t>
            </w:r>
          </w:p>
        </w:tc>
        <w:tc>
          <w:tcPr>
            <w:tcW w:w="144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Giám đốc Công ty</w:t>
            </w:r>
          </w:p>
        </w:tc>
        <w:tc>
          <w:tcPr>
            <w:tcW w:w="1080" w:type="dxa"/>
            <w:tcBorders>
              <w:top w:val="nil"/>
              <w:left w:val="nil"/>
              <w:bottom w:val="single" w:sz="4" w:space="0" w:color="auto"/>
              <w:right w:val="single" w:sz="4" w:space="0" w:color="auto"/>
            </w:tcBorders>
            <w:shd w:val="clear" w:color="auto" w:fill="auto"/>
            <w:vAlign w:val="center"/>
            <w:hideMark/>
          </w:tcPr>
          <w:p w:rsidR="00202172" w:rsidRPr="004B07B4" w:rsidRDefault="00202172" w:rsidP="00444BF6">
            <w:pPr>
              <w:jc w:val="center"/>
              <w:rPr>
                <w:rFonts w:ascii="Times New Roman" w:hAnsi="Times New Roman"/>
                <w:sz w:val="24"/>
                <w:szCs w:val="24"/>
                <w:lang w:val="nl-NL"/>
              </w:rPr>
            </w:pPr>
            <w:r w:rsidRPr="004B07B4">
              <w:rPr>
                <w:rFonts w:ascii="Times New Roman" w:hAnsi="Times New Roman"/>
                <w:sz w:val="24"/>
                <w:szCs w:val="24"/>
                <w:lang w:val="nl-NL"/>
              </w:rPr>
              <w:t>CFA</w:t>
            </w:r>
          </w:p>
        </w:tc>
        <w:tc>
          <w:tcPr>
            <w:tcW w:w="5430" w:type="dxa"/>
            <w:gridSpan w:val="2"/>
            <w:tcBorders>
              <w:top w:val="nil"/>
              <w:left w:val="nil"/>
              <w:bottom w:val="single" w:sz="4" w:space="0" w:color="auto"/>
              <w:right w:val="single" w:sz="4" w:space="0" w:color="auto"/>
            </w:tcBorders>
            <w:shd w:val="clear" w:color="auto" w:fill="auto"/>
            <w:vAlign w:val="center"/>
            <w:hideMark/>
          </w:tcPr>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2007</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2011: Quản lý thị trường Việt Nam- Bloomberg Singapore</w:t>
            </w:r>
          </w:p>
          <w:p w:rsidR="005C4036"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2011</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2012: Chuyên viên đầu tư -Quỹ Pureheart Singapore</w:t>
            </w:r>
          </w:p>
          <w:p w:rsidR="00BD0161"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2012</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2014: Trưởng phòng đầu tư - Công ty TNHH Bảo hiểm Nhân thọ Chubb Việt nam</w:t>
            </w:r>
          </w:p>
          <w:p w:rsidR="00202172" w:rsidRPr="004B07B4" w:rsidRDefault="00202172" w:rsidP="00444BF6">
            <w:pPr>
              <w:spacing w:after="0"/>
              <w:jc w:val="both"/>
              <w:rPr>
                <w:rFonts w:ascii="Times New Roman" w:hAnsi="Times New Roman"/>
                <w:sz w:val="24"/>
                <w:szCs w:val="24"/>
                <w:lang w:val="nl-NL"/>
              </w:rPr>
            </w:pPr>
            <w:r w:rsidRPr="004B07B4">
              <w:rPr>
                <w:rFonts w:ascii="Times New Roman" w:hAnsi="Times New Roman"/>
                <w:sz w:val="24"/>
                <w:szCs w:val="24"/>
                <w:lang w:val="nl-NL"/>
              </w:rPr>
              <w:t>Từ 2014</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w:t>
            </w:r>
            <w:r w:rsidR="00B85125" w:rsidRPr="004B07B4">
              <w:rPr>
                <w:rFonts w:ascii="Times New Roman" w:hAnsi="Times New Roman"/>
                <w:sz w:val="24"/>
                <w:szCs w:val="24"/>
                <w:lang w:val="nl-NL"/>
              </w:rPr>
              <w:t xml:space="preserve"> </w:t>
            </w:r>
            <w:r w:rsidRPr="004B07B4">
              <w:rPr>
                <w:rFonts w:ascii="Times New Roman" w:hAnsi="Times New Roman"/>
                <w:sz w:val="24"/>
                <w:szCs w:val="24"/>
                <w:lang w:val="nl-NL"/>
              </w:rPr>
              <w:t>nay: Giám đốc - Công ty TNHH MTV Quản Lý Quỹ Chubb Life</w:t>
            </w:r>
          </w:p>
        </w:tc>
      </w:tr>
    </w:tbl>
    <w:p w:rsidR="00202172" w:rsidRDefault="00202172" w:rsidP="00B3750F">
      <w:pPr>
        <w:tabs>
          <w:tab w:val="left" w:pos="720"/>
        </w:tabs>
        <w:jc w:val="both"/>
        <w:rPr>
          <w:rFonts w:ascii="Times New Roman" w:hAnsi="Times New Roman"/>
          <w:sz w:val="24"/>
          <w:szCs w:val="24"/>
          <w:highlight w:val="yellow"/>
          <w:lang w:val="nl-NL"/>
        </w:rPr>
      </w:pPr>
    </w:p>
    <w:p w:rsidR="00444BF6" w:rsidRDefault="00444BF6" w:rsidP="00B3750F">
      <w:pPr>
        <w:tabs>
          <w:tab w:val="left" w:pos="720"/>
        </w:tabs>
        <w:jc w:val="both"/>
        <w:rPr>
          <w:rFonts w:ascii="Times New Roman" w:hAnsi="Times New Roman"/>
          <w:b/>
          <w:sz w:val="24"/>
          <w:szCs w:val="24"/>
          <w:lang w:val="nl-NL"/>
        </w:rPr>
      </w:pPr>
    </w:p>
    <w:p w:rsidR="00444BF6" w:rsidRDefault="00444BF6" w:rsidP="00B3750F">
      <w:pPr>
        <w:tabs>
          <w:tab w:val="left" w:pos="720"/>
        </w:tabs>
        <w:jc w:val="both"/>
        <w:rPr>
          <w:rFonts w:ascii="Times New Roman" w:hAnsi="Times New Roman"/>
          <w:b/>
          <w:sz w:val="24"/>
          <w:szCs w:val="24"/>
          <w:lang w:val="nl-NL"/>
        </w:rPr>
      </w:pPr>
    </w:p>
    <w:p w:rsidR="00444BF6" w:rsidRDefault="00444BF6" w:rsidP="00B3750F">
      <w:pPr>
        <w:tabs>
          <w:tab w:val="left" w:pos="720"/>
        </w:tabs>
        <w:jc w:val="both"/>
        <w:rPr>
          <w:rFonts w:ascii="Times New Roman" w:hAnsi="Times New Roman"/>
          <w:b/>
          <w:sz w:val="24"/>
          <w:szCs w:val="24"/>
          <w:lang w:val="nl-NL"/>
        </w:rPr>
      </w:pPr>
    </w:p>
    <w:p w:rsidR="00444BF6" w:rsidRDefault="00444BF6" w:rsidP="00B3750F">
      <w:pPr>
        <w:tabs>
          <w:tab w:val="left" w:pos="720"/>
        </w:tabs>
        <w:jc w:val="both"/>
        <w:rPr>
          <w:rFonts w:ascii="Times New Roman" w:hAnsi="Times New Roman"/>
          <w:b/>
          <w:sz w:val="24"/>
          <w:szCs w:val="24"/>
          <w:lang w:val="nl-NL"/>
        </w:rPr>
      </w:pPr>
    </w:p>
    <w:p w:rsidR="00444BF6" w:rsidRDefault="00444BF6" w:rsidP="00B3750F">
      <w:pPr>
        <w:tabs>
          <w:tab w:val="left" w:pos="720"/>
        </w:tabs>
        <w:jc w:val="both"/>
        <w:rPr>
          <w:rFonts w:ascii="Times New Roman" w:hAnsi="Times New Roman"/>
          <w:b/>
          <w:sz w:val="24"/>
          <w:szCs w:val="24"/>
          <w:lang w:val="nl-NL"/>
        </w:rPr>
      </w:pPr>
    </w:p>
    <w:p w:rsidR="00444BF6" w:rsidRPr="00F2683A" w:rsidRDefault="00444BF6" w:rsidP="00B3750F">
      <w:pPr>
        <w:tabs>
          <w:tab w:val="left" w:pos="720"/>
        </w:tabs>
        <w:jc w:val="both"/>
        <w:rPr>
          <w:rFonts w:ascii="Times New Roman" w:hAnsi="Times New Roman"/>
          <w:sz w:val="24"/>
          <w:szCs w:val="24"/>
          <w:highlight w:val="yellow"/>
          <w:lang w:val="nl-NL"/>
        </w:rPr>
      </w:pPr>
      <w:r w:rsidRPr="00444BF6">
        <w:rPr>
          <w:rFonts w:ascii="Times New Roman" w:hAnsi="Times New Roman"/>
          <w:b/>
          <w:sz w:val="24"/>
          <w:szCs w:val="24"/>
          <w:lang w:val="nl-NL"/>
        </w:rPr>
        <w:t>Ban đại diện quỹ gồm có:</w:t>
      </w:r>
    </w:p>
    <w:tbl>
      <w:tblPr>
        <w:tblW w:w="10308" w:type="dxa"/>
        <w:tblInd w:w="108" w:type="dxa"/>
        <w:tblLook w:val="04A0" w:firstRow="1" w:lastRow="0" w:firstColumn="1" w:lastColumn="0" w:noHBand="0" w:noVBand="1"/>
      </w:tblPr>
      <w:tblGrid>
        <w:gridCol w:w="2160"/>
        <w:gridCol w:w="702"/>
        <w:gridCol w:w="648"/>
        <w:gridCol w:w="1170"/>
        <w:gridCol w:w="2496"/>
        <w:gridCol w:w="2702"/>
        <w:gridCol w:w="430"/>
      </w:tblGrid>
      <w:tr w:rsidR="00202172" w:rsidRPr="0037324A" w:rsidTr="00444BF6">
        <w:trPr>
          <w:trHeight w:val="541"/>
        </w:trPr>
        <w:tc>
          <w:tcPr>
            <w:tcW w:w="2862" w:type="dxa"/>
            <w:gridSpan w:val="2"/>
            <w:tcBorders>
              <w:top w:val="nil"/>
              <w:left w:val="nil"/>
              <w:bottom w:val="nil"/>
              <w:right w:val="nil"/>
            </w:tcBorders>
            <w:shd w:val="clear" w:color="auto" w:fill="auto"/>
            <w:noWrap/>
            <w:vAlign w:val="bottom"/>
          </w:tcPr>
          <w:p w:rsidR="00444BF6" w:rsidRPr="00444BF6" w:rsidRDefault="00444BF6" w:rsidP="00444BF6">
            <w:pPr>
              <w:jc w:val="both"/>
              <w:rPr>
                <w:rFonts w:ascii="Times New Roman" w:hAnsi="Times New Roman"/>
                <w:b/>
                <w:sz w:val="24"/>
                <w:szCs w:val="24"/>
                <w:lang w:val="nl-NL"/>
              </w:rPr>
            </w:pPr>
          </w:p>
        </w:tc>
        <w:tc>
          <w:tcPr>
            <w:tcW w:w="1818" w:type="dxa"/>
            <w:gridSpan w:val="2"/>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c>
          <w:tcPr>
            <w:tcW w:w="2496" w:type="dxa"/>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c>
          <w:tcPr>
            <w:tcW w:w="3132" w:type="dxa"/>
            <w:gridSpan w:val="2"/>
            <w:tcBorders>
              <w:top w:val="nil"/>
              <w:left w:val="nil"/>
              <w:bottom w:val="nil"/>
              <w:right w:val="nil"/>
            </w:tcBorders>
            <w:shd w:val="clear" w:color="auto" w:fill="auto"/>
            <w:noWrap/>
            <w:vAlign w:val="bottom"/>
          </w:tcPr>
          <w:p w:rsidR="00202172" w:rsidRPr="00444BF6" w:rsidRDefault="00202172" w:rsidP="00B3750F">
            <w:pPr>
              <w:jc w:val="both"/>
              <w:rPr>
                <w:rFonts w:ascii="Times New Roman" w:hAnsi="Times New Roman"/>
                <w:sz w:val="24"/>
                <w:szCs w:val="24"/>
                <w:lang w:val="nl-NL"/>
              </w:rPr>
            </w:pPr>
          </w:p>
        </w:tc>
      </w:tr>
      <w:tr w:rsidR="00202172" w:rsidRPr="00F2683A" w:rsidTr="00444BF6">
        <w:trPr>
          <w:gridAfter w:val="1"/>
          <w:wAfter w:w="430" w:type="dxa"/>
          <w:trHeight w:val="541"/>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1" w:name="_Hlk14188218"/>
            <w:r w:rsidRPr="00444BF6">
              <w:rPr>
                <w:rFonts w:ascii="Times New Roman" w:hAnsi="Times New Roman"/>
                <w:b/>
                <w:sz w:val="24"/>
                <w:szCs w:val="24"/>
                <w:lang w:val="nl-NL"/>
              </w:rPr>
              <w:t>Họ và tên</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37324A" w:rsidTr="00444BF6">
        <w:trPr>
          <w:gridAfter w:val="1"/>
          <w:wAfter w:w="430" w:type="dxa"/>
          <w:trHeight w:val="40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Trịnh Thanh Cần</w:t>
            </w:r>
          </w:p>
        </w:tc>
        <w:tc>
          <w:tcPr>
            <w:tcW w:w="1350" w:type="dxa"/>
            <w:gridSpan w:val="2"/>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Cử nhân</w:t>
            </w:r>
          </w:p>
        </w:tc>
        <w:tc>
          <w:tcPr>
            <w:tcW w:w="5198" w:type="dxa"/>
            <w:gridSpan w:val="2"/>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Trợ lý nghiên cứu -Công ty Quản lý quỹ Tower Mỹ</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2003: Chuyên viên - Ngân hàng Downey Savings</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Mỹ</w:t>
            </w:r>
            <w:r w:rsidRPr="00444BF6">
              <w:rPr>
                <w:rFonts w:ascii="Times New Roman" w:hAnsi="Times New Roman"/>
                <w:sz w:val="24"/>
                <w:szCs w:val="24"/>
                <w:lang w:val="nl-NL"/>
              </w:rPr>
              <w:br/>
              <w:t>Từ 2003</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2005: Chuyên viên đầu tư - Công ty QLQ</w:t>
            </w:r>
            <w:r w:rsidR="00D75CED" w:rsidRPr="00444BF6">
              <w:rPr>
                <w:rFonts w:ascii="Times New Roman" w:hAnsi="Times New Roman"/>
                <w:sz w:val="24"/>
                <w:szCs w:val="24"/>
                <w:lang w:val="nl-NL"/>
              </w:rPr>
              <w:t xml:space="preserve"> V</w:t>
            </w:r>
            <w:r w:rsidRPr="00444BF6">
              <w:rPr>
                <w:rFonts w:ascii="Times New Roman" w:hAnsi="Times New Roman"/>
                <w:sz w:val="24"/>
                <w:szCs w:val="24"/>
                <w:lang w:val="nl-NL"/>
              </w:rPr>
              <w:t>inacapital Việt Nam</w:t>
            </w:r>
            <w:r w:rsidRPr="00444BF6">
              <w:rPr>
                <w:rFonts w:ascii="Times New Roman" w:hAnsi="Times New Roman"/>
                <w:sz w:val="24"/>
                <w:szCs w:val="24"/>
                <w:lang w:val="nl-NL"/>
              </w:rPr>
              <w:br/>
              <w:t>Từ 2005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2006: Giám đốc Quan hệ KH - Ngân hàng HSBC Việ</w:t>
            </w:r>
            <w:r w:rsidR="00D75CED" w:rsidRPr="00444BF6">
              <w:rPr>
                <w:rFonts w:ascii="Times New Roman" w:hAnsi="Times New Roman"/>
                <w:sz w:val="24"/>
                <w:szCs w:val="24"/>
                <w:lang w:val="nl-NL"/>
              </w:rPr>
              <w:t xml:space="preserve">t </w:t>
            </w:r>
            <w:r w:rsidRPr="00444BF6">
              <w:rPr>
                <w:rFonts w:ascii="Times New Roman" w:hAnsi="Times New Roman"/>
                <w:sz w:val="24"/>
                <w:szCs w:val="24"/>
                <w:lang w:val="nl-NL"/>
              </w:rPr>
              <w:t>Nam</w:t>
            </w:r>
            <w:r w:rsidRPr="00444BF6">
              <w:rPr>
                <w:rFonts w:ascii="Times New Roman" w:hAnsi="Times New Roman"/>
                <w:sz w:val="24"/>
                <w:szCs w:val="24"/>
                <w:lang w:val="nl-NL"/>
              </w:rPr>
              <w:br/>
              <w:t>Từ 2006</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2007: Giám đốc đầu tư - Công ty QLQ Bản Việt</w:t>
            </w:r>
            <w:r w:rsidRPr="00444BF6">
              <w:rPr>
                <w:rFonts w:ascii="Times New Roman" w:hAnsi="Times New Roman"/>
                <w:sz w:val="24"/>
                <w:szCs w:val="24"/>
                <w:lang w:val="nl-NL"/>
              </w:rPr>
              <w:br/>
              <w:t>Từ 2007</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2011: Giám đốc phân tích -</w:t>
            </w:r>
            <w:r w:rsidR="00444BF6">
              <w:rPr>
                <w:rFonts w:ascii="Times New Roman" w:hAnsi="Times New Roman"/>
                <w:sz w:val="24"/>
                <w:szCs w:val="24"/>
                <w:lang w:val="nl-NL"/>
              </w:rPr>
              <w:t xml:space="preserve"> </w:t>
            </w:r>
            <w:r w:rsidRPr="00444BF6">
              <w:rPr>
                <w:rFonts w:ascii="Times New Roman" w:hAnsi="Times New Roman"/>
                <w:sz w:val="24"/>
                <w:szCs w:val="24"/>
                <w:lang w:val="nl-NL"/>
              </w:rPr>
              <w:t xml:space="preserve">Công ty </w:t>
            </w:r>
            <w:r w:rsidR="00F14D5B" w:rsidRPr="00444BF6">
              <w:rPr>
                <w:rFonts w:ascii="Times New Roman" w:hAnsi="Times New Roman"/>
                <w:sz w:val="24"/>
                <w:szCs w:val="24"/>
                <w:lang w:val="nl-NL"/>
              </w:rPr>
              <w:t>Chứng khoán</w:t>
            </w:r>
            <w:r w:rsidRPr="00444BF6">
              <w:rPr>
                <w:rFonts w:ascii="Times New Roman" w:hAnsi="Times New Roman"/>
                <w:sz w:val="24"/>
                <w:szCs w:val="24"/>
                <w:lang w:val="nl-NL"/>
              </w:rPr>
              <w:t xml:space="preserve"> Bản Việt</w:t>
            </w:r>
            <w:r w:rsidRPr="00444BF6">
              <w:rPr>
                <w:rFonts w:ascii="Times New Roman" w:hAnsi="Times New Roman"/>
                <w:sz w:val="24"/>
                <w:szCs w:val="24"/>
                <w:lang w:val="nl-NL"/>
              </w:rPr>
              <w:br/>
              <w:t>Từ 2011</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2015: Giám đốc điều hành khối Tư vấn tài chính DN</w:t>
            </w:r>
            <w:r w:rsidR="00444BF6">
              <w:rPr>
                <w:rFonts w:ascii="Times New Roman" w:hAnsi="Times New Roman"/>
                <w:sz w:val="24"/>
                <w:szCs w:val="24"/>
                <w:lang w:val="nl-NL"/>
              </w:rPr>
              <w:t xml:space="preserve"> </w:t>
            </w:r>
            <w:r w:rsidRPr="00444BF6">
              <w:rPr>
                <w:rFonts w:ascii="Times New Roman" w:hAnsi="Times New Roman"/>
                <w:sz w:val="24"/>
                <w:szCs w:val="24"/>
                <w:lang w:val="nl-NL"/>
              </w:rPr>
              <w:t>- Công ty chứng khoán HSC</w:t>
            </w:r>
            <w:r w:rsidRPr="00444BF6">
              <w:rPr>
                <w:rFonts w:ascii="Times New Roman" w:hAnsi="Times New Roman"/>
                <w:sz w:val="24"/>
                <w:szCs w:val="24"/>
                <w:lang w:val="nl-NL"/>
              </w:rPr>
              <w:b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Chứng khoán ACB</w:t>
            </w:r>
          </w:p>
        </w:tc>
      </w:tr>
      <w:tr w:rsidR="00202172" w:rsidRPr="0037324A" w:rsidTr="00444BF6">
        <w:trPr>
          <w:gridAfter w:val="1"/>
          <w:wAfter w:w="430" w:type="dxa"/>
          <w:trHeight w:val="3529"/>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Nguyễn Trọng Đức</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B3750F">
            <w:pPr>
              <w:jc w:val="both"/>
              <w:rPr>
                <w:rFonts w:ascii="Times New Roman" w:hAnsi="Times New Roman"/>
                <w:sz w:val="24"/>
                <w:szCs w:val="24"/>
                <w:lang w:val="nl-NL"/>
              </w:rPr>
            </w:pPr>
            <w:r w:rsidRPr="00444BF6">
              <w:rPr>
                <w:rFonts w:ascii="Times New Roman" w:hAnsi="Times New Roman"/>
                <w:sz w:val="24"/>
                <w:szCs w:val="24"/>
                <w:lang w:val="nl-NL"/>
              </w:rPr>
              <w:t>Thạc sỹ</w:t>
            </w:r>
          </w:p>
        </w:tc>
        <w:tc>
          <w:tcPr>
            <w:tcW w:w="5198" w:type="dxa"/>
            <w:gridSpan w:val="2"/>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spacing w:after="0"/>
              <w:rPr>
                <w:rFonts w:ascii="Times New Roman" w:hAnsi="Times New Roman"/>
                <w:sz w:val="24"/>
                <w:szCs w:val="24"/>
                <w:lang w:val="nl-NL"/>
              </w:rPr>
            </w:pPr>
            <w:r w:rsidRPr="00444BF6">
              <w:rPr>
                <w:rFonts w:ascii="Times New Roman" w:hAnsi="Times New Roman"/>
                <w:sz w:val="24"/>
                <w:szCs w:val="24"/>
                <w:lang w:val="nl-NL"/>
              </w:rPr>
              <w:t>Từ 1995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1999: Kiểm toán viên - Công ty Kiểm toán KPMG</w:t>
            </w:r>
            <w:r w:rsidRPr="00444BF6">
              <w:rPr>
                <w:rFonts w:ascii="Times New Roman" w:hAnsi="Times New Roman"/>
                <w:sz w:val="24"/>
                <w:szCs w:val="24"/>
                <w:lang w:val="nl-NL"/>
              </w:rPr>
              <w:br/>
              <w:t>Từ 1999</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2000: Trưởng phòng KTNB - Công ty Victoria Việt Nam Group</w:t>
            </w:r>
            <w:r w:rsidRPr="00444BF6">
              <w:rPr>
                <w:rFonts w:ascii="Times New Roman" w:hAnsi="Times New Roman"/>
                <w:sz w:val="24"/>
                <w:szCs w:val="24"/>
                <w:lang w:val="nl-NL"/>
              </w:rPr>
              <w:br/>
              <w:t>Từ 2000</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2002: Giám đốc tài chính tập đoàn - Công ty Victoria Việt Nam Group</w:t>
            </w:r>
            <w:r w:rsidRPr="00444BF6">
              <w:rPr>
                <w:rFonts w:ascii="Times New Roman" w:hAnsi="Times New Roman"/>
                <w:sz w:val="24"/>
                <w:szCs w:val="24"/>
                <w:lang w:val="nl-NL"/>
              </w:rPr>
              <w:br/>
              <w:t>Từ 2002</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2004: Giám đốc tài chính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Philips Electronics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br/>
              <w:t>Từ</w:t>
            </w:r>
            <w:r w:rsidR="005C4036" w:rsidRPr="00444BF6">
              <w:rPr>
                <w:rFonts w:ascii="Times New Roman" w:hAnsi="Times New Roman"/>
                <w:sz w:val="24"/>
                <w:szCs w:val="24"/>
                <w:lang w:val="nl-NL"/>
              </w:rPr>
              <w:t xml:space="preserve"> 2004</w:t>
            </w:r>
            <w:r w:rsidR="00B85125" w:rsidRPr="00444BF6">
              <w:rPr>
                <w:rFonts w:ascii="Times New Roman" w:hAnsi="Times New Roman"/>
                <w:sz w:val="24"/>
                <w:szCs w:val="24"/>
                <w:lang w:val="nl-NL"/>
              </w:rPr>
              <w:t xml:space="preserve"> </w:t>
            </w:r>
            <w:r w:rsidR="005C4036" w:rsidRPr="00444BF6">
              <w:rPr>
                <w:rFonts w:ascii="Times New Roman" w:hAnsi="Times New Roman"/>
                <w:sz w:val="24"/>
                <w:szCs w:val="24"/>
                <w:lang w:val="nl-NL"/>
              </w:rPr>
              <w:t xml:space="preserve">- 2015: </w:t>
            </w:r>
            <w:r w:rsidRPr="00444BF6">
              <w:rPr>
                <w:rFonts w:ascii="Times New Roman" w:hAnsi="Times New Roman"/>
                <w:sz w:val="24"/>
                <w:szCs w:val="24"/>
                <w:lang w:val="nl-NL"/>
              </w:rPr>
              <w:t>Giám đốc tài chính</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r w:rsidRPr="00444BF6">
              <w:rPr>
                <w:rFonts w:ascii="Times New Roman" w:hAnsi="Times New Roman"/>
                <w:sz w:val="24"/>
                <w:szCs w:val="24"/>
                <w:lang w:val="nl-NL"/>
              </w:rPr>
              <w:t xml:space="preserve"> </w:t>
            </w:r>
          </w:p>
          <w:p w:rsidR="00497DBF" w:rsidRPr="00444BF6" w:rsidRDefault="00202172" w:rsidP="00497DBF">
            <w:pPr>
              <w:spacing w:after="0"/>
              <w:rPr>
                <w:rFonts w:ascii="Times New Roman" w:hAnsi="Times New Roman"/>
                <w:sz w:val="24"/>
                <w:szCs w:val="24"/>
                <w:lang w:val="nl-NL"/>
              </w:rPr>
            </w:pPr>
            <w:r w:rsidRPr="00444BF6">
              <w:rPr>
                <w:rFonts w:ascii="Times New Roman" w:hAnsi="Times New Roman"/>
                <w:sz w:val="24"/>
                <w:szCs w:val="24"/>
                <w:lang w:val="nl-NL"/>
              </w:rPr>
              <w:t>Từ 2015</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- 2018</w:t>
            </w:r>
            <w:r w:rsidR="005C4036" w:rsidRPr="00444BF6">
              <w:rPr>
                <w:rFonts w:ascii="Times New Roman" w:hAnsi="Times New Roman"/>
                <w:sz w:val="24"/>
                <w:szCs w:val="24"/>
                <w:lang w:val="nl-NL"/>
              </w:rPr>
              <w:t xml:space="preserve">: </w:t>
            </w:r>
            <w:r w:rsidRPr="00444BF6">
              <w:rPr>
                <w:rFonts w:ascii="Times New Roman" w:hAnsi="Times New Roman"/>
                <w:sz w:val="24"/>
                <w:szCs w:val="24"/>
                <w:lang w:val="nl-NL"/>
              </w:rPr>
              <w:t>Giám đốc điều hành hoạt động/Giám đốc tài chính</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Pr="00444BF6">
              <w:rPr>
                <w:rFonts w:ascii="Times New Roman" w:hAnsi="Times New Roman"/>
                <w:sz w:val="24"/>
                <w:szCs w:val="24"/>
                <w:lang w:val="nl-NL"/>
              </w:rPr>
              <w:br/>
              <w:t>Từ 6/2018</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 nay: Tổng giám đốc -</w:t>
            </w:r>
            <w:r w:rsidR="00B85125" w:rsidRPr="00444BF6">
              <w:rPr>
                <w:rFonts w:ascii="Times New Roman" w:hAnsi="Times New Roman"/>
                <w:sz w:val="24"/>
                <w:szCs w:val="24"/>
                <w:lang w:val="nl-NL"/>
              </w:rPr>
              <w:t xml:space="preserve"> </w:t>
            </w:r>
            <w:r w:rsidRPr="00444BF6">
              <w:rPr>
                <w:rFonts w:ascii="Times New Roman" w:hAnsi="Times New Roman"/>
                <w:sz w:val="24"/>
                <w:szCs w:val="24"/>
                <w:lang w:val="nl-NL"/>
              </w:rPr>
              <w:t>Công ty Ogilvy &amp; Mather Việt Nam</w:t>
            </w:r>
            <w:r w:rsidR="00B85125" w:rsidRPr="00444BF6">
              <w:rPr>
                <w:rFonts w:ascii="Times New Roman" w:hAnsi="Times New Roman"/>
                <w:sz w:val="24"/>
                <w:szCs w:val="24"/>
                <w:lang w:val="nl-NL"/>
              </w:rPr>
              <w:t>.</w:t>
            </w:r>
          </w:p>
        </w:tc>
      </w:tr>
      <w:tr w:rsidR="00202172" w:rsidRPr="0037324A" w:rsidTr="00BE2769">
        <w:trPr>
          <w:gridAfter w:val="1"/>
          <w:wAfter w:w="430" w:type="dxa"/>
          <w:trHeight w:val="3213"/>
        </w:trPr>
        <w:tc>
          <w:tcPr>
            <w:tcW w:w="21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Trần Việt Hương</w:t>
            </w:r>
          </w:p>
        </w:tc>
        <w:tc>
          <w:tcPr>
            <w:tcW w:w="1350" w:type="dxa"/>
            <w:gridSpan w:val="2"/>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Luật sư</w:t>
            </w:r>
          </w:p>
        </w:tc>
        <w:tc>
          <w:tcPr>
            <w:tcW w:w="5198" w:type="dxa"/>
            <w:gridSpan w:val="2"/>
            <w:tcBorders>
              <w:top w:val="single" w:sz="4" w:space="0" w:color="000000"/>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1995</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1997: Tư vấn thuế &amp;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kiểm toán và tư vấn Cooper &amp; Lybrand – AISC</w:t>
            </w:r>
            <w:r w:rsidRPr="00444BF6">
              <w:rPr>
                <w:rFonts w:ascii="Times New Roman" w:hAnsi="Times New Roman"/>
                <w:sz w:val="24"/>
                <w:szCs w:val="24"/>
                <w:lang w:val="nl-NL"/>
              </w:rPr>
              <w:br/>
              <w:t>Từ 1998</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2000: Tư vấn thuế &amp;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Kiểm toán KPMG</w:t>
            </w:r>
            <w:r w:rsidRPr="00444BF6">
              <w:rPr>
                <w:rFonts w:ascii="Times New Roman" w:hAnsi="Times New Roman"/>
                <w:sz w:val="24"/>
                <w:szCs w:val="24"/>
                <w:lang w:val="nl-NL"/>
              </w:rPr>
              <w:br/>
              <w:t>Từ 2000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2003: Phó trưởng Đại diện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VPĐD Pacific Rim Enterprises, LLC</w:t>
            </w:r>
            <w:r w:rsidRPr="00444BF6">
              <w:rPr>
                <w:rFonts w:ascii="Times New Roman" w:hAnsi="Times New Roman"/>
                <w:sz w:val="24"/>
                <w:szCs w:val="24"/>
                <w:lang w:val="nl-NL"/>
              </w:rPr>
              <w:br/>
              <w:t>Từ 2003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2006: Phó giám đốc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Nhiệt Đới</w:t>
            </w:r>
            <w:r w:rsidRPr="00444BF6">
              <w:rPr>
                <w:rFonts w:ascii="Times New Roman" w:hAnsi="Times New Roman"/>
                <w:sz w:val="24"/>
                <w:szCs w:val="24"/>
                <w:lang w:val="nl-NL"/>
              </w:rPr>
              <w:br/>
              <w:t>Từ 2006</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2008: Phó Tổng giám đốc</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Công ty CP An Gia</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Luật sư thành viên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luật Avenir</w:t>
            </w:r>
            <w:r w:rsidRPr="00444BF6">
              <w:rPr>
                <w:rFonts w:ascii="Times New Roman" w:hAnsi="Times New Roman"/>
                <w:sz w:val="24"/>
                <w:szCs w:val="24"/>
                <w:lang w:val="nl-NL"/>
              </w:rPr>
              <w:b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Giám đốc Điều hành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Mễ Tân</w:t>
            </w:r>
          </w:p>
        </w:tc>
      </w:tr>
      <w:bookmarkEnd w:id="1"/>
    </w:tbl>
    <w:p w:rsidR="00C23979" w:rsidRPr="00F2683A" w:rsidRDefault="00C23979" w:rsidP="00B3750F">
      <w:pPr>
        <w:jc w:val="both"/>
        <w:rPr>
          <w:rFonts w:ascii="Times New Roman" w:hAnsi="Times New Roman"/>
          <w:sz w:val="24"/>
          <w:szCs w:val="24"/>
          <w:highlight w:val="yellow"/>
          <w:lang w:val="nl-NL"/>
        </w:rPr>
      </w:pPr>
    </w:p>
    <w:p w:rsidR="00202172" w:rsidRPr="00444BF6" w:rsidRDefault="00202172" w:rsidP="00444BF6">
      <w:pPr>
        <w:jc w:val="both"/>
        <w:rPr>
          <w:rFonts w:ascii="Times New Roman" w:hAnsi="Times New Roman"/>
          <w:b/>
          <w:sz w:val="24"/>
          <w:szCs w:val="24"/>
          <w:lang w:val="nl-NL"/>
        </w:rPr>
      </w:pPr>
      <w:r w:rsidRPr="00444BF6">
        <w:rPr>
          <w:rFonts w:ascii="Times New Roman" w:hAnsi="Times New Roman"/>
          <w:b/>
          <w:sz w:val="24"/>
          <w:szCs w:val="24"/>
          <w:lang w:val="nl-NL"/>
        </w:rPr>
        <w:t>Nhân sự điều hành Quỹ gồm có:</w:t>
      </w:r>
    </w:p>
    <w:tbl>
      <w:tblPr>
        <w:tblW w:w="9967" w:type="dxa"/>
        <w:tblInd w:w="108" w:type="dxa"/>
        <w:tblLook w:val="04A0" w:firstRow="1" w:lastRow="0" w:firstColumn="1" w:lastColumn="0" w:noHBand="0" w:noVBand="1"/>
      </w:tblPr>
      <w:tblGrid>
        <w:gridCol w:w="2250"/>
        <w:gridCol w:w="1170"/>
        <w:gridCol w:w="1170"/>
        <w:gridCol w:w="5377"/>
      </w:tblGrid>
      <w:tr w:rsidR="00202172" w:rsidRPr="00F2683A" w:rsidTr="00BD2872">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bookmarkStart w:id="2" w:name="_Hlk14191481"/>
            <w:r w:rsidRPr="00444BF6">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Bằng cấp</w:t>
            </w:r>
          </w:p>
        </w:tc>
        <w:tc>
          <w:tcPr>
            <w:tcW w:w="5377" w:type="dxa"/>
            <w:tcBorders>
              <w:top w:val="single" w:sz="4" w:space="0" w:color="auto"/>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b/>
                <w:sz w:val="24"/>
                <w:szCs w:val="24"/>
                <w:lang w:val="nl-NL"/>
              </w:rPr>
            </w:pPr>
            <w:r w:rsidRPr="00444BF6">
              <w:rPr>
                <w:rFonts w:ascii="Times New Roman" w:hAnsi="Times New Roman"/>
                <w:b/>
                <w:sz w:val="24"/>
                <w:szCs w:val="24"/>
                <w:lang w:val="nl-NL"/>
              </w:rPr>
              <w:t>Quá trình công tác</w:t>
            </w:r>
          </w:p>
        </w:tc>
      </w:tr>
      <w:tr w:rsidR="00202172" w:rsidRPr="0037324A" w:rsidTr="00BD2872">
        <w:trPr>
          <w:trHeight w:val="2351"/>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Phạm Minh Thắng</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CFA</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2010</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2011: Chuyên viên phân tích đầu tư -VPĐD Công ty QLQ Việt Nam</w:t>
            </w:r>
            <w:r w:rsidRPr="00444BF6">
              <w:rPr>
                <w:rFonts w:ascii="Times New Roman" w:hAnsi="Times New Roman"/>
                <w:sz w:val="24"/>
                <w:szCs w:val="24"/>
                <w:lang w:val="nl-NL"/>
              </w:rPr>
              <w:br/>
              <w:t>Từ 2011</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2012: Chuyên viên tài chính -Công ty TNHH Bảo hiểm nhân thọ Prudential</w:t>
            </w:r>
            <w:r w:rsidRPr="00444BF6">
              <w:rPr>
                <w:rFonts w:ascii="Times New Roman" w:hAnsi="Times New Roman"/>
                <w:sz w:val="24"/>
                <w:szCs w:val="24"/>
                <w:lang w:val="nl-NL"/>
              </w:rPr>
              <w:br/>
              <w:t>Từ 2012</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2013: Chuyên viên Quản lý rủi ro</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Pr="00444BF6">
              <w:rPr>
                <w:rFonts w:ascii="Times New Roman" w:hAnsi="Times New Roman"/>
                <w:sz w:val="24"/>
                <w:szCs w:val="24"/>
                <w:lang w:val="nl-NL"/>
              </w:rPr>
              <w:br/>
              <w:t>Từ 2013</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Phó phòng đầu tư - Công ty TNHH MTV QLQ Chubb Life</w:t>
            </w:r>
          </w:p>
        </w:tc>
      </w:tr>
      <w:tr w:rsidR="00202172" w:rsidRPr="0037324A" w:rsidTr="00BD2872">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Đinh Thị Hồng Anh</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rsidR="00202172" w:rsidRPr="00444BF6" w:rsidRDefault="00202172" w:rsidP="00444BF6">
            <w:pPr>
              <w:jc w:val="center"/>
              <w:rPr>
                <w:rFonts w:ascii="Times New Roman" w:hAnsi="Times New Roman"/>
                <w:sz w:val="24"/>
                <w:szCs w:val="24"/>
                <w:lang w:val="nl-NL"/>
              </w:rPr>
            </w:pPr>
            <w:r w:rsidRPr="00444BF6">
              <w:rPr>
                <w:rFonts w:ascii="Times New Roman" w:hAnsi="Times New Roman"/>
                <w:sz w:val="24"/>
                <w:szCs w:val="24"/>
                <w:lang w:val="nl-NL"/>
              </w:rPr>
              <w:t>Thạc sỹ</w:t>
            </w:r>
          </w:p>
        </w:tc>
        <w:tc>
          <w:tcPr>
            <w:tcW w:w="5377" w:type="dxa"/>
            <w:tcBorders>
              <w:top w:val="nil"/>
              <w:left w:val="nil"/>
              <w:bottom w:val="single" w:sz="4" w:space="0" w:color="auto"/>
              <w:right w:val="single" w:sz="4" w:space="0" w:color="auto"/>
            </w:tcBorders>
            <w:shd w:val="clear" w:color="auto" w:fill="auto"/>
            <w:vAlign w:val="bottom"/>
            <w:hideMark/>
          </w:tcPr>
          <w:p w:rsidR="00202172" w:rsidRPr="00444BF6" w:rsidRDefault="00202172" w:rsidP="00444BF6">
            <w:pPr>
              <w:rPr>
                <w:rFonts w:ascii="Times New Roman" w:hAnsi="Times New Roman"/>
                <w:sz w:val="24"/>
                <w:szCs w:val="24"/>
                <w:lang w:val="nl-NL"/>
              </w:rPr>
            </w:pPr>
            <w:r w:rsidRPr="00444BF6">
              <w:rPr>
                <w:rFonts w:ascii="Times New Roman" w:hAnsi="Times New Roman"/>
                <w:sz w:val="24"/>
                <w:szCs w:val="24"/>
                <w:lang w:val="nl-NL"/>
              </w:rPr>
              <w:t>Từ 2008-2010: Nhân viên kinh doanh vốn</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 Ngân hàng TMCP Á Châu</w:t>
            </w:r>
            <w:r w:rsidR="006334E3" w:rsidRPr="00444BF6">
              <w:rPr>
                <w:rFonts w:ascii="Times New Roman" w:hAnsi="Times New Roman"/>
                <w:sz w:val="24"/>
                <w:szCs w:val="24"/>
                <w:lang w:val="nl-NL"/>
              </w:rPr>
              <w:t>.</w:t>
            </w:r>
            <w:r w:rsidRPr="00444BF6">
              <w:rPr>
                <w:rFonts w:ascii="Times New Roman" w:hAnsi="Times New Roman"/>
                <w:sz w:val="24"/>
                <w:szCs w:val="24"/>
                <w:lang w:val="nl-NL"/>
              </w:rPr>
              <w:br/>
              <w:t>Từ 2012-2013: Chuyên viên đầu tư</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Bảo hiểm Nhân thọ Chubb Việt nam</w:t>
            </w:r>
            <w:r w:rsidRPr="00444BF6">
              <w:rPr>
                <w:rFonts w:ascii="Times New Roman" w:hAnsi="Times New Roman"/>
                <w:sz w:val="24"/>
                <w:szCs w:val="24"/>
                <w:lang w:val="nl-NL"/>
              </w:rPr>
              <w:br/>
              <w:t>Từ 2014</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nay: Chuyên viên đầu tư -</w:t>
            </w:r>
            <w:r w:rsidR="006334E3" w:rsidRPr="00444BF6">
              <w:rPr>
                <w:rFonts w:ascii="Times New Roman" w:hAnsi="Times New Roman"/>
                <w:sz w:val="24"/>
                <w:szCs w:val="24"/>
                <w:lang w:val="nl-NL"/>
              </w:rPr>
              <w:t xml:space="preserve"> </w:t>
            </w:r>
            <w:r w:rsidRPr="00444BF6">
              <w:rPr>
                <w:rFonts w:ascii="Times New Roman" w:hAnsi="Times New Roman"/>
                <w:sz w:val="24"/>
                <w:szCs w:val="24"/>
                <w:lang w:val="nl-NL"/>
              </w:rPr>
              <w:t>Công ty TNHH MTV QLQ Chubb Life</w:t>
            </w:r>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C4468" w:rsidRPr="0037324A" w:rsidTr="00C30443">
        <w:trPr>
          <w:jc w:val="right"/>
        </w:trPr>
        <w:tc>
          <w:tcPr>
            <w:tcW w:w="4428" w:type="dxa"/>
          </w:tcPr>
          <w:bookmarkEnd w:id="2"/>
          <w:p w:rsidR="001C4468" w:rsidRPr="00F2683A" w:rsidRDefault="00C30443" w:rsidP="00C30443">
            <w:pPr>
              <w:tabs>
                <w:tab w:val="left" w:pos="540"/>
              </w:tabs>
              <w:spacing w:before="120"/>
              <w:rPr>
                <w:rFonts w:ascii="Times New Roman" w:hAnsi="Times New Roman"/>
                <w:sz w:val="24"/>
                <w:szCs w:val="24"/>
                <w:lang w:val="nl-NL"/>
              </w:rPr>
            </w:pPr>
            <w:r>
              <w:rPr>
                <w:rFonts w:ascii="Times New Roman" w:hAnsi="Times New Roman"/>
                <w:b/>
                <w:sz w:val="24"/>
                <w:szCs w:val="24"/>
                <w:lang w:val="nl-NL"/>
              </w:rPr>
              <w:tab/>
            </w:r>
          </w:p>
        </w:tc>
        <w:tc>
          <w:tcPr>
            <w:tcW w:w="4428" w:type="dxa"/>
          </w:tcPr>
          <w:p w:rsidR="001C4468" w:rsidRPr="00F2683A" w:rsidRDefault="00C30443" w:rsidP="00C30443">
            <w:pPr>
              <w:tabs>
                <w:tab w:val="left" w:pos="540"/>
              </w:tabs>
              <w:spacing w:before="120"/>
              <w:jc w:val="center"/>
              <w:rPr>
                <w:rFonts w:ascii="Times New Roman" w:hAnsi="Times New Roman"/>
                <w:sz w:val="24"/>
                <w:szCs w:val="24"/>
                <w:lang w:val="nl-NL"/>
              </w:rPr>
            </w:pPr>
            <w:r>
              <w:rPr>
                <w:rFonts w:ascii="Times New Roman" w:eastAsia="Times New Roman" w:hAnsi="Times New Roman"/>
                <w:i/>
                <w:sz w:val="24"/>
                <w:szCs w:val="24"/>
                <w:lang w:val="nl-NL"/>
              </w:rPr>
              <w:t>Tp.HCM</w:t>
            </w:r>
            <w:r w:rsidRPr="00F2683A">
              <w:rPr>
                <w:rFonts w:ascii="Times New Roman" w:eastAsia="Times New Roman" w:hAnsi="Times New Roman"/>
                <w:i/>
                <w:sz w:val="24"/>
                <w:szCs w:val="24"/>
                <w:lang w:val="nl-NL"/>
              </w:rPr>
              <w:t>, ngày</w:t>
            </w:r>
            <w:r>
              <w:rPr>
                <w:rFonts w:ascii="Times New Roman" w:eastAsia="Times New Roman" w:hAnsi="Times New Roman"/>
                <w:i/>
                <w:sz w:val="24"/>
                <w:szCs w:val="24"/>
                <w:lang w:val="nl-NL"/>
              </w:rPr>
              <w:t xml:space="preserve"> 18</w:t>
            </w:r>
            <w:r w:rsidRPr="00F2683A">
              <w:rPr>
                <w:rFonts w:ascii="Times New Roman" w:eastAsia="Times New Roman" w:hAnsi="Times New Roman"/>
                <w:i/>
                <w:sz w:val="24"/>
                <w:szCs w:val="24"/>
                <w:lang w:val="nl-NL"/>
              </w:rPr>
              <w:t xml:space="preserve"> tháng</w:t>
            </w:r>
            <w:r>
              <w:rPr>
                <w:rFonts w:ascii="Times New Roman" w:eastAsia="Times New Roman" w:hAnsi="Times New Roman"/>
                <w:i/>
                <w:sz w:val="24"/>
                <w:szCs w:val="24"/>
                <w:lang w:val="nl-NL"/>
              </w:rPr>
              <w:t xml:space="preserve"> 07</w:t>
            </w:r>
            <w:r w:rsidRPr="00F2683A">
              <w:rPr>
                <w:rFonts w:ascii="Times New Roman" w:eastAsia="Times New Roman" w:hAnsi="Times New Roman"/>
                <w:i/>
                <w:sz w:val="24"/>
                <w:szCs w:val="24"/>
                <w:lang w:val="nl-NL"/>
              </w:rPr>
              <w:t xml:space="preserve"> năm</w:t>
            </w:r>
            <w:r>
              <w:rPr>
                <w:rFonts w:ascii="Times New Roman" w:eastAsia="Times New Roman" w:hAnsi="Times New Roman"/>
                <w:i/>
                <w:sz w:val="24"/>
                <w:szCs w:val="24"/>
                <w:lang w:val="nl-NL"/>
              </w:rPr>
              <w:t xml:space="preserve"> 2019</w:t>
            </w:r>
            <w:r w:rsidRPr="00F2683A">
              <w:rPr>
                <w:rFonts w:ascii="Times New Roman" w:eastAsia="Times New Roman" w:hAnsi="Times New Roman"/>
                <w:i/>
                <w:sz w:val="24"/>
                <w:szCs w:val="24"/>
                <w:lang w:val="nl-NL"/>
              </w:rPr>
              <w:br/>
            </w:r>
            <w:r>
              <w:rPr>
                <w:rFonts w:ascii="Times New Roman" w:eastAsia="Times New Roman" w:hAnsi="Times New Roman"/>
                <w:b/>
                <w:sz w:val="24"/>
                <w:szCs w:val="24"/>
                <w:lang w:val="nl-NL"/>
              </w:rPr>
              <w:t>(</w:t>
            </w:r>
            <w:r w:rsidRPr="00F2683A">
              <w:rPr>
                <w:rFonts w:ascii="Times New Roman" w:eastAsia="Times New Roman" w:hAnsi="Times New Roman"/>
                <w:b/>
                <w:sz w:val="24"/>
                <w:szCs w:val="24"/>
                <w:lang w:val="nl-NL"/>
              </w:rPr>
              <w:t>TỔNG</w:t>
            </w:r>
            <w:r>
              <w:rPr>
                <w:rFonts w:ascii="Times New Roman" w:eastAsia="Times New Roman" w:hAnsi="Times New Roman"/>
                <w:b/>
                <w:sz w:val="24"/>
                <w:szCs w:val="24"/>
                <w:lang w:val="nl-NL"/>
              </w:rPr>
              <w:t>)</w:t>
            </w:r>
            <w:r w:rsidRPr="00F2683A">
              <w:rPr>
                <w:rFonts w:ascii="Times New Roman" w:eastAsia="Times New Roman" w:hAnsi="Times New Roman"/>
                <w:b/>
                <w:sz w:val="24"/>
                <w:szCs w:val="24"/>
                <w:lang w:val="nl-NL"/>
              </w:rPr>
              <w:t xml:space="preserve"> </w:t>
            </w:r>
            <w:r>
              <w:rPr>
                <w:rFonts w:ascii="Times New Roman" w:eastAsia="Times New Roman" w:hAnsi="Times New Roman"/>
                <w:b/>
                <w:sz w:val="24"/>
                <w:szCs w:val="24"/>
                <w:lang w:val="nl-NL"/>
              </w:rPr>
              <w:t>GIÁM</w:t>
            </w:r>
            <w:r w:rsidRPr="00F2683A">
              <w:rPr>
                <w:rFonts w:ascii="Times New Roman" w:eastAsia="Times New Roman" w:hAnsi="Times New Roman"/>
                <w:b/>
                <w:sz w:val="24"/>
                <w:szCs w:val="24"/>
                <w:lang w:val="nl-NL"/>
              </w:rPr>
              <w:t xml:space="preserve"> ĐỐC</w:t>
            </w:r>
            <w:r w:rsidRPr="00F2683A">
              <w:rPr>
                <w:rFonts w:ascii="Times New Roman" w:eastAsia="Times New Roman" w:hAnsi="Times New Roman"/>
                <w:b/>
                <w:sz w:val="24"/>
                <w:szCs w:val="24"/>
                <w:lang w:val="nl-NL"/>
              </w:rPr>
              <w:br/>
            </w:r>
            <w:r w:rsidRPr="00F2683A">
              <w:rPr>
                <w:rFonts w:ascii="Times New Roman" w:eastAsia="Times New Roman" w:hAnsi="Times New Roman"/>
                <w:i/>
                <w:sz w:val="24"/>
                <w:szCs w:val="24"/>
                <w:lang w:val="nl-NL"/>
              </w:rPr>
              <w:t>(Ký, ghi rõ họ tên và đóng dấu)</w:t>
            </w:r>
          </w:p>
        </w:tc>
      </w:tr>
    </w:tbl>
    <w:p w:rsidR="001C4468" w:rsidRPr="00F2683A" w:rsidRDefault="001C4468" w:rsidP="00C30443">
      <w:pPr>
        <w:shd w:val="clear" w:color="auto" w:fill="FFFFFF"/>
        <w:tabs>
          <w:tab w:val="left" w:pos="540"/>
        </w:tabs>
        <w:spacing w:before="120" w:after="0" w:line="240" w:lineRule="auto"/>
        <w:rPr>
          <w:rFonts w:ascii="Times New Roman" w:hAnsi="Times New Roman"/>
          <w:sz w:val="24"/>
          <w:szCs w:val="24"/>
          <w:lang w:val="nl-NL"/>
        </w:rPr>
      </w:pPr>
    </w:p>
    <w:p w:rsidR="005F0B26" w:rsidRPr="00F2683A" w:rsidRDefault="005F0B26" w:rsidP="00B3750F">
      <w:pPr>
        <w:jc w:val="both"/>
        <w:rPr>
          <w:rFonts w:ascii="Times New Roman" w:hAnsi="Times New Roman"/>
          <w:sz w:val="24"/>
          <w:szCs w:val="24"/>
          <w:lang w:val="nl-NL"/>
        </w:rPr>
      </w:pPr>
    </w:p>
    <w:sectPr w:rsidR="005F0B26" w:rsidRPr="00F2683A" w:rsidSect="00D86A2D">
      <w:footerReference w:type="default" r:id="rId9"/>
      <w:pgSz w:w="12240" w:h="15840"/>
      <w:pgMar w:top="126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61" w:rsidRDefault="00363061" w:rsidP="00621E6D">
      <w:pPr>
        <w:spacing w:after="0" w:line="240" w:lineRule="auto"/>
      </w:pPr>
      <w:r>
        <w:separator/>
      </w:r>
    </w:p>
  </w:endnote>
  <w:endnote w:type="continuationSeparator" w:id="0">
    <w:p w:rsidR="00363061" w:rsidRDefault="00363061"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993429"/>
      <w:docPartObj>
        <w:docPartGallery w:val="Page Numbers (Bottom of Page)"/>
        <w:docPartUnique/>
      </w:docPartObj>
    </w:sdtPr>
    <w:sdtEndPr>
      <w:rPr>
        <w:noProof/>
      </w:rPr>
    </w:sdtEndPr>
    <w:sdtContent>
      <w:p w:rsidR="00363061" w:rsidRDefault="00363061">
        <w:pPr>
          <w:pStyle w:val="Footer"/>
          <w:jc w:val="right"/>
        </w:pPr>
        <w:r>
          <w:fldChar w:fldCharType="begin"/>
        </w:r>
        <w:r>
          <w:instrText xml:space="preserve"> PAGE   \* MERGEFORMAT </w:instrText>
        </w:r>
        <w:r>
          <w:fldChar w:fldCharType="separate"/>
        </w:r>
        <w:r w:rsidR="0037324A">
          <w:rPr>
            <w:noProof/>
          </w:rPr>
          <w:t>10</w:t>
        </w:r>
        <w:r>
          <w:rPr>
            <w:noProof/>
          </w:rPr>
          <w:fldChar w:fldCharType="end"/>
        </w:r>
      </w:p>
    </w:sdtContent>
  </w:sdt>
  <w:p w:rsidR="00363061" w:rsidRDefault="0036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61" w:rsidRDefault="00363061" w:rsidP="00621E6D">
      <w:pPr>
        <w:spacing w:after="0" w:line="240" w:lineRule="auto"/>
      </w:pPr>
      <w:r>
        <w:separator/>
      </w:r>
    </w:p>
  </w:footnote>
  <w:footnote w:type="continuationSeparator" w:id="0">
    <w:p w:rsidR="00363061" w:rsidRDefault="00363061" w:rsidP="0062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8"/>
    <w:rsid w:val="00010261"/>
    <w:rsid w:val="00045DF3"/>
    <w:rsid w:val="000769A6"/>
    <w:rsid w:val="000D5E12"/>
    <w:rsid w:val="000E3736"/>
    <w:rsid w:val="000E3955"/>
    <w:rsid w:val="001724E2"/>
    <w:rsid w:val="001950F7"/>
    <w:rsid w:val="001A5984"/>
    <w:rsid w:val="001B0DD1"/>
    <w:rsid w:val="001C4468"/>
    <w:rsid w:val="001F1E38"/>
    <w:rsid w:val="001F3B0D"/>
    <w:rsid w:val="00202172"/>
    <w:rsid w:val="002339E4"/>
    <w:rsid w:val="0024670A"/>
    <w:rsid w:val="00287AF8"/>
    <w:rsid w:val="003001EE"/>
    <w:rsid w:val="00332909"/>
    <w:rsid w:val="0034115C"/>
    <w:rsid w:val="003464D6"/>
    <w:rsid w:val="00363061"/>
    <w:rsid w:val="0037324A"/>
    <w:rsid w:val="003D7C0D"/>
    <w:rsid w:val="003E47A2"/>
    <w:rsid w:val="003E4AD7"/>
    <w:rsid w:val="003F1FA0"/>
    <w:rsid w:val="004122D4"/>
    <w:rsid w:val="00430277"/>
    <w:rsid w:val="004336D0"/>
    <w:rsid w:val="0043581D"/>
    <w:rsid w:val="00436680"/>
    <w:rsid w:val="00444BF6"/>
    <w:rsid w:val="00454E48"/>
    <w:rsid w:val="00461ED9"/>
    <w:rsid w:val="004777E3"/>
    <w:rsid w:val="00497DBF"/>
    <w:rsid w:val="004A5AA7"/>
    <w:rsid w:val="004B07B4"/>
    <w:rsid w:val="004D4AB0"/>
    <w:rsid w:val="004F5C05"/>
    <w:rsid w:val="00504A87"/>
    <w:rsid w:val="00530319"/>
    <w:rsid w:val="005526F1"/>
    <w:rsid w:val="00577F49"/>
    <w:rsid w:val="005A3A09"/>
    <w:rsid w:val="005B2BDA"/>
    <w:rsid w:val="005C4036"/>
    <w:rsid w:val="005E577E"/>
    <w:rsid w:val="005F0B26"/>
    <w:rsid w:val="00605309"/>
    <w:rsid w:val="00621E6D"/>
    <w:rsid w:val="006334E3"/>
    <w:rsid w:val="00636709"/>
    <w:rsid w:val="0065494C"/>
    <w:rsid w:val="00685F5A"/>
    <w:rsid w:val="00686487"/>
    <w:rsid w:val="006B5AA7"/>
    <w:rsid w:val="006E26E5"/>
    <w:rsid w:val="006E3CFF"/>
    <w:rsid w:val="006F77D6"/>
    <w:rsid w:val="0074088D"/>
    <w:rsid w:val="00785B67"/>
    <w:rsid w:val="007C2E9E"/>
    <w:rsid w:val="007D6CE8"/>
    <w:rsid w:val="008321C8"/>
    <w:rsid w:val="00846481"/>
    <w:rsid w:val="008978F2"/>
    <w:rsid w:val="008E250F"/>
    <w:rsid w:val="008E3939"/>
    <w:rsid w:val="009535E9"/>
    <w:rsid w:val="009671DB"/>
    <w:rsid w:val="009A353C"/>
    <w:rsid w:val="009B6D55"/>
    <w:rsid w:val="009C5C88"/>
    <w:rsid w:val="00A1471B"/>
    <w:rsid w:val="00A67095"/>
    <w:rsid w:val="00A75631"/>
    <w:rsid w:val="00A926B4"/>
    <w:rsid w:val="00A962C0"/>
    <w:rsid w:val="00AA4AF1"/>
    <w:rsid w:val="00AA4C6A"/>
    <w:rsid w:val="00AC3F03"/>
    <w:rsid w:val="00AE1160"/>
    <w:rsid w:val="00B3750F"/>
    <w:rsid w:val="00B40151"/>
    <w:rsid w:val="00B84DD0"/>
    <w:rsid w:val="00B85125"/>
    <w:rsid w:val="00B953F5"/>
    <w:rsid w:val="00BA4FB3"/>
    <w:rsid w:val="00BD0161"/>
    <w:rsid w:val="00BD2872"/>
    <w:rsid w:val="00BD584D"/>
    <w:rsid w:val="00BE2769"/>
    <w:rsid w:val="00BF6CD7"/>
    <w:rsid w:val="00C17D8E"/>
    <w:rsid w:val="00C23979"/>
    <w:rsid w:val="00C272AB"/>
    <w:rsid w:val="00C30443"/>
    <w:rsid w:val="00CA1215"/>
    <w:rsid w:val="00CA45A9"/>
    <w:rsid w:val="00CB2B53"/>
    <w:rsid w:val="00CC754B"/>
    <w:rsid w:val="00CD5D53"/>
    <w:rsid w:val="00D034B8"/>
    <w:rsid w:val="00D35C0A"/>
    <w:rsid w:val="00D506DC"/>
    <w:rsid w:val="00D544CC"/>
    <w:rsid w:val="00D75CED"/>
    <w:rsid w:val="00D86A2D"/>
    <w:rsid w:val="00D92B1C"/>
    <w:rsid w:val="00DA597D"/>
    <w:rsid w:val="00DD002F"/>
    <w:rsid w:val="00DD0266"/>
    <w:rsid w:val="00E25CCB"/>
    <w:rsid w:val="00E27DDB"/>
    <w:rsid w:val="00E31237"/>
    <w:rsid w:val="00E46772"/>
    <w:rsid w:val="00E8252E"/>
    <w:rsid w:val="00EA3A3A"/>
    <w:rsid w:val="00ED2EC6"/>
    <w:rsid w:val="00F14D5B"/>
    <w:rsid w:val="00F2683A"/>
    <w:rsid w:val="00F4320B"/>
    <w:rsid w:val="00F50B89"/>
    <w:rsid w:val="00F75DB6"/>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3991"/>
  <w15:docId w15:val="{D0545435-9101-4251-BF5A-B46B4B6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Distribution\CBPF%20factsheet\CBPF\Database%20factcsheet%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SG" b="1">
                <a:latin typeface="Times New Roman" panose="02020603050405020304" pitchFamily="18" charset="0"/>
                <a:cs typeface="Times New Roman" panose="02020603050405020304" pitchFamily="18" charset="0"/>
              </a:rPr>
              <a:t>Giá</a:t>
            </a:r>
            <a:r>
              <a:rPr lang="en-SG" b="1" baseline="0">
                <a:latin typeface="Times New Roman" panose="02020603050405020304" pitchFamily="18" charset="0"/>
                <a:cs typeface="Times New Roman" panose="02020603050405020304" pitchFamily="18" charset="0"/>
              </a:rPr>
              <a:t> CCQ của Quỹ CBPF</a:t>
            </a:r>
            <a:endParaRPr lang="en-SG"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870625546806649"/>
          <c:y val="0.15319444444444447"/>
          <c:w val="0.84073818897637786"/>
          <c:h val="0.68854986876640412"/>
        </c:manualLayout>
      </c:layout>
      <c:lineChart>
        <c:grouping val="standard"/>
        <c:varyColors val="0"/>
        <c:ser>
          <c:idx val="0"/>
          <c:order val="0"/>
          <c:spPr>
            <a:ln w="28575" cap="rnd">
              <a:solidFill>
                <a:schemeClr val="accent1"/>
              </a:solidFill>
              <a:round/>
            </a:ln>
            <a:effectLst/>
          </c:spPr>
          <c:marker>
            <c:symbol val="none"/>
          </c:marker>
          <c:cat>
            <c:strRef>
              <c:f>NAV!$B$2:$O$2</c:f>
              <c:strCache>
                <c:ptCount val="14"/>
                <c:pt idx="0">
                  <c:v>Tuần 14</c:v>
                </c:pt>
                <c:pt idx="1">
                  <c:v>Tuần 15</c:v>
                </c:pt>
                <c:pt idx="2">
                  <c:v>Tuần 16</c:v>
                </c:pt>
                <c:pt idx="3">
                  <c:v>Tuần 17</c:v>
                </c:pt>
                <c:pt idx="4">
                  <c:v>Tuần 18</c:v>
                </c:pt>
                <c:pt idx="5">
                  <c:v>Tuần 19</c:v>
                </c:pt>
                <c:pt idx="6">
                  <c:v>Tuần 20</c:v>
                </c:pt>
                <c:pt idx="7">
                  <c:v>Tuần 21</c:v>
                </c:pt>
                <c:pt idx="8">
                  <c:v>Tuần 22</c:v>
                </c:pt>
                <c:pt idx="9">
                  <c:v>Tuần 23</c:v>
                </c:pt>
                <c:pt idx="10">
                  <c:v>Tuần 24</c:v>
                </c:pt>
                <c:pt idx="11">
                  <c:v>Tuần 25</c:v>
                </c:pt>
                <c:pt idx="12">
                  <c:v>Tuần 26</c:v>
                </c:pt>
                <c:pt idx="13">
                  <c:v>Tuần 27</c:v>
                </c:pt>
              </c:strCache>
            </c:strRef>
          </c:cat>
          <c:val>
            <c:numRef>
              <c:f>NAV!$B$3:$O$3</c:f>
              <c:numCache>
                <c:formatCode>_(* #,##0_);_(* \(#,##0\);_(* "-"??_);_(@_)</c:formatCode>
                <c:ptCount val="14"/>
                <c:pt idx="0">
                  <c:v>9997.36</c:v>
                </c:pt>
                <c:pt idx="1">
                  <c:v>9999.56</c:v>
                </c:pt>
                <c:pt idx="2">
                  <c:v>10002.41</c:v>
                </c:pt>
                <c:pt idx="3">
                  <c:v>10006.950000000001</c:v>
                </c:pt>
                <c:pt idx="4">
                  <c:v>10007.709999999999</c:v>
                </c:pt>
                <c:pt idx="5">
                  <c:v>10011</c:v>
                </c:pt>
                <c:pt idx="6">
                  <c:v>10016.23</c:v>
                </c:pt>
                <c:pt idx="7">
                  <c:v>10020.19</c:v>
                </c:pt>
                <c:pt idx="8">
                  <c:v>10025.549999999999</c:v>
                </c:pt>
                <c:pt idx="9">
                  <c:v>10031.69</c:v>
                </c:pt>
                <c:pt idx="10">
                  <c:v>10037.780000000001</c:v>
                </c:pt>
                <c:pt idx="11">
                  <c:v>10043.870000000001</c:v>
                </c:pt>
                <c:pt idx="12">
                  <c:v>10051.799999999999</c:v>
                </c:pt>
                <c:pt idx="13">
                  <c:v>10054.969999999999</c:v>
                </c:pt>
              </c:numCache>
            </c:numRef>
          </c:val>
          <c:smooth val="0"/>
          <c:extLst>
            <c:ext xmlns:c16="http://schemas.microsoft.com/office/drawing/2014/chart" uri="{C3380CC4-5D6E-409C-BE32-E72D297353CC}">
              <c16:uniqueId val="{00000000-9942-498A-A15D-ADFDAA0BEA29}"/>
            </c:ext>
          </c:extLst>
        </c:ser>
        <c:dLbls>
          <c:showLegendKey val="0"/>
          <c:showVal val="0"/>
          <c:showCatName val="0"/>
          <c:showSerName val="0"/>
          <c:showPercent val="0"/>
          <c:showBubbleSize val="0"/>
        </c:dLbls>
        <c:smooth val="0"/>
        <c:axId val="67274624"/>
        <c:axId val="67276160"/>
      </c:lineChart>
      <c:catAx>
        <c:axId val="6727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76160"/>
        <c:crosses val="autoZero"/>
        <c:auto val="1"/>
        <c:lblAlgn val="ctr"/>
        <c:lblOffset val="100"/>
        <c:noMultiLvlLbl val="0"/>
      </c:catAx>
      <c:valAx>
        <c:axId val="67276160"/>
        <c:scaling>
          <c:orientation val="minMax"/>
        </c:scaling>
        <c:delete val="0"/>
        <c:axPos val="l"/>
        <c:title>
          <c:tx>
            <c:rich>
              <a:bodyPr rot="0" spcFirstLastPara="1" vertOverflow="ellipsis" wrap="square" anchor="b" anchorCtr="0"/>
              <a:lstStyle/>
              <a:p>
                <a:pPr>
                  <a:defRPr sz="1000" b="0" i="0" u="none" strike="noStrike" kern="1200" baseline="0">
                    <a:solidFill>
                      <a:schemeClr val="tx1">
                        <a:lumMod val="65000"/>
                        <a:lumOff val="35000"/>
                      </a:schemeClr>
                    </a:solidFill>
                    <a:latin typeface="+mn-lt"/>
                    <a:ea typeface="+mn-ea"/>
                    <a:cs typeface="+mn-cs"/>
                  </a:defRPr>
                </a:pPr>
                <a:r>
                  <a:rPr lang="en-SG" b="1">
                    <a:latin typeface="Times New Roman" panose="02020603050405020304" pitchFamily="18" charset="0"/>
                    <a:cs typeface="Times New Roman" panose="02020603050405020304" pitchFamily="18" charset="0"/>
                  </a:rPr>
                  <a:t>đồng/CCQ</a:t>
                </a:r>
              </a:p>
            </c:rich>
          </c:tx>
          <c:layout>
            <c:manualLayout>
              <c:xMode val="edge"/>
              <c:yMode val="edge"/>
              <c:x val="2.7777777777777776E-2"/>
              <c:y val="3.3649752114319045E-2"/>
            </c:manualLayout>
          </c:layout>
          <c:overlay val="0"/>
          <c:spPr>
            <a:noFill/>
            <a:ln>
              <a:noFill/>
            </a:ln>
            <a:effectLst/>
          </c:spPr>
          <c:txPr>
            <a:bodyPr rot="0" spcFirstLastPara="1" vertOverflow="ellipsis" wrap="square" anchor="b" anchorCtr="0"/>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7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+1QyOCyqKSCZWtR1QFpDChM91fI=</DigestValue>
    </Reference>
    <Reference URI="#idOfficeObject" Type="http://www.w3.org/2000/09/xmldsig#Object">
      <DigestMethod Algorithm="http://www.w3.org/2000/09/xmldsig#sha1"/>
      <DigestValue>WJBUUO/9qZGtarXqd98BgmG3PKo=</DigestValue>
    </Reference>
    <Reference URI="#idSignedProperties" Type="http://uri.etsi.org/01903#SignedProperties">
      <Transforms>
        <Transform Algorithm="http://www.w3.org/TR/2001/REC-xml-c14n-20010315"/>
      </Transforms>
      <DigestMethod Algorithm="http://www.w3.org/2000/09/xmldsig#sha1"/>
      <DigestValue>0Djsk+zfEVQc7wRQqt0tbns4pjU=</DigestValue>
    </Reference>
  </SignedInfo>
  <SignatureValue>vLKnHRz0GBAPYaaS2lzTDrzqdKKPbsILR3im86Guh6OJNlJ9buX3hCUqpW0GBwv+bta6cqY+lp0E
rapS/1Gqx91PHxnOf77rPx6oq3QUyGhHyzG9O8kK6FC92/C9I4Jrmf/03LrstUEQVEKUlb/lSBJ3
D971S+2J/yl41GyUuZ8=</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U/DKMUchmqMm7ShQ9OzJMAQpfgw=</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hUTeEXfv9tLN3x41hRM3eBZbmF0=</DigestValue>
      </Reference>
      <Reference URI="/word/styles.xml?ContentType=application/vnd.openxmlformats-officedocument.wordprocessingml.styles+xml">
        <DigestMethod Algorithm="http://www.w3.org/2000/09/xmldsig#sha1"/>
        <DigestValue>ubCONTb4MqHRd35s91SIkbXCV/w=</DigestValue>
      </Reference>
      <Reference URI="/word/numbering.xml?ContentType=application/vnd.openxmlformats-officedocument.wordprocessingml.numbering+xml">
        <DigestMethod Algorithm="http://www.w3.org/2000/09/xmldsig#sha1"/>
        <DigestValue>DU2j4R4x+lD8qk+O8i1xtDO4New=</DigestValue>
      </Reference>
      <Reference URI="/word/webSettings.xml?ContentType=application/vnd.openxmlformats-officedocument.wordprocessingml.webSettings+xml">
        <DigestMethod Algorithm="http://www.w3.org/2000/09/xmldsig#sha1"/>
        <DigestValue>psTMdTRGfjJpM9gtlhJjnLQ3h4k=</DigestValue>
      </Reference>
      <Reference URI="/word/charts/chart1.xml?ContentType=application/vnd.openxmlformats-officedocument.drawingml.chart+xml">
        <DigestMethod Algorithm="http://www.w3.org/2000/09/xmldsig#sha1"/>
        <DigestValue>/Y4Kz04UX5stetU7prPytzfMKoc=</DigestValue>
      </Reference>
      <Reference URI="/word/footnotes.xml?ContentType=application/vnd.openxmlformats-officedocument.wordprocessingml.footnotes+xml">
        <DigestMethod Algorithm="http://www.w3.org/2000/09/xmldsig#sha1"/>
        <DigestValue>W000K/olTTyv3VvFqW1+U1diCzU=</DigestValue>
      </Reference>
      <Reference URI="/word/footer1.xml?ContentType=application/vnd.openxmlformats-officedocument.wordprocessingml.footer+xml">
        <DigestMethod Algorithm="http://www.w3.org/2000/09/xmldsig#sha1"/>
        <DigestValue>z0QuJ25ot758UbquN0sT4uF5/+E=</DigestValue>
      </Reference>
      <Reference URI="/word/endnotes.xml?ContentType=application/vnd.openxmlformats-officedocument.wordprocessingml.endnotes+xml">
        <DigestMethod Algorithm="http://www.w3.org/2000/09/xmldsig#sha1"/>
        <DigestValue>4+/B2F4aOuph+amO7007cEVnKb0=</DigestValue>
      </Reference>
      <Reference URI="/word/document.xml?ContentType=application/vnd.openxmlformats-officedocument.wordprocessingml.document.main+xml">
        <DigestMethod Algorithm="http://www.w3.org/2000/09/xmldsig#sha1"/>
        <DigestValue>E3ke7fjOIyRFsvv1cqJfsPDZgQE=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h+qiIbWaHTDxDmoYaAo3nCntQl4=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t352UsFivn9VWGfZGEYbOhgRi3w=</DigestValue>
      </Reference>
    </Manifest>
    <SignatureProperties>
      <SignatureProperty Id="idSignatureTime" Target="#idPackageSignature">
        <mdssi:SignatureTime>
          <mdssi:Format>YYYY-MM-DDThh:mm:ssTZD</mdssi:Format>
          <mdssi:Value>2019-07-19T10:07:28Z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2019-07-19T10:07:28Z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EF58-3AC6-4808-8331-F62AEEE2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Dinh, Thi Hong Anh - CFMC Vietnam</cp:lastModifiedBy>
  <cp:revision>90</cp:revision>
  <cp:lastPrinted>2019-07-19T08:40:00Z</cp:lastPrinted>
  <dcterms:created xsi:type="dcterms:W3CDTF">2019-07-17T10:38:00Z</dcterms:created>
  <dcterms:modified xsi:type="dcterms:W3CDTF">2019-07-19T10:05:00Z</dcterms:modified>
</cp:coreProperties>
</file>