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AF69" w14:textId="77777777" w:rsidR="001C4468" w:rsidRPr="00E93BC5" w:rsidRDefault="001C4468" w:rsidP="00406622">
      <w:pPr>
        <w:shd w:val="clear" w:color="auto" w:fill="FFFFFF"/>
        <w:tabs>
          <w:tab w:val="left" w:pos="270"/>
        </w:tabs>
        <w:spacing w:before="120" w:after="0" w:line="240" w:lineRule="auto"/>
        <w:jc w:val="center"/>
        <w:rPr>
          <w:rFonts w:ascii="Times New Roman" w:hAnsi="Times New Roman"/>
          <w:b/>
          <w:sz w:val="24"/>
          <w:szCs w:val="24"/>
          <w:lang w:val="nl-NL"/>
        </w:rPr>
      </w:pPr>
      <w:r w:rsidRPr="00E93BC5">
        <w:rPr>
          <w:rFonts w:ascii="Times New Roman" w:hAnsi="Times New Roman"/>
          <w:b/>
          <w:sz w:val="24"/>
          <w:szCs w:val="24"/>
          <w:lang w:val="nl-NL"/>
        </w:rPr>
        <w:t>BÁO CÁO CỦA CÔNG TY QUẢN LÝ QUỸ</w:t>
      </w:r>
    </w:p>
    <w:p w14:paraId="0E96F330" w14:textId="77777777" w:rsidR="00C17D8E" w:rsidRPr="00E93BC5"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E93BC5">
        <w:rPr>
          <w:rFonts w:ascii="Times New Roman" w:hAnsi="Times New Roman"/>
          <w:b/>
          <w:sz w:val="24"/>
          <w:szCs w:val="24"/>
          <w:lang w:val="nl-NL"/>
        </w:rPr>
        <w:t>(</w:t>
      </w:r>
      <w:r w:rsidRPr="00E93BC5">
        <w:rPr>
          <w:rFonts w:ascii="Times New Roman" w:hAnsi="Times New Roman"/>
          <w:b/>
          <w:i/>
          <w:sz w:val="24"/>
          <w:szCs w:val="24"/>
          <w:lang w:val="nl-NL"/>
        </w:rPr>
        <w:t>Ban hành kèm theo Thông tư số 181/2015/TT-BTC ngày 13 tháng 11 năm 2015 của Bộ Tài chính)</w:t>
      </w:r>
    </w:p>
    <w:p w14:paraId="4FFC3A13" w14:textId="77777777" w:rsidR="00C17D8E" w:rsidRPr="00E93BC5"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E93BC5">
        <w:rPr>
          <w:rFonts w:ascii="Times New Roman" w:hAnsi="Times New Roman"/>
          <w:b/>
          <w:sz w:val="24"/>
          <w:szCs w:val="24"/>
          <w:lang w:val="nl-NL"/>
        </w:rPr>
        <w:t>BÁO CÁO CỦA CÔNG TY TNHH MTV QUẢN LÝ QUỸ CHUBB LIFE</w:t>
      </w:r>
    </w:p>
    <w:p w14:paraId="1A4CC93D" w14:textId="361709E3" w:rsidR="00C17D8E" w:rsidRPr="00E93BC5" w:rsidRDefault="00C17D8E" w:rsidP="008A4832">
      <w:pPr>
        <w:shd w:val="clear" w:color="auto" w:fill="FFFFFF"/>
        <w:tabs>
          <w:tab w:val="left" w:pos="540"/>
        </w:tabs>
        <w:spacing w:before="120" w:after="240" w:line="240" w:lineRule="auto"/>
        <w:jc w:val="center"/>
        <w:rPr>
          <w:rFonts w:ascii="Times New Roman" w:hAnsi="Times New Roman"/>
          <w:b/>
          <w:i/>
          <w:sz w:val="24"/>
          <w:szCs w:val="24"/>
          <w:lang w:val="nl-NL"/>
        </w:rPr>
      </w:pPr>
      <w:r w:rsidRPr="00E93BC5">
        <w:rPr>
          <w:rFonts w:ascii="Times New Roman" w:hAnsi="Times New Roman"/>
          <w:b/>
          <w:i/>
          <w:sz w:val="24"/>
          <w:szCs w:val="24"/>
          <w:lang w:val="nl-NL"/>
        </w:rPr>
        <w:t>(</w:t>
      </w:r>
      <w:r w:rsidR="001752AD">
        <w:rPr>
          <w:rFonts w:ascii="Times New Roman" w:hAnsi="Times New Roman"/>
          <w:b/>
          <w:i/>
          <w:sz w:val="24"/>
          <w:szCs w:val="24"/>
          <w:lang w:val="nl-NL"/>
        </w:rPr>
        <w:t xml:space="preserve">Bán niên </w:t>
      </w:r>
      <w:r w:rsidR="002D54C8" w:rsidRPr="00E93BC5">
        <w:rPr>
          <w:rFonts w:ascii="Times New Roman" w:hAnsi="Times New Roman"/>
          <w:b/>
          <w:i/>
          <w:sz w:val="24"/>
          <w:szCs w:val="24"/>
          <w:lang w:val="nl-NL"/>
        </w:rPr>
        <w:t>202</w:t>
      </w:r>
      <w:r w:rsidR="00EC6196">
        <w:rPr>
          <w:rFonts w:ascii="Times New Roman" w:hAnsi="Times New Roman"/>
          <w:b/>
          <w:i/>
          <w:sz w:val="24"/>
          <w:szCs w:val="24"/>
          <w:lang w:val="nl-NL"/>
        </w:rPr>
        <w:t>4</w:t>
      </w:r>
      <w:r w:rsidRPr="00E93BC5">
        <w:rPr>
          <w:rFonts w:ascii="Times New Roman" w:hAnsi="Times New Roman"/>
          <w:b/>
          <w:i/>
          <w:sz w:val="24"/>
          <w:szCs w:val="24"/>
          <w:lang w:val="nl-NL"/>
        </w:rPr>
        <w:t>)</w:t>
      </w:r>
    </w:p>
    <w:p w14:paraId="0ED0F6F0" w14:textId="77777777" w:rsidR="001C4468" w:rsidRPr="00E93BC5"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E93BC5">
        <w:rPr>
          <w:rFonts w:ascii="Times New Roman" w:hAnsi="Times New Roman"/>
          <w:b/>
          <w:sz w:val="24"/>
          <w:szCs w:val="24"/>
          <w:lang w:val="nl-NL"/>
        </w:rPr>
        <w:t>T</w:t>
      </w:r>
      <w:r w:rsidR="00D86A2D" w:rsidRPr="00E93BC5">
        <w:rPr>
          <w:rFonts w:ascii="Times New Roman" w:hAnsi="Times New Roman"/>
          <w:b/>
          <w:sz w:val="24"/>
          <w:szCs w:val="24"/>
          <w:lang w:val="nl-NL"/>
        </w:rPr>
        <w:t>HÔNG TIN CHUNG VỀ QUỸ</w:t>
      </w:r>
    </w:p>
    <w:p w14:paraId="019E1D7F" w14:textId="77777777" w:rsidR="00C17D8E" w:rsidRPr="00E93BC5"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E93BC5">
        <w:rPr>
          <w:rFonts w:ascii="Times New Roman" w:eastAsia="Times New Roman" w:hAnsi="Times New Roman"/>
          <w:bCs/>
          <w:color w:val="000000"/>
          <w:sz w:val="24"/>
          <w:szCs w:val="24"/>
          <w:lang w:val="nl-NL" w:eastAsia="en-SG"/>
        </w:rPr>
        <w:t xml:space="preserve">Tên quỹ: </w:t>
      </w:r>
      <w:r w:rsidRPr="00E93BC5">
        <w:rPr>
          <w:rFonts w:ascii="Times New Roman" w:eastAsia="Times New Roman" w:hAnsi="Times New Roman"/>
          <w:b/>
          <w:bCs/>
          <w:color w:val="000000"/>
          <w:sz w:val="24"/>
          <w:szCs w:val="24"/>
          <w:lang w:val="nl-NL" w:eastAsia="en-SG"/>
        </w:rPr>
        <w:t>Quỹ Đầu tư Trái phiếu Mở rộng Chubb</w:t>
      </w:r>
    </w:p>
    <w:p w14:paraId="29DE4F7B" w14:textId="77777777" w:rsidR="00C17D8E" w:rsidRPr="00E93BC5"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E93BC5">
        <w:rPr>
          <w:rFonts w:ascii="Times New Roman" w:eastAsia="Times New Roman" w:hAnsi="Times New Roman"/>
          <w:bCs/>
          <w:color w:val="000000"/>
          <w:sz w:val="24"/>
          <w:szCs w:val="24"/>
          <w:lang w:val="nl-NL" w:eastAsia="en-SG"/>
        </w:rPr>
        <w:t xml:space="preserve"> </w:t>
      </w:r>
      <w:r w:rsidR="00C17D8E" w:rsidRPr="00E93BC5">
        <w:rPr>
          <w:rFonts w:ascii="Times New Roman" w:eastAsia="Times New Roman" w:hAnsi="Times New Roman"/>
          <w:bCs/>
          <w:color w:val="000000"/>
          <w:sz w:val="24"/>
          <w:szCs w:val="24"/>
          <w:lang w:val="nl-NL" w:eastAsia="en-SG"/>
        </w:rPr>
        <w:t xml:space="preserve">Loại hình quỹ: </w:t>
      </w:r>
      <w:r w:rsidR="00C17D8E" w:rsidRPr="00E93BC5">
        <w:rPr>
          <w:rFonts w:ascii="Times New Roman" w:eastAsia="Times New Roman" w:hAnsi="Times New Roman"/>
          <w:b/>
          <w:bCs/>
          <w:color w:val="000000"/>
          <w:sz w:val="24"/>
          <w:szCs w:val="24"/>
          <w:lang w:val="nl-NL" w:eastAsia="en-SG"/>
        </w:rPr>
        <w:t>Quỹ mở</w:t>
      </w:r>
    </w:p>
    <w:p w14:paraId="509BD9F5"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Mục tiêu của Quỹ:</w:t>
      </w:r>
    </w:p>
    <w:p w14:paraId="06055ACB" w14:textId="77777777" w:rsidR="00C17D8E" w:rsidRPr="00E93BC5" w:rsidRDefault="00967897" w:rsidP="00B3750F">
      <w:pPr>
        <w:shd w:val="clear" w:color="auto" w:fill="FFFFFF"/>
        <w:tabs>
          <w:tab w:val="left" w:pos="540"/>
        </w:tabs>
        <w:spacing w:before="120" w:after="0" w:line="240" w:lineRule="auto"/>
        <w:jc w:val="both"/>
        <w:rPr>
          <w:rFonts w:ascii="Times New Roman" w:eastAsia="Times New Roman" w:hAnsi="Times New Roman"/>
          <w:bCs/>
          <w:color w:val="000000"/>
          <w:sz w:val="24"/>
          <w:szCs w:val="24"/>
          <w:lang w:val="nl-NL" w:eastAsia="en-SG"/>
        </w:rPr>
      </w:pPr>
      <w:r w:rsidRPr="00E93BC5">
        <w:rPr>
          <w:rFonts w:ascii="Times New Roman" w:eastAsia="Times New Roman" w:hAnsi="Times New Roman"/>
          <w:bCs/>
          <w:color w:val="000000"/>
          <w:sz w:val="24"/>
          <w:szCs w:val="24"/>
          <w:lang w:val="nl-NL" w:eastAsia="en-SG"/>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00C17D8E" w:rsidRPr="00E93BC5">
        <w:rPr>
          <w:rFonts w:ascii="Times New Roman" w:eastAsia="Times New Roman" w:hAnsi="Times New Roman"/>
          <w:bCs/>
          <w:color w:val="000000"/>
          <w:sz w:val="24"/>
          <w:szCs w:val="24"/>
          <w:lang w:val="nl-NL" w:eastAsia="en-SG"/>
        </w:rPr>
        <w:t xml:space="preserve">. </w:t>
      </w:r>
    </w:p>
    <w:p w14:paraId="1678E42E" w14:textId="77777777" w:rsidR="001C4468" w:rsidRPr="00E93BC5"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E93BC5">
        <w:rPr>
          <w:rFonts w:ascii="Times New Roman" w:hAnsi="Times New Roman"/>
          <w:b/>
          <w:sz w:val="24"/>
          <w:szCs w:val="24"/>
          <w:lang w:val="nl-NL"/>
        </w:rPr>
        <w:t>Hiệu quả hoạt động của Quỹ:</w:t>
      </w:r>
    </w:p>
    <w:tbl>
      <w:tblPr>
        <w:tblW w:w="7349" w:type="dxa"/>
        <w:jc w:val="center"/>
        <w:tblLook w:val="04A0" w:firstRow="1" w:lastRow="0" w:firstColumn="1" w:lastColumn="0" w:noHBand="0" w:noVBand="1"/>
      </w:tblPr>
      <w:tblGrid>
        <w:gridCol w:w="3787"/>
        <w:gridCol w:w="3562"/>
      </w:tblGrid>
      <w:tr w:rsidR="009860B3" w:rsidRPr="00E93BC5" w14:paraId="0A641D04" w14:textId="77777777" w:rsidTr="00ED7937">
        <w:trPr>
          <w:trHeight w:val="677"/>
          <w:jc w:val="center"/>
        </w:trPr>
        <w:tc>
          <w:tcPr>
            <w:tcW w:w="378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6D688A9" w14:textId="1DC05C30" w:rsidR="009860B3" w:rsidRPr="00E93BC5" w:rsidRDefault="009860B3" w:rsidP="009860B3">
            <w:pPr>
              <w:spacing w:after="0" w:line="240" w:lineRule="auto"/>
              <w:jc w:val="center"/>
              <w:rPr>
                <w:rFonts w:ascii="Times New Roman" w:eastAsia="Times New Roman" w:hAnsi="Times New Roman"/>
                <w:bCs/>
                <w:color w:val="000000"/>
                <w:sz w:val="24"/>
                <w:szCs w:val="24"/>
                <w:lang w:val="en-SG" w:eastAsia="en-SG"/>
              </w:rPr>
            </w:pPr>
            <w:r w:rsidRPr="00E93BC5">
              <w:rPr>
                <w:rFonts w:ascii="Times New Roman" w:eastAsia="Times New Roman" w:hAnsi="Times New Roman"/>
                <w:bCs/>
                <w:color w:val="000000"/>
                <w:sz w:val="24"/>
                <w:szCs w:val="24"/>
                <w:lang w:val="en-SG" w:eastAsia="en-SG"/>
              </w:rPr>
              <w:t xml:space="preserve">NAV </w:t>
            </w:r>
            <w:proofErr w:type="spellStart"/>
            <w:r w:rsidRPr="00E93BC5">
              <w:rPr>
                <w:rFonts w:ascii="Times New Roman" w:eastAsia="Times New Roman" w:hAnsi="Times New Roman"/>
                <w:bCs/>
                <w:color w:val="000000"/>
                <w:sz w:val="24"/>
                <w:szCs w:val="24"/>
                <w:lang w:val="en-SG" w:eastAsia="en-SG"/>
              </w:rPr>
              <w:t>ngày</w:t>
            </w:r>
            <w:proofErr w:type="spellEnd"/>
            <w:r w:rsidRPr="00E93BC5">
              <w:rPr>
                <w:rFonts w:ascii="Times New Roman" w:eastAsia="Times New Roman" w:hAnsi="Times New Roman"/>
                <w:bCs/>
                <w:color w:val="000000"/>
                <w:sz w:val="24"/>
                <w:szCs w:val="24"/>
                <w:lang w:val="en-SG" w:eastAsia="en-SG"/>
              </w:rPr>
              <w:t xml:space="preserve"> </w:t>
            </w:r>
            <w:r w:rsidR="002D6606">
              <w:rPr>
                <w:rFonts w:ascii="Times New Roman" w:eastAsia="Times New Roman" w:hAnsi="Times New Roman"/>
                <w:bCs/>
                <w:color w:val="000000"/>
                <w:sz w:val="24"/>
                <w:szCs w:val="24"/>
                <w:lang w:val="en-SG" w:eastAsia="en-SG"/>
              </w:rPr>
              <w:t>30/06/202</w:t>
            </w:r>
            <w:r w:rsidR="00EC6196">
              <w:rPr>
                <w:rFonts w:ascii="Times New Roman" w:eastAsia="Times New Roman" w:hAnsi="Times New Roman"/>
                <w:bCs/>
                <w:color w:val="000000"/>
                <w:sz w:val="24"/>
                <w:szCs w:val="24"/>
                <w:lang w:val="en-SG" w:eastAsia="en-SG"/>
              </w:rPr>
              <w:t>3</w:t>
            </w:r>
            <w:r w:rsidRPr="00E93BC5">
              <w:rPr>
                <w:rFonts w:ascii="Times New Roman" w:eastAsia="Times New Roman" w:hAnsi="Times New Roman"/>
                <w:bCs/>
                <w:color w:val="000000"/>
                <w:sz w:val="24"/>
                <w:szCs w:val="24"/>
                <w:lang w:val="en-SG" w:eastAsia="en-SG"/>
              </w:rPr>
              <w:t xml:space="preserve"> (VNĐ)</w:t>
            </w:r>
          </w:p>
        </w:tc>
        <w:tc>
          <w:tcPr>
            <w:tcW w:w="3562" w:type="dxa"/>
            <w:tcBorders>
              <w:top w:val="single" w:sz="4" w:space="0" w:color="auto"/>
              <w:left w:val="nil"/>
              <w:bottom w:val="single" w:sz="4" w:space="0" w:color="auto"/>
              <w:right w:val="single" w:sz="4" w:space="0" w:color="auto"/>
            </w:tcBorders>
            <w:shd w:val="clear" w:color="000000" w:fill="DCE6F1"/>
            <w:vAlign w:val="center"/>
            <w:hideMark/>
          </w:tcPr>
          <w:p w14:paraId="5F458DF7" w14:textId="6A66A4F8" w:rsidR="009860B3" w:rsidRPr="00E93BC5" w:rsidRDefault="009860B3" w:rsidP="009860B3">
            <w:pPr>
              <w:spacing w:after="0" w:line="240" w:lineRule="auto"/>
              <w:jc w:val="center"/>
              <w:rPr>
                <w:rFonts w:ascii="Times New Roman" w:eastAsia="Times New Roman" w:hAnsi="Times New Roman"/>
                <w:bCs/>
                <w:color w:val="000000"/>
                <w:sz w:val="24"/>
                <w:szCs w:val="24"/>
                <w:lang w:val="en-SG" w:eastAsia="en-SG"/>
              </w:rPr>
            </w:pPr>
            <w:r w:rsidRPr="00E93BC5">
              <w:rPr>
                <w:rFonts w:ascii="Times New Roman" w:eastAsia="Times New Roman" w:hAnsi="Times New Roman"/>
                <w:bCs/>
                <w:color w:val="000000"/>
                <w:sz w:val="24"/>
                <w:szCs w:val="24"/>
                <w:lang w:val="en-SG" w:eastAsia="en-SG"/>
              </w:rPr>
              <w:t xml:space="preserve">NAV </w:t>
            </w:r>
            <w:proofErr w:type="spellStart"/>
            <w:r w:rsidRPr="00E93BC5">
              <w:rPr>
                <w:rFonts w:ascii="Times New Roman" w:eastAsia="Times New Roman" w:hAnsi="Times New Roman"/>
                <w:bCs/>
                <w:color w:val="000000"/>
                <w:sz w:val="24"/>
                <w:szCs w:val="24"/>
                <w:lang w:val="en-SG" w:eastAsia="en-SG"/>
              </w:rPr>
              <w:t>ngày</w:t>
            </w:r>
            <w:proofErr w:type="spellEnd"/>
            <w:r w:rsidRPr="00E93BC5">
              <w:rPr>
                <w:rFonts w:ascii="Times New Roman" w:eastAsia="Times New Roman" w:hAnsi="Times New Roman"/>
                <w:bCs/>
                <w:color w:val="000000"/>
                <w:sz w:val="24"/>
                <w:szCs w:val="24"/>
                <w:lang w:val="en-SG" w:eastAsia="en-SG"/>
              </w:rPr>
              <w:t xml:space="preserve"> </w:t>
            </w:r>
            <w:r w:rsidR="002D6606">
              <w:rPr>
                <w:rFonts w:ascii="Times New Roman" w:eastAsia="Times New Roman" w:hAnsi="Times New Roman"/>
                <w:bCs/>
                <w:color w:val="000000"/>
                <w:sz w:val="24"/>
                <w:szCs w:val="24"/>
                <w:lang w:val="en-SG" w:eastAsia="en-SG"/>
              </w:rPr>
              <w:t>30/06/202</w:t>
            </w:r>
            <w:r w:rsidR="00EC6196">
              <w:rPr>
                <w:rFonts w:ascii="Times New Roman" w:eastAsia="Times New Roman" w:hAnsi="Times New Roman"/>
                <w:bCs/>
                <w:color w:val="000000"/>
                <w:sz w:val="24"/>
                <w:szCs w:val="24"/>
                <w:lang w:val="en-SG" w:eastAsia="en-SG"/>
              </w:rPr>
              <w:t>4</w:t>
            </w:r>
            <w:r w:rsidRPr="00E93BC5">
              <w:rPr>
                <w:rFonts w:ascii="Times New Roman" w:eastAsia="Times New Roman" w:hAnsi="Times New Roman"/>
                <w:bCs/>
                <w:color w:val="000000"/>
                <w:sz w:val="24"/>
                <w:szCs w:val="24"/>
                <w:lang w:val="en-SG" w:eastAsia="en-SG"/>
              </w:rPr>
              <w:t xml:space="preserve"> (VNĐ)</w:t>
            </w:r>
          </w:p>
        </w:tc>
      </w:tr>
      <w:tr w:rsidR="009860B3" w:rsidRPr="00E93BC5" w14:paraId="49BCADE4" w14:textId="77777777" w:rsidTr="003271F8">
        <w:trPr>
          <w:trHeight w:val="503"/>
          <w:jc w:val="center"/>
        </w:trPr>
        <w:tc>
          <w:tcPr>
            <w:tcW w:w="3787" w:type="dxa"/>
            <w:tcBorders>
              <w:top w:val="nil"/>
              <w:left w:val="single" w:sz="4" w:space="0" w:color="auto"/>
              <w:bottom w:val="single" w:sz="4" w:space="0" w:color="auto"/>
              <w:right w:val="single" w:sz="4" w:space="0" w:color="auto"/>
            </w:tcBorders>
            <w:shd w:val="clear" w:color="000000" w:fill="DCE6F1"/>
            <w:noWrap/>
            <w:vAlign w:val="center"/>
          </w:tcPr>
          <w:p w14:paraId="3DB9E597" w14:textId="542AB100" w:rsidR="009860B3" w:rsidRPr="00E93BC5" w:rsidRDefault="00EC6196" w:rsidP="003271F8">
            <w:pPr>
              <w:spacing w:after="0" w:line="240" w:lineRule="auto"/>
              <w:jc w:val="center"/>
              <w:rPr>
                <w:rFonts w:ascii="Times New Roman" w:eastAsia="Times New Roman" w:hAnsi="Times New Roman"/>
                <w:bCs/>
                <w:color w:val="000000"/>
                <w:sz w:val="24"/>
                <w:szCs w:val="24"/>
                <w:lang w:val="en-SG" w:eastAsia="en-SG"/>
              </w:rPr>
            </w:pPr>
            <w:r w:rsidRPr="002D6606">
              <w:rPr>
                <w:rFonts w:ascii="Times New Roman" w:eastAsia="Times New Roman" w:hAnsi="Times New Roman"/>
                <w:bCs/>
                <w:color w:val="000000"/>
                <w:sz w:val="24"/>
                <w:szCs w:val="24"/>
                <w:lang w:val="en-SG" w:eastAsia="en-SG"/>
              </w:rPr>
              <w:t>120.403.919.940</w:t>
            </w:r>
          </w:p>
        </w:tc>
        <w:tc>
          <w:tcPr>
            <w:tcW w:w="3562" w:type="dxa"/>
            <w:tcBorders>
              <w:top w:val="nil"/>
              <w:left w:val="nil"/>
              <w:bottom w:val="single" w:sz="4" w:space="0" w:color="auto"/>
              <w:right w:val="single" w:sz="4" w:space="0" w:color="auto"/>
            </w:tcBorders>
            <w:shd w:val="clear" w:color="000000" w:fill="DCE6F1"/>
            <w:noWrap/>
            <w:vAlign w:val="center"/>
          </w:tcPr>
          <w:p w14:paraId="1FA9A21B" w14:textId="61D0A017" w:rsidR="009860B3" w:rsidRPr="001C68EF" w:rsidRDefault="00EC6196" w:rsidP="00EC6196">
            <w:pPr>
              <w:spacing w:after="0" w:line="240" w:lineRule="auto"/>
              <w:jc w:val="center"/>
              <w:rPr>
                <w:rFonts w:ascii="Times New Roman" w:eastAsia="Times New Roman" w:hAnsi="Times New Roman"/>
                <w:color w:val="000000"/>
                <w:sz w:val="20"/>
                <w:szCs w:val="20"/>
              </w:rPr>
            </w:pPr>
            <w:r w:rsidRPr="00EC6196">
              <w:rPr>
                <w:rFonts w:ascii="Times New Roman" w:eastAsia="Times New Roman" w:hAnsi="Times New Roman"/>
                <w:bCs/>
                <w:color w:val="000000"/>
                <w:sz w:val="24"/>
                <w:szCs w:val="24"/>
                <w:lang w:val="en-SG" w:eastAsia="en-SG"/>
              </w:rPr>
              <w:t>127</w:t>
            </w:r>
            <w:r>
              <w:rPr>
                <w:rFonts w:ascii="Times New Roman" w:eastAsia="Times New Roman" w:hAnsi="Times New Roman"/>
                <w:bCs/>
                <w:color w:val="000000"/>
                <w:sz w:val="24"/>
                <w:szCs w:val="24"/>
                <w:lang w:val="en-SG" w:eastAsia="en-SG"/>
              </w:rPr>
              <w:t>.</w:t>
            </w:r>
            <w:r w:rsidRPr="00EC6196">
              <w:rPr>
                <w:rFonts w:ascii="Times New Roman" w:eastAsia="Times New Roman" w:hAnsi="Times New Roman"/>
                <w:bCs/>
                <w:color w:val="000000"/>
                <w:sz w:val="24"/>
                <w:szCs w:val="24"/>
                <w:lang w:val="en-SG" w:eastAsia="en-SG"/>
              </w:rPr>
              <w:t>762</w:t>
            </w:r>
            <w:r>
              <w:rPr>
                <w:rFonts w:ascii="Times New Roman" w:eastAsia="Times New Roman" w:hAnsi="Times New Roman"/>
                <w:bCs/>
                <w:color w:val="000000"/>
                <w:sz w:val="24"/>
                <w:szCs w:val="24"/>
                <w:lang w:val="en-SG" w:eastAsia="en-SG"/>
              </w:rPr>
              <w:t>.</w:t>
            </w:r>
            <w:r w:rsidRPr="00EC6196">
              <w:rPr>
                <w:rFonts w:ascii="Times New Roman" w:eastAsia="Times New Roman" w:hAnsi="Times New Roman"/>
                <w:bCs/>
                <w:color w:val="000000"/>
                <w:sz w:val="24"/>
                <w:szCs w:val="24"/>
                <w:lang w:val="en-SG" w:eastAsia="en-SG"/>
              </w:rPr>
              <w:t>004</w:t>
            </w:r>
            <w:r>
              <w:rPr>
                <w:rFonts w:ascii="Times New Roman" w:eastAsia="Times New Roman" w:hAnsi="Times New Roman"/>
                <w:bCs/>
                <w:color w:val="000000"/>
                <w:sz w:val="24"/>
                <w:szCs w:val="24"/>
                <w:lang w:val="en-SG" w:eastAsia="en-SG"/>
              </w:rPr>
              <w:t>.</w:t>
            </w:r>
            <w:r w:rsidRPr="00EC6196">
              <w:rPr>
                <w:rFonts w:ascii="Times New Roman" w:eastAsia="Times New Roman" w:hAnsi="Times New Roman"/>
                <w:bCs/>
                <w:color w:val="000000"/>
                <w:sz w:val="24"/>
                <w:szCs w:val="24"/>
                <w:lang w:val="en-SG" w:eastAsia="en-SG"/>
              </w:rPr>
              <w:t>306</w:t>
            </w:r>
          </w:p>
        </w:tc>
      </w:tr>
    </w:tbl>
    <w:p w14:paraId="6667D3A0" w14:textId="4D496D80" w:rsidR="00C17D8E" w:rsidRPr="00E93BC5"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Tính đến kỳ báo cáo, giá trị tài sản ròng (NAV) của Quỹ tăng </w:t>
      </w:r>
      <w:r w:rsidR="00EC6196">
        <w:rPr>
          <w:rFonts w:ascii="Times New Roman" w:hAnsi="Times New Roman"/>
          <w:sz w:val="24"/>
          <w:szCs w:val="24"/>
          <w:lang w:val="nl-NL"/>
        </w:rPr>
        <w:t>6,11</w:t>
      </w:r>
      <w:r w:rsidRPr="00E93BC5">
        <w:rPr>
          <w:rFonts w:ascii="Times New Roman" w:hAnsi="Times New Roman"/>
          <w:sz w:val="24"/>
          <w:szCs w:val="24"/>
          <w:lang w:val="nl-NL"/>
        </w:rPr>
        <w:t xml:space="preserve">% so với giá trị tài sản ròng (NAV) của Quỹ </w:t>
      </w:r>
      <w:r w:rsidR="00F549BA" w:rsidRPr="00E93BC5">
        <w:rPr>
          <w:rFonts w:ascii="Times New Roman" w:hAnsi="Times New Roman"/>
          <w:sz w:val="24"/>
          <w:szCs w:val="24"/>
          <w:lang w:val="nl-NL"/>
        </w:rPr>
        <w:t>cùng kỳ năm trước</w:t>
      </w:r>
      <w:r w:rsidRPr="00E93BC5">
        <w:rPr>
          <w:rFonts w:ascii="Times New Roman" w:hAnsi="Times New Roman"/>
          <w:sz w:val="24"/>
          <w:szCs w:val="24"/>
          <w:lang w:val="nl-NL"/>
        </w:rPr>
        <w:t>.</w:t>
      </w:r>
    </w:p>
    <w:p w14:paraId="382E8C20"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Chính sách và chiến lược đầu tư của Quỹ:</w:t>
      </w:r>
    </w:p>
    <w:p w14:paraId="6CC269C9" w14:textId="77777777" w:rsidR="009B0E7F" w:rsidRPr="00E93BC5" w:rsidRDefault="009B0E7F" w:rsidP="009B0E7F">
      <w:pPr>
        <w:widowControl w:val="0"/>
        <w:spacing w:before="120" w:after="120"/>
        <w:jc w:val="both"/>
        <w:rPr>
          <w:rFonts w:ascii="Times New Roman" w:hAnsi="Times New Roman"/>
          <w:sz w:val="24"/>
          <w:szCs w:val="24"/>
          <w:lang w:val="nl-NL"/>
        </w:rPr>
      </w:pPr>
      <w:r w:rsidRPr="00E93BC5">
        <w:rPr>
          <w:rFonts w:ascii="Times New Roman" w:hAnsi="Times New Roman"/>
          <w:sz w:val="24"/>
          <w:szCs w:val="24"/>
          <w:lang w:val="nl-NL"/>
        </w:rPr>
        <w:t xml:space="preserve">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trên Sở giao dịch chứng khoán, trái phiếu chào bán ra công chúng, trái phiếu doanh nghiệp phát hành riêng lẻ bởi tổ chức niêm yết có bảo lãnh thanh toán của tổ chức tín dụng có uy tín hoặc có cam kết mua lại của tổ chức phát hành tối thiểu một (1) lần trong mười hai (12) tháng và mỗi lần cam kết mua lại tối thiểu ba mươi phần trăm (30%) giá trị đợt phát hành, trong đó ưu tiên trái phiếu của các tổ chức phát hành là các công ty, tập đoàn lớn. Các tài sản thu nhập cố định khác bao gồm tín phiếu, chứng chỉ tiền gửi hoặc hợp đồng tiền gửi tại các ngân hàng uy tín. </w:t>
      </w:r>
    </w:p>
    <w:p w14:paraId="79612CC4" w14:textId="77777777" w:rsidR="00C17D8E" w:rsidRPr="00E93BC5" w:rsidRDefault="009B0E7F" w:rsidP="009B0E7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w:t>
      </w:r>
      <w:r w:rsidR="009C342F" w:rsidRPr="00E93BC5">
        <w:rPr>
          <w:rFonts w:ascii="Times New Roman" w:hAnsi="Times New Roman"/>
          <w:sz w:val="24"/>
          <w:szCs w:val="24"/>
          <w:lang w:val="nl-NL"/>
        </w:rPr>
        <w:t>.</w:t>
      </w:r>
    </w:p>
    <w:p w14:paraId="1FFF5903"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Phân loại Quỹ:</w:t>
      </w:r>
    </w:p>
    <w:p w14:paraId="22067AAB" w14:textId="1CA95E8F" w:rsidR="00C17D8E"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14:paraId="289D5C2F" w14:textId="340016B3" w:rsidR="0009242D" w:rsidRDefault="0009242D" w:rsidP="00B3750F">
      <w:pPr>
        <w:shd w:val="clear" w:color="auto" w:fill="FFFFFF"/>
        <w:tabs>
          <w:tab w:val="left" w:pos="540"/>
        </w:tabs>
        <w:spacing w:before="120" w:after="0" w:line="240" w:lineRule="auto"/>
        <w:jc w:val="both"/>
        <w:rPr>
          <w:rFonts w:ascii="Times New Roman" w:hAnsi="Times New Roman"/>
          <w:sz w:val="24"/>
          <w:szCs w:val="24"/>
          <w:lang w:val="nl-NL"/>
        </w:rPr>
      </w:pPr>
    </w:p>
    <w:p w14:paraId="0273A2EE" w14:textId="77777777" w:rsidR="00D6273E" w:rsidRPr="00E93BC5" w:rsidRDefault="00D6273E" w:rsidP="00B3750F">
      <w:pPr>
        <w:shd w:val="clear" w:color="auto" w:fill="FFFFFF"/>
        <w:tabs>
          <w:tab w:val="left" w:pos="540"/>
        </w:tabs>
        <w:spacing w:before="120" w:after="0" w:line="240" w:lineRule="auto"/>
        <w:jc w:val="both"/>
        <w:rPr>
          <w:rFonts w:ascii="Times New Roman" w:hAnsi="Times New Roman"/>
          <w:sz w:val="24"/>
          <w:szCs w:val="24"/>
          <w:lang w:val="nl-NL"/>
        </w:rPr>
      </w:pPr>
    </w:p>
    <w:p w14:paraId="6D9CBCE6"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lastRenderedPageBreak/>
        <w:t>Thời gian khuyến cáo đầu tư của Quỹ:</w:t>
      </w:r>
    </w:p>
    <w:p w14:paraId="3107A809" w14:textId="77777777"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không bị giới hạn về thời hạn hoạt động.</w:t>
      </w:r>
    </w:p>
    <w:p w14:paraId="0DC62B14"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Mức độ rủi ro ngắn hạn (thấp, trung bình, cao):</w:t>
      </w:r>
    </w:p>
    <w:p w14:paraId="066F4E86" w14:textId="77777777"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có mức độ rủi ro ngắn hạn t</w:t>
      </w:r>
      <w:r w:rsidR="00D506DC" w:rsidRPr="00E93BC5">
        <w:rPr>
          <w:rFonts w:ascii="Times New Roman" w:hAnsi="Times New Roman"/>
          <w:sz w:val="24"/>
          <w:szCs w:val="24"/>
          <w:lang w:val="nl-NL"/>
        </w:rPr>
        <w:t>hấp</w:t>
      </w:r>
      <w:r w:rsidRPr="00E93BC5">
        <w:rPr>
          <w:rFonts w:ascii="Times New Roman" w:hAnsi="Times New Roman"/>
          <w:sz w:val="24"/>
          <w:szCs w:val="24"/>
          <w:lang w:val="nl-NL"/>
        </w:rPr>
        <w:t>.</w:t>
      </w:r>
    </w:p>
    <w:p w14:paraId="77241D41"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Thời điểm bắt đầu hoạt động của Quỹ:</w:t>
      </w:r>
    </w:p>
    <w:p w14:paraId="3F8337C1" w14:textId="77777777"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bắt đầu hoạt động từ ngày 03/04/2019.</w:t>
      </w:r>
    </w:p>
    <w:p w14:paraId="27FECBBE" w14:textId="77777777" w:rsidR="001C4468" w:rsidRPr="00E93BC5"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E93BC5">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EC6196" w:rsidRPr="00E93BC5" w14:paraId="78EEBDA3" w14:textId="77777777" w:rsidTr="00EC6196">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4DB0FB0" w14:textId="77777777" w:rsidR="00EC6196" w:rsidRPr="00E93BC5" w:rsidRDefault="00EC6196" w:rsidP="00EC6196">
            <w:pPr>
              <w:spacing w:after="0" w:line="240" w:lineRule="auto"/>
              <w:jc w:val="both"/>
              <w:rPr>
                <w:rFonts w:ascii="Times New Roman" w:hAnsi="Times New Roman"/>
                <w:sz w:val="24"/>
                <w:szCs w:val="24"/>
                <w:lang w:val="nl-NL"/>
              </w:rPr>
            </w:pPr>
            <w:r w:rsidRPr="00E93BC5">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14:paraId="12F5C0B6" w14:textId="0BA9AF68" w:rsidR="00EC6196" w:rsidRPr="00EC6196" w:rsidRDefault="00EC6196" w:rsidP="00EC6196">
            <w:pPr>
              <w:spacing w:after="0" w:line="240" w:lineRule="auto"/>
              <w:jc w:val="center"/>
              <w:rPr>
                <w:rFonts w:ascii="Times New Roman" w:hAnsi="Times New Roman"/>
                <w:sz w:val="24"/>
                <w:szCs w:val="24"/>
                <w:lang w:val="nl-NL"/>
              </w:rPr>
            </w:pPr>
            <w:r w:rsidRPr="00EC6196">
              <w:rPr>
                <w:rFonts w:ascii="Times New Roman" w:hAnsi="Times New Roman"/>
                <w:sz w:val="24"/>
                <w:szCs w:val="24"/>
              </w:rPr>
              <w:t>99.890.984.300</w:t>
            </w:r>
          </w:p>
        </w:tc>
      </w:tr>
      <w:tr w:rsidR="00EC6196" w:rsidRPr="00E93BC5" w14:paraId="7E368697" w14:textId="77777777" w:rsidTr="00EC6196">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14:paraId="79EE06E7" w14:textId="77777777" w:rsidR="00EC6196" w:rsidRPr="00E93BC5" w:rsidRDefault="00EC6196" w:rsidP="00EC6196">
            <w:pPr>
              <w:spacing w:after="0" w:line="240" w:lineRule="auto"/>
              <w:jc w:val="both"/>
              <w:rPr>
                <w:rFonts w:ascii="Times New Roman" w:hAnsi="Times New Roman"/>
                <w:sz w:val="24"/>
                <w:szCs w:val="24"/>
                <w:lang w:val="nl-NL"/>
              </w:rPr>
            </w:pPr>
            <w:r w:rsidRPr="00E93BC5">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14:paraId="3B8BD350" w14:textId="25C62B7B" w:rsidR="00EC6196" w:rsidRPr="00EC6196" w:rsidRDefault="00EC6196" w:rsidP="00EC6196">
            <w:pPr>
              <w:spacing w:after="0" w:line="240" w:lineRule="auto"/>
              <w:jc w:val="center"/>
              <w:rPr>
                <w:rFonts w:ascii="Times New Roman" w:hAnsi="Times New Roman"/>
                <w:sz w:val="24"/>
                <w:szCs w:val="24"/>
                <w:lang w:val="nl-NL"/>
              </w:rPr>
            </w:pPr>
            <w:r w:rsidRPr="00EC6196">
              <w:rPr>
                <w:rFonts w:ascii="Times New Roman" w:hAnsi="Times New Roman"/>
                <w:sz w:val="24"/>
                <w:szCs w:val="24"/>
              </w:rPr>
              <w:t>9.989.098,43</w:t>
            </w:r>
          </w:p>
        </w:tc>
      </w:tr>
    </w:tbl>
    <w:p w14:paraId="0CD64997" w14:textId="460369B3"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Tại ngày </w:t>
      </w:r>
      <w:r w:rsidR="00200BB4" w:rsidRPr="00E93BC5">
        <w:rPr>
          <w:rFonts w:ascii="Times New Roman" w:hAnsi="Times New Roman"/>
          <w:sz w:val="24"/>
          <w:szCs w:val="24"/>
          <w:lang w:val="nl-NL"/>
        </w:rPr>
        <w:t>3</w:t>
      </w:r>
      <w:r w:rsidR="009E50ED">
        <w:rPr>
          <w:rFonts w:ascii="Times New Roman" w:hAnsi="Times New Roman"/>
          <w:sz w:val="24"/>
          <w:szCs w:val="24"/>
          <w:lang w:val="nl-NL"/>
        </w:rPr>
        <w:t>0</w:t>
      </w:r>
      <w:r w:rsidR="005878EA" w:rsidRPr="00E93BC5">
        <w:rPr>
          <w:rFonts w:ascii="Times New Roman" w:hAnsi="Times New Roman"/>
          <w:sz w:val="24"/>
          <w:szCs w:val="24"/>
          <w:lang w:val="nl-NL"/>
        </w:rPr>
        <w:t xml:space="preserve"> t</w:t>
      </w:r>
      <w:r w:rsidRPr="00E93BC5">
        <w:rPr>
          <w:rFonts w:ascii="Times New Roman" w:hAnsi="Times New Roman"/>
          <w:sz w:val="24"/>
          <w:szCs w:val="24"/>
          <w:lang w:val="nl-NL"/>
        </w:rPr>
        <w:t xml:space="preserve">háng </w:t>
      </w:r>
      <w:r w:rsidR="002D54C8" w:rsidRPr="00E93BC5">
        <w:rPr>
          <w:rFonts w:ascii="Times New Roman" w:hAnsi="Times New Roman"/>
          <w:sz w:val="24"/>
          <w:szCs w:val="24"/>
          <w:lang w:val="nl-NL"/>
        </w:rPr>
        <w:t>0</w:t>
      </w:r>
      <w:r w:rsidR="009E50ED">
        <w:rPr>
          <w:rFonts w:ascii="Times New Roman" w:hAnsi="Times New Roman"/>
          <w:sz w:val="24"/>
          <w:szCs w:val="24"/>
          <w:lang w:val="nl-NL"/>
        </w:rPr>
        <w:t>6</w:t>
      </w:r>
      <w:r w:rsidRPr="00E93BC5">
        <w:rPr>
          <w:rFonts w:ascii="Times New Roman" w:hAnsi="Times New Roman"/>
          <w:sz w:val="24"/>
          <w:szCs w:val="24"/>
          <w:lang w:val="nl-NL"/>
        </w:rPr>
        <w:t xml:space="preserve"> năm 20</w:t>
      </w:r>
      <w:r w:rsidR="002D54C8" w:rsidRPr="00E93BC5">
        <w:rPr>
          <w:rFonts w:ascii="Times New Roman" w:hAnsi="Times New Roman"/>
          <w:sz w:val="24"/>
          <w:szCs w:val="24"/>
          <w:lang w:val="nl-NL"/>
        </w:rPr>
        <w:t>2</w:t>
      </w:r>
      <w:r w:rsidR="00EC6196">
        <w:rPr>
          <w:rFonts w:ascii="Times New Roman" w:hAnsi="Times New Roman"/>
          <w:sz w:val="24"/>
          <w:szCs w:val="24"/>
          <w:lang w:val="nl-NL"/>
        </w:rPr>
        <w:t>4</w:t>
      </w:r>
      <w:r w:rsidRPr="00E93BC5">
        <w:rPr>
          <w:rFonts w:ascii="Times New Roman" w:hAnsi="Times New Roman"/>
          <w:sz w:val="24"/>
          <w:szCs w:val="24"/>
          <w:lang w:val="nl-NL"/>
        </w:rPr>
        <w:t xml:space="preserve">, số lượng Chứng chỉ quỹ (“CCQ”) đang lưu hành của Quỹ là </w:t>
      </w:r>
      <w:r w:rsidR="00EC6196" w:rsidRPr="00EC6196">
        <w:rPr>
          <w:rFonts w:ascii="Times New Roman" w:hAnsi="Times New Roman"/>
          <w:sz w:val="24"/>
          <w:szCs w:val="24"/>
        </w:rPr>
        <w:t>9.989.098,43</w:t>
      </w:r>
      <w:r w:rsidR="009E50ED">
        <w:rPr>
          <w:rFonts w:ascii="Times New Roman" w:hAnsi="Times New Roman"/>
          <w:sz w:val="24"/>
          <w:szCs w:val="24"/>
          <w:lang w:val="nl-NL"/>
        </w:rPr>
        <w:t xml:space="preserve"> </w:t>
      </w:r>
      <w:r w:rsidRPr="00E93BC5">
        <w:rPr>
          <w:rFonts w:ascii="Times New Roman" w:hAnsi="Times New Roman"/>
          <w:sz w:val="24"/>
          <w:szCs w:val="24"/>
          <w:lang w:val="nl-NL"/>
        </w:rPr>
        <w:t xml:space="preserve">CCQ, tương đương với quy mô vốn của Quỹ theo mệnh giá là </w:t>
      </w:r>
      <w:r w:rsidR="00EC6196" w:rsidRPr="00EC6196">
        <w:rPr>
          <w:rFonts w:ascii="Times New Roman" w:hAnsi="Times New Roman"/>
          <w:sz w:val="24"/>
          <w:szCs w:val="24"/>
        </w:rPr>
        <w:t>99.890.984.300</w:t>
      </w:r>
      <w:r w:rsidR="00EC6196">
        <w:rPr>
          <w:rFonts w:ascii="Times New Roman" w:hAnsi="Times New Roman"/>
          <w:sz w:val="24"/>
          <w:szCs w:val="24"/>
        </w:rPr>
        <w:t xml:space="preserve"> </w:t>
      </w:r>
      <w:r w:rsidRPr="00E93BC5">
        <w:rPr>
          <w:rFonts w:ascii="Times New Roman" w:hAnsi="Times New Roman"/>
          <w:sz w:val="24"/>
          <w:szCs w:val="24"/>
          <w:lang w:val="nl-NL"/>
        </w:rPr>
        <w:t>VN</w:t>
      </w:r>
      <w:r w:rsidR="00CC754B" w:rsidRPr="00E93BC5">
        <w:rPr>
          <w:rFonts w:ascii="Times New Roman" w:hAnsi="Times New Roman"/>
          <w:sz w:val="24"/>
          <w:szCs w:val="24"/>
          <w:lang w:val="nl-NL"/>
        </w:rPr>
        <w:t>Đ</w:t>
      </w:r>
      <w:r w:rsidR="009C5C88" w:rsidRPr="00E93BC5">
        <w:rPr>
          <w:rFonts w:ascii="Times New Roman" w:hAnsi="Times New Roman"/>
          <w:sz w:val="24"/>
          <w:szCs w:val="24"/>
          <w:lang w:val="nl-NL"/>
        </w:rPr>
        <w:t>.</w:t>
      </w:r>
    </w:p>
    <w:p w14:paraId="13D1EDB7"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Chỉ số tham chiếu của Quỹ:</w:t>
      </w:r>
    </w:p>
    <w:p w14:paraId="7799405F" w14:textId="77777777" w:rsidR="000E3955" w:rsidRPr="00E93BC5"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Chỉ số Trái phiếu Chính phủ năm (05) năm của HNX</w:t>
      </w:r>
      <w:r w:rsidR="000E3955" w:rsidRPr="00E93BC5">
        <w:rPr>
          <w:rFonts w:ascii="Times New Roman" w:hAnsi="Times New Roman"/>
          <w:sz w:val="24"/>
          <w:szCs w:val="24"/>
          <w:lang w:val="nl-NL"/>
        </w:rPr>
        <w:t>.</w:t>
      </w:r>
    </w:p>
    <w:p w14:paraId="4D4773DF"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Chính sách phân phối lợi nhuận của Quỹ:</w:t>
      </w:r>
    </w:p>
    <w:p w14:paraId="4935197D" w14:textId="77777777" w:rsidR="00287AF8" w:rsidRPr="00E93BC5"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151FA455"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E93BC5">
        <w:rPr>
          <w:rFonts w:ascii="Times New Roman" w:hAnsi="Times New Roman"/>
          <w:b/>
          <w:sz w:val="24"/>
          <w:szCs w:val="24"/>
          <w:lang w:val="nl-NL"/>
        </w:rPr>
        <w:t>Lợi nhuận thuần thực tế phân phối trên một đơn vị Chứng chỉ quỹ Quỹ</w:t>
      </w:r>
      <w:r w:rsidRPr="00E93BC5">
        <w:rPr>
          <w:rFonts w:ascii="Times New Roman" w:hAnsi="Times New Roman"/>
          <w:sz w:val="24"/>
          <w:szCs w:val="24"/>
          <w:lang w:val="nl-NL"/>
        </w:rPr>
        <w:t>:</w:t>
      </w:r>
    </w:p>
    <w:p w14:paraId="79F01523" w14:textId="307A4183" w:rsidR="00C272AB" w:rsidRPr="00E93BC5"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Tại ngày </w:t>
      </w:r>
      <w:r w:rsidR="00200BB4" w:rsidRPr="00E93BC5">
        <w:rPr>
          <w:rFonts w:ascii="Times New Roman" w:hAnsi="Times New Roman"/>
          <w:sz w:val="24"/>
          <w:szCs w:val="24"/>
          <w:lang w:val="nl-NL"/>
        </w:rPr>
        <w:t>3</w:t>
      </w:r>
      <w:r w:rsidR="009E50ED">
        <w:rPr>
          <w:rFonts w:ascii="Times New Roman" w:hAnsi="Times New Roman"/>
          <w:sz w:val="24"/>
          <w:szCs w:val="24"/>
          <w:lang w:val="nl-NL"/>
        </w:rPr>
        <w:t>0</w:t>
      </w:r>
      <w:r w:rsidRPr="00E93BC5">
        <w:rPr>
          <w:rFonts w:ascii="Times New Roman" w:hAnsi="Times New Roman"/>
          <w:sz w:val="24"/>
          <w:szCs w:val="24"/>
          <w:lang w:val="nl-NL"/>
        </w:rPr>
        <w:t xml:space="preserve"> tháng </w:t>
      </w:r>
      <w:r w:rsidR="002D54C8" w:rsidRPr="00E93BC5">
        <w:rPr>
          <w:rFonts w:ascii="Times New Roman" w:hAnsi="Times New Roman"/>
          <w:sz w:val="24"/>
          <w:szCs w:val="24"/>
          <w:lang w:val="nl-NL"/>
        </w:rPr>
        <w:t>0</w:t>
      </w:r>
      <w:r w:rsidR="009E50ED">
        <w:rPr>
          <w:rFonts w:ascii="Times New Roman" w:hAnsi="Times New Roman"/>
          <w:sz w:val="24"/>
          <w:szCs w:val="24"/>
          <w:lang w:val="nl-NL"/>
        </w:rPr>
        <w:t>6</w:t>
      </w:r>
      <w:r w:rsidRPr="00E93BC5">
        <w:rPr>
          <w:rFonts w:ascii="Times New Roman" w:hAnsi="Times New Roman"/>
          <w:sz w:val="24"/>
          <w:szCs w:val="24"/>
          <w:lang w:val="nl-NL"/>
        </w:rPr>
        <w:t xml:space="preserve"> năm 20</w:t>
      </w:r>
      <w:r w:rsidR="00682EA2" w:rsidRPr="00E93BC5">
        <w:rPr>
          <w:rFonts w:ascii="Times New Roman" w:hAnsi="Times New Roman"/>
          <w:sz w:val="24"/>
          <w:szCs w:val="24"/>
          <w:lang w:val="nl-NL"/>
        </w:rPr>
        <w:t>2</w:t>
      </w:r>
      <w:r w:rsidR="00EC6196">
        <w:rPr>
          <w:rFonts w:ascii="Times New Roman" w:hAnsi="Times New Roman"/>
          <w:sz w:val="24"/>
          <w:szCs w:val="24"/>
          <w:lang w:val="nl-NL"/>
        </w:rPr>
        <w:t>4</w:t>
      </w:r>
      <w:r w:rsidRPr="00E93BC5">
        <w:rPr>
          <w:rFonts w:ascii="Times New Roman" w:hAnsi="Times New Roman"/>
          <w:sz w:val="24"/>
          <w:szCs w:val="24"/>
          <w:lang w:val="nl-NL"/>
        </w:rPr>
        <w:t>, lợi nhuận thuần thực tế phân phối trên một đơn vị CCQ là 0 VNĐ</w:t>
      </w:r>
      <w:r w:rsidR="00685F5A" w:rsidRPr="00E93BC5">
        <w:rPr>
          <w:rFonts w:ascii="Times New Roman" w:hAnsi="Times New Roman"/>
          <w:sz w:val="24"/>
          <w:szCs w:val="24"/>
          <w:lang w:val="nl-NL"/>
        </w:rPr>
        <w:t>.</w:t>
      </w:r>
    </w:p>
    <w:p w14:paraId="0A67CBC4" w14:textId="77777777" w:rsidR="001C4468" w:rsidRPr="00E93BC5"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II. </w:t>
      </w:r>
      <w:r w:rsidR="00685F5A" w:rsidRPr="00E93BC5">
        <w:rPr>
          <w:rFonts w:ascii="Times New Roman" w:hAnsi="Times New Roman"/>
          <w:b/>
          <w:sz w:val="24"/>
          <w:szCs w:val="24"/>
          <w:lang w:val="nl-NL"/>
        </w:rPr>
        <w:tab/>
      </w:r>
      <w:r w:rsidRPr="00E93BC5">
        <w:rPr>
          <w:rFonts w:ascii="Times New Roman" w:hAnsi="Times New Roman"/>
          <w:b/>
          <w:sz w:val="24"/>
          <w:szCs w:val="24"/>
          <w:lang w:val="nl-NL"/>
        </w:rPr>
        <w:t>S</w:t>
      </w:r>
      <w:r w:rsidR="008321C8" w:rsidRPr="00E93BC5">
        <w:rPr>
          <w:rFonts w:ascii="Times New Roman" w:hAnsi="Times New Roman"/>
          <w:b/>
          <w:sz w:val="24"/>
          <w:szCs w:val="24"/>
          <w:lang w:val="nl-NL"/>
        </w:rPr>
        <w:t>Ố LIỆU HOẠT ĐỘNG</w:t>
      </w:r>
    </w:p>
    <w:p w14:paraId="4B00CEFB" w14:textId="77777777" w:rsidR="001C4468" w:rsidRPr="00E93BC5"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297"/>
        <w:gridCol w:w="1800"/>
        <w:gridCol w:w="1980"/>
        <w:gridCol w:w="1838"/>
      </w:tblGrid>
      <w:tr w:rsidR="00CD3913" w:rsidRPr="00E93BC5" w14:paraId="1D4D651E" w14:textId="77777777" w:rsidTr="00406622">
        <w:trPr>
          <w:trHeight w:val="988"/>
        </w:trPr>
        <w:tc>
          <w:tcPr>
            <w:tcW w:w="4297" w:type="dxa"/>
            <w:vAlign w:val="center"/>
          </w:tcPr>
          <w:p w14:paraId="79115689" w14:textId="77777777" w:rsidR="00CD3913" w:rsidRPr="00E93BC5" w:rsidRDefault="00CD3913" w:rsidP="00CD3913">
            <w:pPr>
              <w:spacing w:before="120" w:line="276" w:lineRule="auto"/>
              <w:jc w:val="both"/>
              <w:rPr>
                <w:rFonts w:ascii="Times New Roman" w:hAnsi="Times New Roman"/>
                <w:b/>
                <w:sz w:val="24"/>
                <w:szCs w:val="24"/>
                <w:lang w:val="nl-NL"/>
              </w:rPr>
            </w:pPr>
            <w:r w:rsidRPr="00E93BC5">
              <w:rPr>
                <w:rFonts w:ascii="Times New Roman" w:eastAsia="Times New Roman" w:hAnsi="Times New Roman"/>
                <w:b/>
                <w:sz w:val="24"/>
                <w:szCs w:val="24"/>
                <w:lang w:val="nl-NL"/>
              </w:rPr>
              <w:t>Cơ cấu tài sản quỹ</w:t>
            </w:r>
          </w:p>
        </w:tc>
        <w:tc>
          <w:tcPr>
            <w:tcW w:w="1800" w:type="dxa"/>
          </w:tcPr>
          <w:p w14:paraId="558C514A" w14:textId="162F27C7" w:rsidR="002D54C8" w:rsidRPr="00E93BC5" w:rsidRDefault="002D54C8" w:rsidP="002D54C8">
            <w:pPr>
              <w:spacing w:before="120" w:line="276"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w:t>
            </w:r>
            <w:r w:rsidR="009E50ED">
              <w:rPr>
                <w:rFonts w:ascii="Times New Roman" w:eastAsia="Times New Roman" w:hAnsi="Times New Roman"/>
                <w:b/>
                <w:sz w:val="24"/>
                <w:szCs w:val="24"/>
                <w:lang w:val="nl-NL"/>
              </w:rPr>
              <w:t>0</w:t>
            </w:r>
            <w:r w:rsidRPr="00E93BC5">
              <w:rPr>
                <w:rFonts w:ascii="Times New Roman" w:eastAsia="Times New Roman" w:hAnsi="Times New Roman"/>
                <w:b/>
                <w:sz w:val="24"/>
                <w:szCs w:val="24"/>
                <w:lang w:val="nl-NL"/>
              </w:rPr>
              <w:t>/0</w:t>
            </w:r>
            <w:r w:rsidR="009E50ED">
              <w:rPr>
                <w:rFonts w:ascii="Times New Roman" w:eastAsia="Times New Roman" w:hAnsi="Times New Roman"/>
                <w:b/>
                <w:sz w:val="24"/>
                <w:szCs w:val="24"/>
                <w:lang w:val="nl-NL"/>
              </w:rPr>
              <w:t>6</w:t>
            </w:r>
            <w:r w:rsidRPr="00E93BC5">
              <w:rPr>
                <w:rFonts w:ascii="Times New Roman" w:eastAsia="Times New Roman" w:hAnsi="Times New Roman"/>
                <w:b/>
                <w:sz w:val="24"/>
                <w:szCs w:val="24"/>
                <w:lang w:val="nl-NL"/>
              </w:rPr>
              <w:t>/202</w:t>
            </w:r>
            <w:r w:rsidR="00EC6196">
              <w:rPr>
                <w:rFonts w:ascii="Times New Roman" w:eastAsia="Times New Roman" w:hAnsi="Times New Roman"/>
                <w:b/>
                <w:sz w:val="24"/>
                <w:szCs w:val="24"/>
                <w:lang w:val="nl-NL"/>
              </w:rPr>
              <w:t>4</w:t>
            </w:r>
          </w:p>
          <w:p w14:paraId="74AFFCC5" w14:textId="77777777" w:rsidR="00CD3913" w:rsidRPr="00E93BC5" w:rsidRDefault="00CD3913" w:rsidP="00CD3913">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c>
          <w:tcPr>
            <w:tcW w:w="1980" w:type="dxa"/>
          </w:tcPr>
          <w:p w14:paraId="4D872B13" w14:textId="1F2AF038" w:rsidR="002D54C8" w:rsidRPr="00E93BC5" w:rsidRDefault="009E50ED" w:rsidP="002D54C8">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2D54C8" w:rsidRPr="00E93BC5">
              <w:rPr>
                <w:rFonts w:ascii="Times New Roman" w:eastAsia="Times New Roman" w:hAnsi="Times New Roman"/>
                <w:b/>
                <w:sz w:val="24"/>
                <w:szCs w:val="24"/>
                <w:lang w:val="nl-NL"/>
              </w:rPr>
              <w:t>/202</w:t>
            </w:r>
            <w:r w:rsidR="00EC6196">
              <w:rPr>
                <w:rFonts w:ascii="Times New Roman" w:eastAsia="Times New Roman" w:hAnsi="Times New Roman"/>
                <w:b/>
                <w:sz w:val="24"/>
                <w:szCs w:val="24"/>
                <w:lang w:val="nl-NL"/>
              </w:rPr>
              <w:t>3</w:t>
            </w:r>
          </w:p>
          <w:p w14:paraId="5942DC59" w14:textId="77777777" w:rsidR="00CD3913" w:rsidRPr="00E93BC5" w:rsidRDefault="00CD3913" w:rsidP="00CD3913">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c>
          <w:tcPr>
            <w:tcW w:w="1838" w:type="dxa"/>
          </w:tcPr>
          <w:p w14:paraId="750C2CE1" w14:textId="54225B8A" w:rsidR="00CD3913" w:rsidRPr="00E93BC5" w:rsidRDefault="009E50ED" w:rsidP="00CD3913">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2D54C8" w:rsidRPr="00E93BC5">
              <w:rPr>
                <w:rFonts w:ascii="Times New Roman" w:eastAsia="Times New Roman" w:hAnsi="Times New Roman"/>
                <w:b/>
                <w:sz w:val="24"/>
                <w:szCs w:val="24"/>
                <w:lang w:val="nl-NL"/>
              </w:rPr>
              <w:t>/202</w:t>
            </w:r>
            <w:r w:rsidR="00EC6196">
              <w:rPr>
                <w:rFonts w:ascii="Times New Roman" w:eastAsia="Times New Roman" w:hAnsi="Times New Roman"/>
                <w:b/>
                <w:sz w:val="24"/>
                <w:szCs w:val="24"/>
                <w:lang w:val="nl-NL"/>
              </w:rPr>
              <w:t>2</w:t>
            </w:r>
          </w:p>
          <w:p w14:paraId="6F2298D0" w14:textId="77777777" w:rsidR="00CD3913" w:rsidRPr="00E93BC5" w:rsidRDefault="00CD3913" w:rsidP="00CD3913">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r>
      <w:tr w:rsidR="00EC6196" w:rsidRPr="00E93BC5" w14:paraId="570C3F01" w14:textId="77777777" w:rsidTr="00EC6196">
        <w:trPr>
          <w:trHeight w:val="557"/>
        </w:trPr>
        <w:tc>
          <w:tcPr>
            <w:tcW w:w="4297" w:type="dxa"/>
            <w:vAlign w:val="center"/>
          </w:tcPr>
          <w:p w14:paraId="19E7C699" w14:textId="1EE5554C" w:rsidR="00EC6196" w:rsidRPr="00E93BC5" w:rsidRDefault="00EC6196" w:rsidP="00EC6196">
            <w:pPr>
              <w:pStyle w:val="ListParagraph"/>
              <w:numPr>
                <w:ilvl w:val="0"/>
                <w:numId w:val="15"/>
              </w:numPr>
              <w:spacing w:before="120"/>
              <w:jc w:val="both"/>
              <w:rPr>
                <w:rFonts w:ascii="Times New Roman" w:eastAsia="Times New Roman" w:hAnsi="Times New Roman"/>
                <w:bCs/>
                <w:sz w:val="24"/>
                <w:szCs w:val="24"/>
                <w:lang w:val="nl-NL"/>
              </w:rPr>
            </w:pPr>
            <w:r w:rsidRPr="00E93BC5">
              <w:rPr>
                <w:rFonts w:ascii="Times New Roman" w:eastAsia="Times New Roman" w:hAnsi="Times New Roman"/>
                <w:bCs/>
                <w:sz w:val="24"/>
                <w:szCs w:val="24"/>
                <w:lang w:val="nl-NL"/>
              </w:rPr>
              <w:t>Trái phiếu chưa niêm yết</w:t>
            </w:r>
          </w:p>
        </w:tc>
        <w:tc>
          <w:tcPr>
            <w:tcW w:w="1800" w:type="dxa"/>
            <w:vAlign w:val="center"/>
          </w:tcPr>
          <w:p w14:paraId="6BBA9AE5" w14:textId="0A06F6BE" w:rsidR="00EC6196" w:rsidRPr="00E93BC5" w:rsidRDefault="00EC6196" w:rsidP="00EC6196">
            <w:pPr>
              <w:tabs>
                <w:tab w:val="left" w:pos="540"/>
              </w:tabs>
              <w:jc w:val="center"/>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4,15</w:t>
            </w:r>
          </w:p>
        </w:tc>
        <w:tc>
          <w:tcPr>
            <w:tcW w:w="1980" w:type="dxa"/>
            <w:vAlign w:val="center"/>
          </w:tcPr>
          <w:p w14:paraId="70D52FAF" w14:textId="24AC0B6A" w:rsidR="00EC6196" w:rsidRPr="00E05828" w:rsidRDefault="00EC6196" w:rsidP="00EC6196">
            <w:pPr>
              <w:tabs>
                <w:tab w:val="left" w:pos="540"/>
              </w:tabs>
              <w:jc w:val="center"/>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0</w:t>
            </w:r>
          </w:p>
        </w:tc>
        <w:tc>
          <w:tcPr>
            <w:tcW w:w="1838" w:type="dxa"/>
            <w:vAlign w:val="center"/>
          </w:tcPr>
          <w:p w14:paraId="3D934D60" w14:textId="773E9821" w:rsidR="00EC6196" w:rsidRPr="00E05828" w:rsidRDefault="00EC6196" w:rsidP="00EC6196">
            <w:pPr>
              <w:jc w:val="center"/>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8,73</w:t>
            </w:r>
          </w:p>
        </w:tc>
      </w:tr>
      <w:tr w:rsidR="00EC6196" w:rsidRPr="00E93BC5" w14:paraId="0451AD18" w14:textId="77777777" w:rsidTr="00EC6196">
        <w:trPr>
          <w:trHeight w:val="494"/>
        </w:trPr>
        <w:tc>
          <w:tcPr>
            <w:tcW w:w="4297" w:type="dxa"/>
            <w:vAlign w:val="center"/>
          </w:tcPr>
          <w:p w14:paraId="3D2CE59F" w14:textId="34117613" w:rsidR="00EC6196" w:rsidRPr="00E93BC5" w:rsidRDefault="00EC6196" w:rsidP="00EC6196">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Tiền gửi ngân hàng</w:t>
            </w:r>
          </w:p>
        </w:tc>
        <w:tc>
          <w:tcPr>
            <w:tcW w:w="1800" w:type="dxa"/>
            <w:vAlign w:val="center"/>
          </w:tcPr>
          <w:p w14:paraId="7E71E7AA" w14:textId="5586F224" w:rsidR="00EC6196" w:rsidRPr="00E93BC5" w:rsidRDefault="00EC6196" w:rsidP="00EC6196">
            <w:pPr>
              <w:tabs>
                <w:tab w:val="left" w:pos="540"/>
              </w:tabs>
              <w:jc w:val="center"/>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0,76</w:t>
            </w:r>
          </w:p>
        </w:tc>
        <w:tc>
          <w:tcPr>
            <w:tcW w:w="1980" w:type="dxa"/>
            <w:vAlign w:val="center"/>
          </w:tcPr>
          <w:p w14:paraId="72D15BF7" w14:textId="7C40A9ED" w:rsidR="00EC6196" w:rsidRPr="00E05828" w:rsidRDefault="00EC6196" w:rsidP="00EC6196">
            <w:pPr>
              <w:tabs>
                <w:tab w:val="left" w:pos="540"/>
              </w:tabs>
              <w:jc w:val="center"/>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1,16</w:t>
            </w:r>
          </w:p>
        </w:tc>
        <w:tc>
          <w:tcPr>
            <w:tcW w:w="1838" w:type="dxa"/>
            <w:vAlign w:val="center"/>
          </w:tcPr>
          <w:p w14:paraId="64C212A2" w14:textId="124FDB58" w:rsidR="00EC6196" w:rsidRPr="00E05828" w:rsidRDefault="00EC6196" w:rsidP="00EC6196">
            <w:pPr>
              <w:jc w:val="center"/>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1,02</w:t>
            </w:r>
          </w:p>
        </w:tc>
      </w:tr>
      <w:tr w:rsidR="00EC6196" w:rsidRPr="00E93BC5" w14:paraId="586753DF" w14:textId="77777777" w:rsidTr="00EC6196">
        <w:trPr>
          <w:trHeight w:val="443"/>
        </w:trPr>
        <w:tc>
          <w:tcPr>
            <w:tcW w:w="4297" w:type="dxa"/>
            <w:vAlign w:val="center"/>
          </w:tcPr>
          <w:p w14:paraId="4C6A15D5" w14:textId="77777777" w:rsidR="00EC6196" w:rsidRPr="00E93BC5" w:rsidRDefault="00EC6196" w:rsidP="00EC6196">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Các khoản tương đương tiền</w:t>
            </w:r>
          </w:p>
        </w:tc>
        <w:tc>
          <w:tcPr>
            <w:tcW w:w="1800" w:type="dxa"/>
            <w:vAlign w:val="center"/>
          </w:tcPr>
          <w:p w14:paraId="1CD47B5A" w14:textId="08F4CA6C" w:rsidR="00EC6196" w:rsidRPr="00E93BC5" w:rsidRDefault="00EC6196" w:rsidP="00EC6196">
            <w:pPr>
              <w:jc w:val="center"/>
              <w:rPr>
                <w:rFonts w:ascii="Times New Roman" w:hAnsi="Times New Roman"/>
                <w:bCs/>
                <w:sz w:val="24"/>
                <w:szCs w:val="24"/>
                <w:lang w:val="nl-NL"/>
              </w:rPr>
            </w:pPr>
            <w:r w:rsidRPr="00845946">
              <w:rPr>
                <w:rFonts w:ascii="Times New Roman" w:hAnsi="Times New Roman"/>
                <w:bCs/>
                <w:sz w:val="24"/>
                <w:szCs w:val="24"/>
                <w:lang w:val="nl-NL"/>
              </w:rPr>
              <w:t>0</w:t>
            </w:r>
          </w:p>
        </w:tc>
        <w:tc>
          <w:tcPr>
            <w:tcW w:w="1980" w:type="dxa"/>
            <w:vAlign w:val="center"/>
          </w:tcPr>
          <w:p w14:paraId="1E8CDF8C" w14:textId="34C63474" w:rsidR="00EC6196" w:rsidRPr="00E05828" w:rsidRDefault="00EC6196" w:rsidP="00EC6196">
            <w:pPr>
              <w:tabs>
                <w:tab w:val="left" w:pos="540"/>
              </w:tabs>
              <w:jc w:val="center"/>
              <w:rPr>
                <w:rFonts w:ascii="Times New Roman" w:eastAsia="Times New Roman" w:hAnsi="Times New Roman"/>
                <w:bCs/>
                <w:sz w:val="24"/>
                <w:szCs w:val="24"/>
                <w:lang w:val="nl-NL"/>
              </w:rPr>
            </w:pPr>
            <w:r w:rsidRPr="00845946">
              <w:rPr>
                <w:rFonts w:ascii="Times New Roman" w:hAnsi="Times New Roman"/>
                <w:bCs/>
                <w:sz w:val="24"/>
                <w:szCs w:val="24"/>
                <w:lang w:val="nl-NL"/>
              </w:rPr>
              <w:t>0</w:t>
            </w:r>
          </w:p>
        </w:tc>
        <w:tc>
          <w:tcPr>
            <w:tcW w:w="1838" w:type="dxa"/>
            <w:vAlign w:val="center"/>
          </w:tcPr>
          <w:p w14:paraId="1D68CC03" w14:textId="0303C593" w:rsidR="00EC6196" w:rsidRPr="00E05828" w:rsidRDefault="00EC6196" w:rsidP="00EC6196">
            <w:pPr>
              <w:tabs>
                <w:tab w:val="left" w:pos="540"/>
              </w:tabs>
              <w:jc w:val="center"/>
              <w:rPr>
                <w:rFonts w:ascii="Times New Roman" w:eastAsia="Times New Roman" w:hAnsi="Times New Roman"/>
                <w:bCs/>
                <w:sz w:val="24"/>
                <w:szCs w:val="24"/>
                <w:lang w:val="nl-NL"/>
              </w:rPr>
            </w:pPr>
            <w:r w:rsidRPr="00845946">
              <w:rPr>
                <w:rFonts w:ascii="Times New Roman" w:hAnsi="Times New Roman"/>
                <w:bCs/>
                <w:sz w:val="24"/>
                <w:szCs w:val="24"/>
                <w:lang w:val="nl-NL"/>
              </w:rPr>
              <w:t>0</w:t>
            </w:r>
          </w:p>
        </w:tc>
      </w:tr>
      <w:tr w:rsidR="00EC6196" w:rsidRPr="00E93BC5" w14:paraId="6DAE5080" w14:textId="77777777" w:rsidTr="00EC6196">
        <w:trPr>
          <w:trHeight w:val="494"/>
        </w:trPr>
        <w:tc>
          <w:tcPr>
            <w:tcW w:w="4297" w:type="dxa"/>
            <w:vAlign w:val="center"/>
          </w:tcPr>
          <w:p w14:paraId="0F09887A" w14:textId="77777777" w:rsidR="00EC6196" w:rsidRPr="00E93BC5" w:rsidRDefault="00EC6196" w:rsidP="00EC6196">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Tiền gửi kỳ hạn trên 3 tháng</w:t>
            </w:r>
          </w:p>
        </w:tc>
        <w:tc>
          <w:tcPr>
            <w:tcW w:w="1800" w:type="dxa"/>
            <w:vAlign w:val="center"/>
          </w:tcPr>
          <w:p w14:paraId="7BC56A76" w14:textId="3E8FB6C5" w:rsidR="00EC6196" w:rsidRPr="00E93BC5" w:rsidRDefault="00EC6196" w:rsidP="00EC6196">
            <w:pPr>
              <w:jc w:val="center"/>
              <w:rPr>
                <w:rFonts w:ascii="Times New Roman" w:hAnsi="Times New Roman"/>
                <w:bCs/>
                <w:sz w:val="24"/>
                <w:szCs w:val="24"/>
                <w:lang w:val="nl-NL"/>
              </w:rPr>
            </w:pPr>
            <w:r w:rsidRPr="00845946">
              <w:rPr>
                <w:rFonts w:ascii="Times New Roman" w:hAnsi="Times New Roman"/>
                <w:bCs/>
                <w:sz w:val="24"/>
                <w:szCs w:val="24"/>
                <w:lang w:val="nl-NL"/>
              </w:rPr>
              <w:t>72,33</w:t>
            </w:r>
          </w:p>
        </w:tc>
        <w:tc>
          <w:tcPr>
            <w:tcW w:w="1980" w:type="dxa"/>
            <w:vAlign w:val="center"/>
          </w:tcPr>
          <w:p w14:paraId="5F922F45" w14:textId="430030C9" w:rsidR="00EC6196" w:rsidRPr="00E05828" w:rsidRDefault="00EC6196" w:rsidP="00EC6196">
            <w:pPr>
              <w:tabs>
                <w:tab w:val="left" w:pos="540"/>
              </w:tabs>
              <w:jc w:val="center"/>
              <w:rPr>
                <w:rFonts w:ascii="Times New Roman" w:eastAsia="Times New Roman" w:hAnsi="Times New Roman"/>
                <w:bCs/>
                <w:sz w:val="24"/>
                <w:szCs w:val="24"/>
                <w:lang w:val="nl-NL"/>
              </w:rPr>
            </w:pPr>
            <w:r w:rsidRPr="00845946">
              <w:rPr>
                <w:rFonts w:ascii="Times New Roman" w:hAnsi="Times New Roman"/>
                <w:bCs/>
                <w:sz w:val="24"/>
                <w:szCs w:val="24"/>
                <w:lang w:val="nl-NL"/>
              </w:rPr>
              <w:t>83,71</w:t>
            </w:r>
          </w:p>
        </w:tc>
        <w:tc>
          <w:tcPr>
            <w:tcW w:w="1838" w:type="dxa"/>
            <w:vAlign w:val="center"/>
          </w:tcPr>
          <w:p w14:paraId="062C5465" w14:textId="68499BF0" w:rsidR="00EC6196" w:rsidRPr="00E05828" w:rsidRDefault="00EC6196" w:rsidP="00EC6196">
            <w:pPr>
              <w:tabs>
                <w:tab w:val="left" w:pos="540"/>
              </w:tabs>
              <w:jc w:val="center"/>
              <w:rPr>
                <w:rFonts w:ascii="Times New Roman" w:eastAsia="Times New Roman" w:hAnsi="Times New Roman"/>
                <w:bCs/>
                <w:sz w:val="24"/>
                <w:szCs w:val="24"/>
                <w:lang w:val="nl-NL"/>
              </w:rPr>
            </w:pPr>
            <w:r w:rsidRPr="00845946">
              <w:rPr>
                <w:rFonts w:ascii="Times New Roman" w:hAnsi="Times New Roman"/>
                <w:bCs/>
                <w:sz w:val="24"/>
                <w:szCs w:val="24"/>
                <w:lang w:val="nl-NL"/>
              </w:rPr>
              <w:t>87,96</w:t>
            </w:r>
          </w:p>
        </w:tc>
      </w:tr>
      <w:tr w:rsidR="00EC6196" w:rsidRPr="00E93BC5" w14:paraId="2DFB9C16" w14:textId="77777777" w:rsidTr="00EC6196">
        <w:trPr>
          <w:trHeight w:val="494"/>
        </w:trPr>
        <w:tc>
          <w:tcPr>
            <w:tcW w:w="4297" w:type="dxa"/>
            <w:vAlign w:val="center"/>
          </w:tcPr>
          <w:p w14:paraId="535325FA" w14:textId="77777777" w:rsidR="00EC6196" w:rsidRPr="00E93BC5" w:rsidRDefault="00EC6196" w:rsidP="00EC6196">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Chứng chỉ tiền gửi</w:t>
            </w:r>
          </w:p>
        </w:tc>
        <w:tc>
          <w:tcPr>
            <w:tcW w:w="1800" w:type="dxa"/>
            <w:vAlign w:val="center"/>
          </w:tcPr>
          <w:p w14:paraId="37E4BBD1" w14:textId="1C67D76B" w:rsidR="00EC6196" w:rsidRPr="00E93BC5" w:rsidRDefault="00EC6196" w:rsidP="00EC6196">
            <w:pPr>
              <w:jc w:val="center"/>
              <w:rPr>
                <w:rFonts w:ascii="Times New Roman" w:hAnsi="Times New Roman"/>
                <w:bCs/>
                <w:sz w:val="24"/>
                <w:szCs w:val="24"/>
                <w:lang w:val="nl-NL"/>
              </w:rPr>
            </w:pPr>
            <w:r w:rsidRPr="00845946">
              <w:rPr>
                <w:rFonts w:ascii="Times New Roman" w:hAnsi="Times New Roman"/>
                <w:bCs/>
                <w:sz w:val="24"/>
                <w:szCs w:val="24"/>
                <w:lang w:val="nl-NL"/>
              </w:rPr>
              <w:t>16,01</w:t>
            </w:r>
          </w:p>
        </w:tc>
        <w:tc>
          <w:tcPr>
            <w:tcW w:w="1980" w:type="dxa"/>
            <w:vAlign w:val="center"/>
          </w:tcPr>
          <w:p w14:paraId="5D060C27" w14:textId="1D1C1050" w:rsidR="00EC6196" w:rsidRPr="00E05828" w:rsidRDefault="00EC6196" w:rsidP="00EC6196">
            <w:pPr>
              <w:tabs>
                <w:tab w:val="left" w:pos="540"/>
              </w:tabs>
              <w:jc w:val="center"/>
              <w:rPr>
                <w:rFonts w:ascii="Times New Roman" w:eastAsia="Times New Roman" w:hAnsi="Times New Roman"/>
                <w:bCs/>
                <w:sz w:val="24"/>
                <w:szCs w:val="24"/>
                <w:lang w:val="nl-NL"/>
              </w:rPr>
            </w:pPr>
            <w:r w:rsidRPr="00845946">
              <w:rPr>
                <w:rFonts w:ascii="Times New Roman" w:hAnsi="Times New Roman"/>
                <w:bCs/>
                <w:sz w:val="24"/>
                <w:szCs w:val="24"/>
                <w:lang w:val="nl-NL"/>
              </w:rPr>
              <w:t>10,77</w:t>
            </w:r>
          </w:p>
        </w:tc>
        <w:tc>
          <w:tcPr>
            <w:tcW w:w="1838" w:type="dxa"/>
            <w:vAlign w:val="center"/>
          </w:tcPr>
          <w:p w14:paraId="4C0D1C18" w14:textId="1F5FC7D3" w:rsidR="00EC6196" w:rsidRPr="00E05828" w:rsidRDefault="00EC6196" w:rsidP="00EC6196">
            <w:pPr>
              <w:tabs>
                <w:tab w:val="left" w:pos="540"/>
              </w:tabs>
              <w:jc w:val="center"/>
              <w:rPr>
                <w:rFonts w:ascii="Times New Roman" w:eastAsia="Times New Roman" w:hAnsi="Times New Roman"/>
                <w:bCs/>
                <w:sz w:val="24"/>
                <w:szCs w:val="24"/>
                <w:lang w:val="nl-NL"/>
              </w:rPr>
            </w:pPr>
            <w:r w:rsidRPr="00845946">
              <w:rPr>
                <w:rFonts w:ascii="Times New Roman" w:hAnsi="Times New Roman"/>
                <w:bCs/>
                <w:sz w:val="24"/>
                <w:szCs w:val="24"/>
                <w:lang w:val="nl-NL"/>
              </w:rPr>
              <w:t>0</w:t>
            </w:r>
          </w:p>
        </w:tc>
      </w:tr>
      <w:tr w:rsidR="00EC6196" w:rsidRPr="00E93BC5" w14:paraId="76C2237A" w14:textId="77777777" w:rsidTr="00EC6196">
        <w:trPr>
          <w:trHeight w:val="477"/>
        </w:trPr>
        <w:tc>
          <w:tcPr>
            <w:tcW w:w="4297" w:type="dxa"/>
            <w:vAlign w:val="center"/>
          </w:tcPr>
          <w:p w14:paraId="289FC9E4" w14:textId="77777777" w:rsidR="00EC6196" w:rsidRPr="00E93BC5" w:rsidRDefault="00EC6196" w:rsidP="00EC6196">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Khác</w:t>
            </w:r>
          </w:p>
        </w:tc>
        <w:tc>
          <w:tcPr>
            <w:tcW w:w="1800" w:type="dxa"/>
            <w:vAlign w:val="center"/>
          </w:tcPr>
          <w:p w14:paraId="1510F7C3" w14:textId="633021B9" w:rsidR="00EC6196" w:rsidRPr="00E93BC5" w:rsidRDefault="00EC6196" w:rsidP="00EC6196">
            <w:pPr>
              <w:jc w:val="center"/>
              <w:rPr>
                <w:rFonts w:ascii="Times New Roman" w:hAnsi="Times New Roman"/>
                <w:bCs/>
                <w:sz w:val="24"/>
                <w:szCs w:val="24"/>
                <w:lang w:val="nl-NL"/>
              </w:rPr>
            </w:pPr>
            <w:r w:rsidRPr="00845946">
              <w:rPr>
                <w:rFonts w:ascii="Times New Roman" w:hAnsi="Times New Roman"/>
                <w:bCs/>
                <w:sz w:val="24"/>
                <w:szCs w:val="24"/>
                <w:lang w:val="nl-NL"/>
              </w:rPr>
              <w:t>6,74</w:t>
            </w:r>
          </w:p>
        </w:tc>
        <w:tc>
          <w:tcPr>
            <w:tcW w:w="1980" w:type="dxa"/>
            <w:vAlign w:val="center"/>
          </w:tcPr>
          <w:p w14:paraId="46FDB5B4" w14:textId="08A21891" w:rsidR="00EC6196" w:rsidRPr="00E05828" w:rsidRDefault="00EC6196" w:rsidP="00EC6196">
            <w:pPr>
              <w:tabs>
                <w:tab w:val="left" w:pos="540"/>
              </w:tabs>
              <w:jc w:val="center"/>
              <w:rPr>
                <w:rFonts w:ascii="Times New Roman" w:eastAsia="Times New Roman" w:hAnsi="Times New Roman"/>
                <w:bCs/>
                <w:sz w:val="24"/>
                <w:szCs w:val="24"/>
                <w:lang w:val="nl-NL"/>
              </w:rPr>
            </w:pPr>
            <w:r w:rsidRPr="00845946">
              <w:rPr>
                <w:rFonts w:ascii="Times New Roman" w:hAnsi="Times New Roman"/>
                <w:bCs/>
                <w:sz w:val="24"/>
                <w:szCs w:val="24"/>
                <w:lang w:val="nl-NL"/>
              </w:rPr>
              <w:t>4,36</w:t>
            </w:r>
          </w:p>
        </w:tc>
        <w:tc>
          <w:tcPr>
            <w:tcW w:w="1838" w:type="dxa"/>
            <w:vAlign w:val="center"/>
          </w:tcPr>
          <w:p w14:paraId="0E308745" w14:textId="6ECB6D7E" w:rsidR="00EC6196" w:rsidRPr="00E05828" w:rsidRDefault="00EC6196" w:rsidP="00EC6196">
            <w:pPr>
              <w:tabs>
                <w:tab w:val="left" w:pos="540"/>
              </w:tabs>
              <w:jc w:val="center"/>
              <w:rPr>
                <w:rFonts w:ascii="Times New Roman" w:eastAsia="Times New Roman" w:hAnsi="Times New Roman"/>
                <w:bCs/>
                <w:sz w:val="24"/>
                <w:szCs w:val="24"/>
                <w:lang w:val="nl-NL"/>
              </w:rPr>
            </w:pPr>
            <w:r w:rsidRPr="00845946">
              <w:rPr>
                <w:rFonts w:ascii="Times New Roman" w:hAnsi="Times New Roman"/>
                <w:bCs/>
                <w:sz w:val="24"/>
                <w:szCs w:val="24"/>
                <w:lang w:val="nl-NL"/>
              </w:rPr>
              <w:t>2,29</w:t>
            </w:r>
          </w:p>
        </w:tc>
      </w:tr>
      <w:tr w:rsidR="00EC6196" w:rsidRPr="00E93BC5" w14:paraId="60A2975C" w14:textId="77777777" w:rsidTr="00EC6196">
        <w:trPr>
          <w:trHeight w:val="494"/>
        </w:trPr>
        <w:tc>
          <w:tcPr>
            <w:tcW w:w="4297" w:type="dxa"/>
            <w:vAlign w:val="center"/>
          </w:tcPr>
          <w:p w14:paraId="10D7EF1E" w14:textId="77777777" w:rsidR="00EC6196" w:rsidRPr="00E93BC5" w:rsidRDefault="00EC6196" w:rsidP="00EC6196">
            <w:pPr>
              <w:spacing w:before="120" w:line="276" w:lineRule="auto"/>
              <w:jc w:val="center"/>
              <w:rPr>
                <w:rFonts w:ascii="Times New Roman" w:hAnsi="Times New Roman"/>
                <w:sz w:val="24"/>
                <w:szCs w:val="24"/>
                <w:lang w:val="nl-NL"/>
              </w:rPr>
            </w:pPr>
            <w:r w:rsidRPr="00E93BC5">
              <w:rPr>
                <w:rFonts w:ascii="Times New Roman" w:eastAsia="Times New Roman" w:hAnsi="Times New Roman"/>
                <w:sz w:val="24"/>
                <w:szCs w:val="24"/>
                <w:lang w:val="nl-NL"/>
              </w:rPr>
              <w:t>Cộng</w:t>
            </w:r>
          </w:p>
        </w:tc>
        <w:tc>
          <w:tcPr>
            <w:tcW w:w="1800" w:type="dxa"/>
            <w:vAlign w:val="center"/>
          </w:tcPr>
          <w:p w14:paraId="46FD05AC" w14:textId="2DE382A9" w:rsidR="00EC6196" w:rsidRPr="00E93BC5" w:rsidRDefault="00EC6196" w:rsidP="00EC6196">
            <w:pPr>
              <w:jc w:val="center"/>
              <w:rPr>
                <w:rFonts w:ascii="Times New Roman" w:hAnsi="Times New Roman"/>
                <w:b/>
                <w:sz w:val="24"/>
                <w:szCs w:val="24"/>
                <w:lang w:val="nl-NL"/>
              </w:rPr>
            </w:pPr>
            <w:r w:rsidRPr="00845946">
              <w:rPr>
                <w:rFonts w:ascii="Times New Roman" w:hAnsi="Times New Roman"/>
                <w:b/>
                <w:sz w:val="24"/>
                <w:szCs w:val="24"/>
                <w:lang w:val="nl-NL"/>
              </w:rPr>
              <w:t>100,00</w:t>
            </w:r>
          </w:p>
        </w:tc>
        <w:tc>
          <w:tcPr>
            <w:tcW w:w="1980" w:type="dxa"/>
            <w:vAlign w:val="center"/>
          </w:tcPr>
          <w:p w14:paraId="73CF8507" w14:textId="1C323D85" w:rsidR="00EC6196" w:rsidRPr="00406622" w:rsidRDefault="00EC6196" w:rsidP="00EC6196">
            <w:pPr>
              <w:tabs>
                <w:tab w:val="left" w:pos="540"/>
              </w:tabs>
              <w:jc w:val="center"/>
              <w:rPr>
                <w:rFonts w:ascii="Times New Roman" w:eastAsia="Times New Roman" w:hAnsi="Times New Roman"/>
                <w:b/>
                <w:sz w:val="24"/>
                <w:szCs w:val="24"/>
                <w:lang w:val="nl-NL"/>
              </w:rPr>
            </w:pPr>
            <w:r w:rsidRPr="00845946">
              <w:rPr>
                <w:rFonts w:ascii="Times New Roman" w:hAnsi="Times New Roman"/>
                <w:b/>
                <w:sz w:val="24"/>
                <w:szCs w:val="24"/>
                <w:lang w:val="nl-NL"/>
              </w:rPr>
              <w:t>100,00</w:t>
            </w:r>
          </w:p>
        </w:tc>
        <w:tc>
          <w:tcPr>
            <w:tcW w:w="1838" w:type="dxa"/>
            <w:vAlign w:val="center"/>
          </w:tcPr>
          <w:p w14:paraId="7B2F4CCF" w14:textId="0BF938D3" w:rsidR="00EC6196" w:rsidRPr="00406622" w:rsidRDefault="00EC6196" w:rsidP="00EC6196">
            <w:pPr>
              <w:tabs>
                <w:tab w:val="left" w:pos="540"/>
              </w:tabs>
              <w:jc w:val="center"/>
              <w:rPr>
                <w:rFonts w:ascii="Times New Roman" w:eastAsia="Times New Roman" w:hAnsi="Times New Roman"/>
                <w:b/>
                <w:sz w:val="24"/>
                <w:szCs w:val="24"/>
                <w:lang w:val="nl-NL"/>
              </w:rPr>
            </w:pPr>
            <w:r w:rsidRPr="00845946">
              <w:rPr>
                <w:rFonts w:ascii="Times New Roman" w:hAnsi="Times New Roman"/>
                <w:b/>
                <w:sz w:val="24"/>
                <w:szCs w:val="24"/>
                <w:lang w:val="nl-NL"/>
              </w:rPr>
              <w:t>100,00</w:t>
            </w:r>
          </w:p>
        </w:tc>
      </w:tr>
    </w:tbl>
    <w:p w14:paraId="3E91B723" w14:textId="77777777" w:rsidR="002B3684" w:rsidRPr="00E93BC5" w:rsidRDefault="002B3684" w:rsidP="00B3750F">
      <w:pPr>
        <w:shd w:val="clear" w:color="auto" w:fill="FFFFFF"/>
        <w:spacing w:before="120" w:after="0" w:line="240" w:lineRule="auto"/>
        <w:jc w:val="both"/>
        <w:rPr>
          <w:rFonts w:ascii="Times New Roman" w:hAnsi="Times New Roman"/>
          <w:b/>
          <w:sz w:val="24"/>
          <w:szCs w:val="24"/>
          <w:lang w:val="nl-NL"/>
        </w:rPr>
      </w:pPr>
    </w:p>
    <w:p w14:paraId="772B9367" w14:textId="77777777" w:rsidR="0056426D" w:rsidRPr="00E93BC5" w:rsidRDefault="0056426D" w:rsidP="00B3750F">
      <w:pPr>
        <w:shd w:val="clear" w:color="auto" w:fill="FFFFFF"/>
        <w:spacing w:before="120" w:after="0" w:line="240" w:lineRule="auto"/>
        <w:jc w:val="both"/>
        <w:rPr>
          <w:rFonts w:ascii="Times New Roman" w:hAnsi="Times New Roman"/>
          <w:b/>
          <w:sz w:val="24"/>
          <w:szCs w:val="24"/>
          <w:lang w:val="nl-NL"/>
        </w:rPr>
      </w:pPr>
    </w:p>
    <w:p w14:paraId="5DC2C084" w14:textId="77777777" w:rsidR="00B40151" w:rsidRPr="00E93BC5"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lastRenderedPageBreak/>
        <w:t>Chi tiết chỉ tiêu hoạt động:</w:t>
      </w:r>
    </w:p>
    <w:tbl>
      <w:tblPr>
        <w:tblStyle w:val="TableGrid"/>
        <w:tblW w:w="0" w:type="auto"/>
        <w:tblInd w:w="108" w:type="dxa"/>
        <w:tblLook w:val="04A0" w:firstRow="1" w:lastRow="0" w:firstColumn="1" w:lastColumn="0" w:noHBand="0" w:noVBand="1"/>
      </w:tblPr>
      <w:tblGrid>
        <w:gridCol w:w="4228"/>
        <w:gridCol w:w="1882"/>
        <w:gridCol w:w="1836"/>
        <w:gridCol w:w="1836"/>
      </w:tblGrid>
      <w:tr w:rsidR="008971A6" w:rsidRPr="00E93BC5" w14:paraId="119730C1" w14:textId="77777777" w:rsidTr="0056426D">
        <w:tc>
          <w:tcPr>
            <w:tcW w:w="4228" w:type="dxa"/>
            <w:vAlign w:val="center"/>
          </w:tcPr>
          <w:p w14:paraId="13606996" w14:textId="77777777" w:rsidR="008971A6" w:rsidRPr="00E93BC5" w:rsidRDefault="008971A6" w:rsidP="008971A6">
            <w:pPr>
              <w:tabs>
                <w:tab w:val="left" w:pos="540"/>
              </w:tabs>
              <w:spacing w:before="120" w:line="276"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Chỉ tiêu</w:t>
            </w:r>
          </w:p>
        </w:tc>
        <w:tc>
          <w:tcPr>
            <w:tcW w:w="1882" w:type="dxa"/>
            <w:vAlign w:val="center"/>
          </w:tcPr>
          <w:p w14:paraId="74BF6CF7" w14:textId="044909ED" w:rsidR="008971A6" w:rsidRPr="00E93BC5" w:rsidRDefault="006A40CC" w:rsidP="008971A6">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8971A6" w:rsidRPr="00E93BC5">
              <w:rPr>
                <w:rFonts w:ascii="Times New Roman" w:eastAsia="Times New Roman" w:hAnsi="Times New Roman"/>
                <w:b/>
                <w:sz w:val="24"/>
                <w:szCs w:val="24"/>
                <w:lang w:val="nl-NL"/>
              </w:rPr>
              <w:t>/202</w:t>
            </w:r>
            <w:r w:rsidR="00EC6196">
              <w:rPr>
                <w:rFonts w:ascii="Times New Roman" w:eastAsia="Times New Roman" w:hAnsi="Times New Roman"/>
                <w:b/>
                <w:sz w:val="24"/>
                <w:szCs w:val="24"/>
                <w:lang w:val="nl-NL"/>
              </w:rPr>
              <w:t>4</w:t>
            </w:r>
          </w:p>
        </w:tc>
        <w:tc>
          <w:tcPr>
            <w:tcW w:w="1836" w:type="dxa"/>
            <w:vAlign w:val="center"/>
          </w:tcPr>
          <w:p w14:paraId="6EC438E3" w14:textId="24EA7846" w:rsidR="008971A6" w:rsidRPr="00E93BC5" w:rsidRDefault="006A40CC" w:rsidP="008971A6">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8971A6" w:rsidRPr="00E93BC5">
              <w:rPr>
                <w:rFonts w:ascii="Times New Roman" w:eastAsia="Times New Roman" w:hAnsi="Times New Roman"/>
                <w:b/>
                <w:sz w:val="24"/>
                <w:szCs w:val="24"/>
                <w:lang w:val="nl-NL"/>
              </w:rPr>
              <w:t>/202</w:t>
            </w:r>
            <w:r w:rsidR="00EC6196">
              <w:rPr>
                <w:rFonts w:ascii="Times New Roman" w:eastAsia="Times New Roman" w:hAnsi="Times New Roman"/>
                <w:b/>
                <w:sz w:val="24"/>
                <w:szCs w:val="24"/>
                <w:lang w:val="nl-NL"/>
              </w:rPr>
              <w:t>3</w:t>
            </w:r>
          </w:p>
        </w:tc>
        <w:tc>
          <w:tcPr>
            <w:tcW w:w="1836" w:type="dxa"/>
            <w:vAlign w:val="center"/>
          </w:tcPr>
          <w:p w14:paraId="78C751B9" w14:textId="0474920D" w:rsidR="008971A6" w:rsidRPr="00E93BC5" w:rsidRDefault="006A40CC" w:rsidP="008971A6">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8971A6" w:rsidRPr="00E93BC5">
              <w:rPr>
                <w:rFonts w:ascii="Times New Roman" w:eastAsia="Times New Roman" w:hAnsi="Times New Roman"/>
                <w:b/>
                <w:sz w:val="24"/>
                <w:szCs w:val="24"/>
                <w:lang w:val="nl-NL"/>
              </w:rPr>
              <w:t>/202</w:t>
            </w:r>
            <w:r w:rsidR="00EC6196">
              <w:rPr>
                <w:rFonts w:ascii="Times New Roman" w:eastAsia="Times New Roman" w:hAnsi="Times New Roman"/>
                <w:b/>
                <w:sz w:val="24"/>
                <w:szCs w:val="24"/>
                <w:lang w:val="nl-NL"/>
              </w:rPr>
              <w:t>2</w:t>
            </w:r>
          </w:p>
        </w:tc>
      </w:tr>
      <w:tr w:rsidR="00EC6196" w:rsidRPr="00E93BC5" w14:paraId="789E88AB" w14:textId="77777777" w:rsidTr="0056426D">
        <w:trPr>
          <w:trHeight w:val="647"/>
        </w:trPr>
        <w:tc>
          <w:tcPr>
            <w:tcW w:w="4228" w:type="dxa"/>
            <w:vAlign w:val="center"/>
          </w:tcPr>
          <w:p w14:paraId="70360A0B" w14:textId="77777777" w:rsidR="00EC6196" w:rsidRPr="00E93BC5" w:rsidRDefault="00EC6196" w:rsidP="00EC6196">
            <w:pPr>
              <w:tabs>
                <w:tab w:val="left" w:pos="540"/>
              </w:tabs>
              <w:spacing w:before="120"/>
              <w:rPr>
                <w:rFonts w:ascii="Times New Roman" w:hAnsi="Times New Roman"/>
                <w:b/>
                <w:sz w:val="24"/>
                <w:szCs w:val="24"/>
                <w:lang w:val="nl-NL"/>
              </w:rPr>
            </w:pPr>
            <w:r w:rsidRPr="00E93BC5">
              <w:rPr>
                <w:rFonts w:ascii="Times New Roman" w:hAnsi="Times New Roman"/>
                <w:sz w:val="24"/>
                <w:szCs w:val="24"/>
                <w:lang w:val="nl-NL"/>
              </w:rPr>
              <w:t xml:space="preserve">2.1. Giá trị tài sản ròng của Quỹ (VNĐ) </w:t>
            </w:r>
          </w:p>
        </w:tc>
        <w:tc>
          <w:tcPr>
            <w:tcW w:w="1882" w:type="dxa"/>
            <w:vAlign w:val="center"/>
          </w:tcPr>
          <w:p w14:paraId="642C2F18" w14:textId="6C0E0F0A" w:rsidR="00EC6196" w:rsidRPr="00E93BC5" w:rsidRDefault="00EC6196" w:rsidP="00EC6196">
            <w:pPr>
              <w:tabs>
                <w:tab w:val="left" w:pos="540"/>
              </w:tabs>
              <w:spacing w:before="120" w:line="276" w:lineRule="auto"/>
              <w:rPr>
                <w:rFonts w:ascii="Times New Roman" w:hAnsi="Times New Roman"/>
                <w:sz w:val="24"/>
                <w:szCs w:val="24"/>
                <w:lang w:val="nl-NL"/>
              </w:rPr>
            </w:pPr>
            <w:r w:rsidRPr="00845946">
              <w:rPr>
                <w:rFonts w:ascii="Times New Roman" w:eastAsia="Times New Roman" w:hAnsi="Times New Roman"/>
                <w:bCs/>
                <w:color w:val="000000"/>
                <w:sz w:val="24"/>
                <w:szCs w:val="24"/>
                <w:lang w:val="en-SG" w:eastAsia="en-SG"/>
              </w:rPr>
              <w:t>127.762.004.306</w:t>
            </w:r>
          </w:p>
        </w:tc>
        <w:tc>
          <w:tcPr>
            <w:tcW w:w="1836" w:type="dxa"/>
            <w:vAlign w:val="center"/>
          </w:tcPr>
          <w:p w14:paraId="0E17A987" w14:textId="4F2E5B1C" w:rsidR="00EC6196" w:rsidRPr="00E93BC5" w:rsidRDefault="00EC6196" w:rsidP="00EC6196">
            <w:pPr>
              <w:tabs>
                <w:tab w:val="left" w:pos="540"/>
              </w:tabs>
              <w:spacing w:before="120" w:line="276" w:lineRule="auto"/>
              <w:rPr>
                <w:rFonts w:ascii="Times New Roman" w:hAnsi="Times New Roman"/>
                <w:sz w:val="24"/>
                <w:szCs w:val="24"/>
                <w:lang w:val="nl-NL"/>
              </w:rPr>
            </w:pPr>
            <w:r w:rsidRPr="00F76336">
              <w:rPr>
                <w:rFonts w:ascii="Times New Roman" w:eastAsia="Times New Roman" w:hAnsi="Times New Roman"/>
                <w:bCs/>
                <w:color w:val="000000"/>
                <w:sz w:val="24"/>
                <w:szCs w:val="24"/>
                <w:lang w:val="en-SG" w:eastAsia="en-SG"/>
              </w:rPr>
              <w:t>120.403.919.940</w:t>
            </w:r>
          </w:p>
        </w:tc>
        <w:tc>
          <w:tcPr>
            <w:tcW w:w="1836" w:type="dxa"/>
            <w:vAlign w:val="center"/>
          </w:tcPr>
          <w:p w14:paraId="3CCF528C" w14:textId="40FA1B01" w:rsidR="00EC6196" w:rsidRPr="00E93BC5" w:rsidRDefault="00EC6196" w:rsidP="00EC6196">
            <w:pPr>
              <w:tabs>
                <w:tab w:val="left" w:pos="540"/>
              </w:tabs>
              <w:spacing w:before="120" w:line="276" w:lineRule="auto"/>
              <w:rPr>
                <w:rFonts w:ascii="Times New Roman" w:hAnsi="Times New Roman"/>
                <w:b/>
                <w:sz w:val="24"/>
                <w:szCs w:val="24"/>
                <w:lang w:val="nl-NL"/>
              </w:rPr>
            </w:pPr>
            <w:r w:rsidRPr="00132C7A">
              <w:rPr>
                <w:rFonts w:ascii="Times New Roman" w:eastAsia="Times New Roman" w:hAnsi="Times New Roman"/>
                <w:bCs/>
                <w:color w:val="000000"/>
                <w:sz w:val="24"/>
                <w:szCs w:val="24"/>
                <w:lang w:val="en-SG" w:eastAsia="en-SG"/>
              </w:rPr>
              <w:t>114.347.726.661</w:t>
            </w:r>
          </w:p>
        </w:tc>
      </w:tr>
      <w:tr w:rsidR="00EC6196" w:rsidRPr="00E93BC5" w14:paraId="1E3FE81E" w14:textId="77777777" w:rsidTr="0056426D">
        <w:tc>
          <w:tcPr>
            <w:tcW w:w="4228" w:type="dxa"/>
          </w:tcPr>
          <w:p w14:paraId="74EDF0B8" w14:textId="77777777" w:rsidR="00EC6196" w:rsidRPr="00E93BC5" w:rsidRDefault="00EC6196" w:rsidP="00EC6196">
            <w:pPr>
              <w:tabs>
                <w:tab w:val="left" w:pos="540"/>
              </w:tabs>
              <w:spacing w:before="120" w:line="276" w:lineRule="auto"/>
              <w:jc w:val="both"/>
              <w:rPr>
                <w:rFonts w:ascii="Times New Roman" w:hAnsi="Times New Roman"/>
                <w:b/>
                <w:sz w:val="24"/>
                <w:szCs w:val="24"/>
                <w:lang w:val="nl-NL"/>
              </w:rPr>
            </w:pPr>
            <w:r w:rsidRPr="00E93BC5">
              <w:rPr>
                <w:rFonts w:ascii="Times New Roman" w:hAnsi="Times New Roman"/>
                <w:sz w:val="24"/>
                <w:szCs w:val="24"/>
                <w:lang w:val="nl-NL"/>
              </w:rPr>
              <w:t>2.2. Tổng số chứng chỉ quỹ đang lưu hành (CCQ)</w:t>
            </w:r>
          </w:p>
        </w:tc>
        <w:tc>
          <w:tcPr>
            <w:tcW w:w="1882" w:type="dxa"/>
            <w:vAlign w:val="center"/>
          </w:tcPr>
          <w:p w14:paraId="6738B28F" w14:textId="7D990262" w:rsidR="00EC6196" w:rsidRPr="00E93BC5" w:rsidRDefault="00EC6196" w:rsidP="00EC6196">
            <w:pPr>
              <w:tabs>
                <w:tab w:val="left" w:pos="540"/>
              </w:tabs>
              <w:spacing w:before="120" w:line="276" w:lineRule="auto"/>
              <w:jc w:val="center"/>
              <w:rPr>
                <w:rFonts w:ascii="Times New Roman" w:hAnsi="Times New Roman"/>
                <w:bCs/>
                <w:sz w:val="24"/>
                <w:szCs w:val="24"/>
                <w:lang w:val="nl-NL"/>
              </w:rPr>
            </w:pPr>
            <w:r w:rsidRPr="00845946">
              <w:rPr>
                <w:rFonts w:ascii="Times New Roman" w:hAnsi="Times New Roman"/>
                <w:sz w:val="24"/>
                <w:szCs w:val="24"/>
                <w:lang w:val="nl-NL"/>
              </w:rPr>
              <w:t>9.989.098,43</w:t>
            </w:r>
          </w:p>
        </w:tc>
        <w:tc>
          <w:tcPr>
            <w:tcW w:w="1836" w:type="dxa"/>
            <w:vAlign w:val="center"/>
          </w:tcPr>
          <w:p w14:paraId="05271190" w14:textId="2C218F4E" w:rsidR="00EC6196" w:rsidRPr="00E93BC5" w:rsidRDefault="00EC6196" w:rsidP="00EC6196">
            <w:pPr>
              <w:tabs>
                <w:tab w:val="left" w:pos="540"/>
              </w:tabs>
              <w:spacing w:before="120" w:line="276" w:lineRule="auto"/>
              <w:jc w:val="center"/>
              <w:rPr>
                <w:rFonts w:ascii="Times New Roman" w:hAnsi="Times New Roman"/>
                <w:bCs/>
                <w:sz w:val="24"/>
                <w:szCs w:val="24"/>
                <w:lang w:val="nl-NL"/>
              </w:rPr>
            </w:pPr>
            <w:r w:rsidRPr="00F76336">
              <w:rPr>
                <w:rFonts w:ascii="Times New Roman" w:hAnsi="Times New Roman"/>
                <w:sz w:val="24"/>
                <w:szCs w:val="24"/>
                <w:lang w:val="nl-NL"/>
              </w:rPr>
              <w:t>9.994.419,08</w:t>
            </w:r>
          </w:p>
        </w:tc>
        <w:tc>
          <w:tcPr>
            <w:tcW w:w="1836" w:type="dxa"/>
            <w:vAlign w:val="center"/>
          </w:tcPr>
          <w:p w14:paraId="46D96D38" w14:textId="34188806" w:rsidR="00EC6196" w:rsidRPr="00E93BC5" w:rsidRDefault="00EC6196" w:rsidP="00EC6196">
            <w:pPr>
              <w:tabs>
                <w:tab w:val="left" w:pos="540"/>
              </w:tabs>
              <w:spacing w:before="120" w:line="276" w:lineRule="auto"/>
              <w:jc w:val="center"/>
              <w:rPr>
                <w:rFonts w:ascii="Times New Roman" w:hAnsi="Times New Roman"/>
                <w:b/>
                <w:sz w:val="24"/>
                <w:szCs w:val="24"/>
                <w:lang w:val="nl-NL"/>
              </w:rPr>
            </w:pPr>
            <w:r w:rsidRPr="00132C7A">
              <w:rPr>
                <w:rFonts w:ascii="Times New Roman" w:hAnsi="Times New Roman"/>
                <w:sz w:val="24"/>
                <w:szCs w:val="24"/>
                <w:lang w:val="nl-NL"/>
              </w:rPr>
              <w:t>10.004.219,08</w:t>
            </w:r>
          </w:p>
        </w:tc>
      </w:tr>
      <w:tr w:rsidR="00EC6196" w:rsidRPr="00E93BC5" w14:paraId="5BB5C05F" w14:textId="77777777" w:rsidTr="0056426D">
        <w:tc>
          <w:tcPr>
            <w:tcW w:w="4228" w:type="dxa"/>
          </w:tcPr>
          <w:p w14:paraId="14B89A85" w14:textId="77777777" w:rsidR="00EC6196" w:rsidRPr="00E93BC5" w:rsidRDefault="00EC6196" w:rsidP="00EC6196">
            <w:pPr>
              <w:tabs>
                <w:tab w:val="left" w:pos="540"/>
              </w:tabs>
              <w:spacing w:before="120" w:line="276" w:lineRule="auto"/>
              <w:jc w:val="both"/>
              <w:rPr>
                <w:rFonts w:ascii="Times New Roman" w:hAnsi="Times New Roman"/>
                <w:b/>
                <w:sz w:val="24"/>
                <w:szCs w:val="24"/>
                <w:lang w:val="nl-NL"/>
              </w:rPr>
            </w:pPr>
            <w:r w:rsidRPr="00E93BC5">
              <w:rPr>
                <w:rFonts w:ascii="Times New Roman" w:hAnsi="Times New Roman"/>
                <w:sz w:val="24"/>
                <w:szCs w:val="24"/>
                <w:lang w:val="nl-NL"/>
              </w:rPr>
              <w:t>2.3. Giá trị tài sản ròng của một đơn vị Chứng chỉ quỹ (CCQ) (VNĐ)</w:t>
            </w:r>
          </w:p>
        </w:tc>
        <w:tc>
          <w:tcPr>
            <w:tcW w:w="1882" w:type="dxa"/>
            <w:vAlign w:val="center"/>
          </w:tcPr>
          <w:p w14:paraId="090CAF12" w14:textId="1FCB6CDD"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12.790,14</w:t>
            </w:r>
          </w:p>
        </w:tc>
        <w:tc>
          <w:tcPr>
            <w:tcW w:w="1836" w:type="dxa"/>
            <w:vAlign w:val="center"/>
          </w:tcPr>
          <w:p w14:paraId="46A4F558" w14:textId="720C7DF5"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F76336">
              <w:rPr>
                <w:rFonts w:ascii="Times New Roman" w:hAnsi="Times New Roman"/>
                <w:sz w:val="24"/>
                <w:szCs w:val="24"/>
                <w:lang w:val="nl-NL"/>
              </w:rPr>
              <w:t>12.047,11</w:t>
            </w:r>
          </w:p>
        </w:tc>
        <w:tc>
          <w:tcPr>
            <w:tcW w:w="1836" w:type="dxa"/>
            <w:vAlign w:val="center"/>
          </w:tcPr>
          <w:p w14:paraId="41650676" w14:textId="60439297" w:rsidR="00EC6196" w:rsidRPr="00E93BC5" w:rsidRDefault="00EC6196" w:rsidP="00EC6196">
            <w:pPr>
              <w:tabs>
                <w:tab w:val="left" w:pos="540"/>
              </w:tabs>
              <w:spacing w:before="120" w:line="276" w:lineRule="auto"/>
              <w:jc w:val="center"/>
              <w:rPr>
                <w:rFonts w:ascii="Times New Roman" w:hAnsi="Times New Roman"/>
                <w:b/>
                <w:sz w:val="24"/>
                <w:szCs w:val="24"/>
                <w:lang w:val="nl-NL"/>
              </w:rPr>
            </w:pPr>
            <w:r w:rsidRPr="00132C7A">
              <w:rPr>
                <w:rFonts w:ascii="Times New Roman" w:hAnsi="Times New Roman"/>
                <w:sz w:val="24"/>
                <w:szCs w:val="24"/>
                <w:lang w:val="nl-NL"/>
              </w:rPr>
              <w:t>11.429,95</w:t>
            </w:r>
          </w:p>
        </w:tc>
      </w:tr>
      <w:tr w:rsidR="00EC6196" w:rsidRPr="00E93BC5" w14:paraId="56539D5F" w14:textId="77777777" w:rsidTr="0056426D">
        <w:tc>
          <w:tcPr>
            <w:tcW w:w="4228" w:type="dxa"/>
          </w:tcPr>
          <w:p w14:paraId="66A1DEBE" w14:textId="77777777" w:rsidR="00EC6196" w:rsidRPr="00E93BC5" w:rsidRDefault="00EC6196" w:rsidP="00EC6196">
            <w:pPr>
              <w:tabs>
                <w:tab w:val="left" w:pos="540"/>
              </w:tabs>
              <w:spacing w:before="120" w:line="276" w:lineRule="auto"/>
              <w:jc w:val="both"/>
              <w:rPr>
                <w:rFonts w:ascii="Times New Roman" w:hAnsi="Times New Roman"/>
                <w:b/>
                <w:sz w:val="24"/>
                <w:szCs w:val="24"/>
                <w:lang w:val="nl-NL"/>
              </w:rPr>
            </w:pPr>
            <w:r w:rsidRPr="00E93BC5">
              <w:rPr>
                <w:rFonts w:ascii="Times New Roman" w:hAnsi="Times New Roman"/>
                <w:sz w:val="24"/>
                <w:szCs w:val="24"/>
                <w:lang w:val="nl-NL"/>
              </w:rPr>
              <w:t>2.4. Giá trị tài sản ròng cao nhất của 1 đơn vị CCQ trong kỳ báo cáo (VNĐ)</w:t>
            </w:r>
          </w:p>
        </w:tc>
        <w:tc>
          <w:tcPr>
            <w:tcW w:w="1882" w:type="dxa"/>
            <w:vAlign w:val="center"/>
          </w:tcPr>
          <w:p w14:paraId="6AEAFDE1" w14:textId="043421E4"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12.790,14</w:t>
            </w:r>
          </w:p>
        </w:tc>
        <w:tc>
          <w:tcPr>
            <w:tcW w:w="1836" w:type="dxa"/>
            <w:vAlign w:val="center"/>
          </w:tcPr>
          <w:p w14:paraId="541A9F4B" w14:textId="250663E9"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F76336">
              <w:rPr>
                <w:rFonts w:ascii="Times New Roman" w:hAnsi="Times New Roman"/>
                <w:sz w:val="24"/>
                <w:szCs w:val="24"/>
                <w:lang w:val="nl-NL"/>
              </w:rPr>
              <w:t>12.047,11</w:t>
            </w:r>
          </w:p>
        </w:tc>
        <w:tc>
          <w:tcPr>
            <w:tcW w:w="1836" w:type="dxa"/>
            <w:vAlign w:val="center"/>
          </w:tcPr>
          <w:p w14:paraId="1C5DD225" w14:textId="355C5BDF" w:rsidR="00EC6196" w:rsidRPr="00E93BC5" w:rsidRDefault="00EC6196" w:rsidP="00EC6196">
            <w:pPr>
              <w:tabs>
                <w:tab w:val="left" w:pos="540"/>
              </w:tabs>
              <w:spacing w:before="120" w:line="276" w:lineRule="auto"/>
              <w:jc w:val="center"/>
              <w:rPr>
                <w:rFonts w:ascii="Times New Roman" w:hAnsi="Times New Roman"/>
                <w:b/>
                <w:sz w:val="24"/>
                <w:szCs w:val="24"/>
                <w:lang w:val="nl-NL"/>
              </w:rPr>
            </w:pPr>
            <w:r w:rsidRPr="00132C7A">
              <w:rPr>
                <w:rFonts w:ascii="Times New Roman" w:hAnsi="Times New Roman"/>
                <w:sz w:val="24"/>
                <w:szCs w:val="24"/>
                <w:lang w:val="nl-NL"/>
              </w:rPr>
              <w:t>11.429,95</w:t>
            </w:r>
          </w:p>
        </w:tc>
      </w:tr>
      <w:tr w:rsidR="00EC6196" w:rsidRPr="00E93BC5" w14:paraId="1105A406" w14:textId="77777777" w:rsidTr="0056426D">
        <w:tc>
          <w:tcPr>
            <w:tcW w:w="4228" w:type="dxa"/>
          </w:tcPr>
          <w:p w14:paraId="60C92DBC" w14:textId="77777777" w:rsidR="00EC6196" w:rsidRPr="00E93BC5" w:rsidRDefault="00EC6196" w:rsidP="00EC619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2.5. Giá trị tài sản ròng thấp nhất của 1 đơn vị CCQ trong kỳ báo cáo (VNĐ)</w:t>
            </w:r>
          </w:p>
        </w:tc>
        <w:tc>
          <w:tcPr>
            <w:tcW w:w="1882" w:type="dxa"/>
            <w:vAlign w:val="center"/>
          </w:tcPr>
          <w:p w14:paraId="20EC788A" w14:textId="6E4FB006" w:rsidR="00EC6196" w:rsidRPr="00E93BC5" w:rsidRDefault="00EC6196" w:rsidP="00EC6196">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12.440,94</w:t>
            </w:r>
          </w:p>
        </w:tc>
        <w:tc>
          <w:tcPr>
            <w:tcW w:w="1836" w:type="dxa"/>
            <w:vAlign w:val="center"/>
          </w:tcPr>
          <w:p w14:paraId="2AD9078C" w14:textId="50EC64B5" w:rsidR="00EC6196" w:rsidRPr="00FC7807" w:rsidRDefault="00EC6196" w:rsidP="00EC6196">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11.699,38</w:t>
            </w:r>
          </w:p>
        </w:tc>
        <w:tc>
          <w:tcPr>
            <w:tcW w:w="1836" w:type="dxa"/>
            <w:vAlign w:val="center"/>
          </w:tcPr>
          <w:p w14:paraId="63034F4A" w14:textId="1398FB95" w:rsidR="00EC6196" w:rsidRPr="00FC7807" w:rsidRDefault="00EC6196" w:rsidP="00EC6196">
            <w:pPr>
              <w:tabs>
                <w:tab w:val="left" w:pos="540"/>
              </w:tabs>
              <w:spacing w:before="120" w:line="276" w:lineRule="auto"/>
              <w:jc w:val="center"/>
              <w:rPr>
                <w:rFonts w:ascii="Times New Roman" w:hAnsi="Times New Roman"/>
                <w:sz w:val="24"/>
                <w:szCs w:val="24"/>
                <w:lang w:val="nl-NL"/>
              </w:rPr>
            </w:pPr>
            <w:r w:rsidRPr="00FC7807">
              <w:rPr>
                <w:rFonts w:ascii="Times New Roman" w:hAnsi="Times New Roman"/>
                <w:sz w:val="24"/>
                <w:szCs w:val="24"/>
                <w:lang w:val="nl-NL"/>
              </w:rPr>
              <w:t>11.223,00</w:t>
            </w:r>
          </w:p>
        </w:tc>
      </w:tr>
      <w:tr w:rsidR="00EC6196" w:rsidRPr="00E93BC5" w14:paraId="26276EE7" w14:textId="77777777" w:rsidTr="0056426D">
        <w:tc>
          <w:tcPr>
            <w:tcW w:w="4228" w:type="dxa"/>
          </w:tcPr>
          <w:p w14:paraId="2072415D" w14:textId="77777777" w:rsidR="00EC6196" w:rsidRPr="00E93BC5" w:rsidRDefault="00EC6196" w:rsidP="00EC619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2.6. Giá cuối ngày của 1 đơn vị CCQ tại ngày báo cáo (VNĐ)</w:t>
            </w:r>
          </w:p>
        </w:tc>
        <w:tc>
          <w:tcPr>
            <w:tcW w:w="1882" w:type="dxa"/>
            <w:vAlign w:val="center"/>
          </w:tcPr>
          <w:p w14:paraId="5A4255B0" w14:textId="77777777"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DDE3706" w14:textId="47477C75"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10F1C536" w14:textId="3A646BBE"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EC6196" w:rsidRPr="00E93BC5" w14:paraId="440170BD" w14:textId="77777777" w:rsidTr="0056426D">
        <w:tc>
          <w:tcPr>
            <w:tcW w:w="4228" w:type="dxa"/>
          </w:tcPr>
          <w:p w14:paraId="51D655EE" w14:textId="77777777" w:rsidR="00EC6196" w:rsidRPr="00E93BC5" w:rsidRDefault="00EC6196" w:rsidP="00EC619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2.7. Giá cuối ngày cao nhất của 1 đơn vị CCQ trong kỳ báo cáo (VNĐ)</w:t>
            </w:r>
          </w:p>
        </w:tc>
        <w:tc>
          <w:tcPr>
            <w:tcW w:w="1882" w:type="dxa"/>
            <w:vAlign w:val="center"/>
          </w:tcPr>
          <w:p w14:paraId="26AB6647" w14:textId="77777777"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187F6AF7" w14:textId="6CCEF5F9"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6B374FE8" w14:textId="7400C7F0"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EC6196" w:rsidRPr="00E93BC5" w14:paraId="2B6BF498" w14:textId="77777777" w:rsidTr="0056426D">
        <w:tc>
          <w:tcPr>
            <w:tcW w:w="4228" w:type="dxa"/>
          </w:tcPr>
          <w:p w14:paraId="064EED70" w14:textId="77777777" w:rsidR="00EC6196" w:rsidRPr="00E93BC5" w:rsidRDefault="00EC6196" w:rsidP="00EC619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2.8. Giá cuối ngày thấp nhất của 1 đơn vị CCQ trong kỳ báo cáo (VNĐ)</w:t>
            </w:r>
          </w:p>
        </w:tc>
        <w:tc>
          <w:tcPr>
            <w:tcW w:w="1882" w:type="dxa"/>
            <w:vAlign w:val="center"/>
          </w:tcPr>
          <w:p w14:paraId="1CF78EF2" w14:textId="77777777"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6033A8A9" w14:textId="6044F197"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8DA57ED" w14:textId="07519C89"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EC6196" w:rsidRPr="00E93BC5" w14:paraId="1716829F" w14:textId="77777777" w:rsidTr="0056426D">
        <w:trPr>
          <w:trHeight w:val="665"/>
        </w:trPr>
        <w:tc>
          <w:tcPr>
            <w:tcW w:w="4228" w:type="dxa"/>
            <w:vAlign w:val="center"/>
          </w:tcPr>
          <w:p w14:paraId="6793285C" w14:textId="77777777" w:rsidR="00EC6196" w:rsidRPr="00E93BC5" w:rsidRDefault="00EC6196" w:rsidP="00EC619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2.9. Tổng tăng trưởng (%)/1 đơn vị CCQ so với cùng kỳ năm trước.</w:t>
            </w:r>
          </w:p>
        </w:tc>
        <w:tc>
          <w:tcPr>
            <w:tcW w:w="1882" w:type="dxa"/>
            <w:shd w:val="clear" w:color="auto" w:fill="auto"/>
            <w:vAlign w:val="center"/>
          </w:tcPr>
          <w:p w14:paraId="138033A8" w14:textId="0815644D"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6,17</w:t>
            </w:r>
          </w:p>
        </w:tc>
        <w:tc>
          <w:tcPr>
            <w:tcW w:w="1836" w:type="dxa"/>
            <w:vAlign w:val="center"/>
          </w:tcPr>
          <w:p w14:paraId="384A6C87" w14:textId="4A327626" w:rsidR="00EC6196" w:rsidRPr="00E93BC5" w:rsidRDefault="00EC6196" w:rsidP="00EC6196">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5,40</w:t>
            </w:r>
          </w:p>
        </w:tc>
        <w:tc>
          <w:tcPr>
            <w:tcW w:w="1836" w:type="dxa"/>
            <w:vAlign w:val="center"/>
          </w:tcPr>
          <w:p w14:paraId="1A324F3C" w14:textId="4162AC88"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3,69</w:t>
            </w:r>
          </w:p>
        </w:tc>
      </w:tr>
      <w:tr w:rsidR="00EC6196" w:rsidRPr="00E93BC5" w14:paraId="26160AEB" w14:textId="77777777" w:rsidTr="0056426D">
        <w:tc>
          <w:tcPr>
            <w:tcW w:w="4228" w:type="dxa"/>
          </w:tcPr>
          <w:p w14:paraId="559DCEB9" w14:textId="77777777" w:rsidR="00EC6196" w:rsidRPr="00E93BC5" w:rsidRDefault="00EC6196" w:rsidP="00EC619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2.9.1. Tăng trưởng vốn (%)/1 đơn vị CCQ (Thay đổi do biến động giá)</w:t>
            </w:r>
          </w:p>
        </w:tc>
        <w:tc>
          <w:tcPr>
            <w:tcW w:w="1882" w:type="dxa"/>
            <w:shd w:val="clear" w:color="auto" w:fill="auto"/>
            <w:vAlign w:val="center"/>
          </w:tcPr>
          <w:p w14:paraId="22107B8E" w14:textId="4AE4A299"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0,00</w:t>
            </w:r>
          </w:p>
        </w:tc>
        <w:tc>
          <w:tcPr>
            <w:tcW w:w="1836" w:type="dxa"/>
            <w:vAlign w:val="center"/>
          </w:tcPr>
          <w:p w14:paraId="6D60C316" w14:textId="68799C64"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0,00</w:t>
            </w:r>
          </w:p>
        </w:tc>
        <w:tc>
          <w:tcPr>
            <w:tcW w:w="1836" w:type="dxa"/>
            <w:vAlign w:val="center"/>
          </w:tcPr>
          <w:p w14:paraId="34290E4A" w14:textId="4F7AE51E"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0,00</w:t>
            </w:r>
          </w:p>
        </w:tc>
      </w:tr>
      <w:tr w:rsidR="00EC6196" w:rsidRPr="00E93BC5" w14:paraId="2DCCAD09" w14:textId="77777777" w:rsidTr="0056426D">
        <w:tc>
          <w:tcPr>
            <w:tcW w:w="4228" w:type="dxa"/>
          </w:tcPr>
          <w:p w14:paraId="36ADB1A3" w14:textId="77777777" w:rsidR="00EC6196" w:rsidRPr="00E93BC5" w:rsidRDefault="00EC6196" w:rsidP="00EC619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2.9.2. Tăng trưởng thu nhập (%)/1 đơn vị CCQ (Tính trên thu nhập đã thực hiện) so với cùng kỳ năm trước.</w:t>
            </w:r>
          </w:p>
        </w:tc>
        <w:tc>
          <w:tcPr>
            <w:tcW w:w="1882" w:type="dxa"/>
            <w:shd w:val="clear" w:color="auto" w:fill="auto"/>
            <w:vAlign w:val="center"/>
          </w:tcPr>
          <w:p w14:paraId="40849301" w14:textId="3C5C2E13"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6,17</w:t>
            </w:r>
          </w:p>
        </w:tc>
        <w:tc>
          <w:tcPr>
            <w:tcW w:w="1836" w:type="dxa"/>
            <w:vAlign w:val="center"/>
          </w:tcPr>
          <w:p w14:paraId="39087092" w14:textId="048481C3" w:rsidR="00EC6196" w:rsidRPr="00E93BC5" w:rsidRDefault="00EC6196" w:rsidP="00EC6196">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5,40</w:t>
            </w:r>
          </w:p>
        </w:tc>
        <w:tc>
          <w:tcPr>
            <w:tcW w:w="1836" w:type="dxa"/>
            <w:vAlign w:val="center"/>
          </w:tcPr>
          <w:p w14:paraId="13D35766" w14:textId="514E7256"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3,69</w:t>
            </w:r>
          </w:p>
        </w:tc>
      </w:tr>
      <w:tr w:rsidR="00EC6196" w:rsidRPr="00E93BC5" w14:paraId="3421200F" w14:textId="77777777" w:rsidTr="0056426D">
        <w:trPr>
          <w:trHeight w:val="620"/>
        </w:trPr>
        <w:tc>
          <w:tcPr>
            <w:tcW w:w="4228" w:type="dxa"/>
            <w:vAlign w:val="center"/>
          </w:tcPr>
          <w:p w14:paraId="201708F7" w14:textId="77777777" w:rsidR="00EC6196" w:rsidRPr="00E93BC5" w:rsidRDefault="00EC6196" w:rsidP="00EC619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2.10. Phân phối gộp trên 1 đơn vị CCQ</w:t>
            </w:r>
          </w:p>
        </w:tc>
        <w:tc>
          <w:tcPr>
            <w:tcW w:w="1882" w:type="dxa"/>
            <w:vAlign w:val="center"/>
          </w:tcPr>
          <w:p w14:paraId="2EBFA547" w14:textId="77777777"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09345B74" w14:textId="17583E5A"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8A52FA2" w14:textId="137D7F62"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EC6196" w:rsidRPr="00E93BC5" w14:paraId="6AFD9C24" w14:textId="77777777" w:rsidTr="0056426D">
        <w:trPr>
          <w:trHeight w:val="620"/>
        </w:trPr>
        <w:tc>
          <w:tcPr>
            <w:tcW w:w="4228" w:type="dxa"/>
            <w:vAlign w:val="center"/>
          </w:tcPr>
          <w:p w14:paraId="75D7C0DA" w14:textId="77777777" w:rsidR="00EC6196" w:rsidRPr="00E93BC5" w:rsidRDefault="00EC6196" w:rsidP="00EC619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2.11. Phân phối ròng trên 1 đơn vị CCQ</w:t>
            </w:r>
          </w:p>
        </w:tc>
        <w:tc>
          <w:tcPr>
            <w:tcW w:w="1882" w:type="dxa"/>
            <w:vAlign w:val="center"/>
          </w:tcPr>
          <w:p w14:paraId="710E707D" w14:textId="77777777"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51FE7102" w14:textId="3AA73770"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29422E79" w14:textId="6371A5C0"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EC6196" w:rsidRPr="00E93BC5" w14:paraId="254E271C" w14:textId="77777777" w:rsidTr="0056426D">
        <w:tc>
          <w:tcPr>
            <w:tcW w:w="4228" w:type="dxa"/>
          </w:tcPr>
          <w:p w14:paraId="1E5BF629" w14:textId="77777777" w:rsidR="00EC6196" w:rsidRPr="00E93BC5" w:rsidRDefault="00EC6196" w:rsidP="00EC619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2.12. Ngày chốt quyền (Ex-date of distribution)</w:t>
            </w:r>
          </w:p>
        </w:tc>
        <w:tc>
          <w:tcPr>
            <w:tcW w:w="1882" w:type="dxa"/>
            <w:vAlign w:val="center"/>
          </w:tcPr>
          <w:p w14:paraId="48FF37B8" w14:textId="77777777"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020969DC" w14:textId="3EADEE18"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E2ED27F" w14:textId="12648697"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EC6196" w:rsidRPr="00E93BC5" w14:paraId="3DDD8CD1" w14:textId="77777777" w:rsidTr="0056426D">
        <w:trPr>
          <w:trHeight w:val="665"/>
        </w:trPr>
        <w:tc>
          <w:tcPr>
            <w:tcW w:w="4228" w:type="dxa"/>
            <w:vAlign w:val="center"/>
          </w:tcPr>
          <w:p w14:paraId="423F26E7" w14:textId="77777777" w:rsidR="00EC6196" w:rsidRPr="00E93BC5" w:rsidRDefault="00EC6196" w:rsidP="00EC619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2.13. Tỷ lệ chi phí hoạt động của quỹ (%)</w:t>
            </w:r>
          </w:p>
        </w:tc>
        <w:tc>
          <w:tcPr>
            <w:tcW w:w="1882" w:type="dxa"/>
            <w:vAlign w:val="center"/>
          </w:tcPr>
          <w:p w14:paraId="0BC43B92" w14:textId="0543995E" w:rsidR="00EC6196" w:rsidRPr="00E93BC5" w:rsidRDefault="00EC6196" w:rsidP="00EC6196">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1,91</w:t>
            </w:r>
          </w:p>
        </w:tc>
        <w:tc>
          <w:tcPr>
            <w:tcW w:w="1836" w:type="dxa"/>
            <w:vAlign w:val="center"/>
          </w:tcPr>
          <w:p w14:paraId="022E06BE" w14:textId="58000004" w:rsidR="00EC6196" w:rsidRPr="00FC7807" w:rsidRDefault="00EC6196" w:rsidP="00EC6196">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1,96</w:t>
            </w:r>
          </w:p>
        </w:tc>
        <w:tc>
          <w:tcPr>
            <w:tcW w:w="1836" w:type="dxa"/>
            <w:vAlign w:val="center"/>
          </w:tcPr>
          <w:p w14:paraId="3AC54B11" w14:textId="05775CA6" w:rsidR="00EC6196" w:rsidRPr="00FC7807" w:rsidRDefault="00EC6196" w:rsidP="00EC6196">
            <w:pPr>
              <w:tabs>
                <w:tab w:val="left" w:pos="540"/>
              </w:tabs>
              <w:spacing w:before="120" w:line="276" w:lineRule="auto"/>
              <w:jc w:val="center"/>
              <w:rPr>
                <w:rFonts w:ascii="Times New Roman" w:hAnsi="Times New Roman"/>
                <w:sz w:val="24"/>
                <w:szCs w:val="24"/>
                <w:lang w:val="nl-NL"/>
              </w:rPr>
            </w:pPr>
            <w:r w:rsidRPr="00FC7807">
              <w:rPr>
                <w:rFonts w:ascii="Times New Roman" w:hAnsi="Times New Roman"/>
                <w:sz w:val="24"/>
                <w:szCs w:val="24"/>
                <w:lang w:val="nl-NL"/>
              </w:rPr>
              <w:t>2,01</w:t>
            </w:r>
          </w:p>
        </w:tc>
      </w:tr>
      <w:tr w:rsidR="00EC6196" w:rsidRPr="00E93BC5" w14:paraId="1D96EF1A" w14:textId="77777777" w:rsidTr="0056426D">
        <w:trPr>
          <w:trHeight w:val="710"/>
        </w:trPr>
        <w:tc>
          <w:tcPr>
            <w:tcW w:w="4228" w:type="dxa"/>
            <w:vAlign w:val="center"/>
          </w:tcPr>
          <w:p w14:paraId="776FFCE6" w14:textId="77777777" w:rsidR="00EC6196" w:rsidRPr="00E93BC5" w:rsidRDefault="00EC6196" w:rsidP="00EC619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2.14. Tốc độ vòng quay danh mục (%)</w:t>
            </w:r>
          </w:p>
        </w:tc>
        <w:tc>
          <w:tcPr>
            <w:tcW w:w="1882" w:type="dxa"/>
            <w:vAlign w:val="center"/>
          </w:tcPr>
          <w:p w14:paraId="1E45EEA1" w14:textId="46DC6EFC" w:rsidR="00EC6196" w:rsidRPr="00E93BC5" w:rsidRDefault="00EC6196" w:rsidP="00EC6196">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20,48</w:t>
            </w:r>
          </w:p>
        </w:tc>
        <w:tc>
          <w:tcPr>
            <w:tcW w:w="1836" w:type="dxa"/>
            <w:vAlign w:val="center"/>
          </w:tcPr>
          <w:p w14:paraId="7BE05FB1" w14:textId="16D3C986"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w:t>
            </w:r>
          </w:p>
        </w:tc>
        <w:tc>
          <w:tcPr>
            <w:tcW w:w="1836" w:type="dxa"/>
            <w:vAlign w:val="center"/>
          </w:tcPr>
          <w:p w14:paraId="69C3F4E5" w14:textId="14AF2E4E" w:rsidR="00EC6196" w:rsidRPr="00E93BC5" w:rsidRDefault="00EC6196" w:rsidP="00EC619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0</w:t>
            </w:r>
          </w:p>
        </w:tc>
      </w:tr>
    </w:tbl>
    <w:p w14:paraId="425F803A" w14:textId="77777777" w:rsidR="008A4832" w:rsidRPr="00E93BC5" w:rsidRDefault="008A4832"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64C70B5B" w14:textId="77777777" w:rsidR="002B3684" w:rsidRPr="00E93BC5" w:rsidRDefault="002B3684"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430B9D8A" w14:textId="77777777" w:rsidR="001C4468" w:rsidRPr="00E93BC5"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lastRenderedPageBreak/>
        <w:t>Tăng trưởng qua các thời kỳ:</w:t>
      </w:r>
    </w:p>
    <w:tbl>
      <w:tblPr>
        <w:tblStyle w:val="TableGrid"/>
        <w:tblW w:w="0" w:type="auto"/>
        <w:tblInd w:w="198" w:type="dxa"/>
        <w:tblLook w:val="04A0" w:firstRow="1" w:lastRow="0" w:firstColumn="1" w:lastColumn="0" w:noHBand="0" w:noVBand="1"/>
      </w:tblPr>
      <w:tblGrid>
        <w:gridCol w:w="4418"/>
        <w:gridCol w:w="2577"/>
        <w:gridCol w:w="2665"/>
      </w:tblGrid>
      <w:tr w:rsidR="001F3B0D" w:rsidRPr="004D5515" w14:paraId="1B67BC27" w14:textId="77777777" w:rsidTr="00486F0E">
        <w:trPr>
          <w:trHeight w:val="827"/>
        </w:trPr>
        <w:tc>
          <w:tcPr>
            <w:tcW w:w="4418" w:type="dxa"/>
            <w:vAlign w:val="center"/>
          </w:tcPr>
          <w:p w14:paraId="2FA79E29" w14:textId="77777777" w:rsidR="001F3B0D" w:rsidRPr="00E93BC5" w:rsidRDefault="001F3B0D" w:rsidP="001F3B0D">
            <w:pPr>
              <w:spacing w:before="120" w:line="360"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Giai đoạn</w:t>
            </w:r>
          </w:p>
        </w:tc>
        <w:tc>
          <w:tcPr>
            <w:tcW w:w="2577" w:type="dxa"/>
            <w:vAlign w:val="center"/>
          </w:tcPr>
          <w:p w14:paraId="4C6B5B5E" w14:textId="77777777" w:rsidR="001F3B0D" w:rsidRPr="00E93BC5" w:rsidRDefault="001F3B0D" w:rsidP="001F3B0D">
            <w:pPr>
              <w:spacing w:before="120" w:line="360"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Tổng tăng trưởng của NAV/CCQ</w:t>
            </w:r>
          </w:p>
        </w:tc>
        <w:tc>
          <w:tcPr>
            <w:tcW w:w="2665" w:type="dxa"/>
            <w:vAlign w:val="center"/>
          </w:tcPr>
          <w:p w14:paraId="4D9D0222" w14:textId="77777777" w:rsidR="001F3B0D" w:rsidRPr="00E93BC5" w:rsidRDefault="001F3B0D" w:rsidP="001F3B0D">
            <w:pPr>
              <w:spacing w:before="120" w:line="360"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Tăng trưởng NAV/CCQ hàng năm</w:t>
            </w:r>
          </w:p>
        </w:tc>
      </w:tr>
      <w:tr w:rsidR="003E41E5" w:rsidRPr="00E93BC5" w14:paraId="70B88B09" w14:textId="77777777" w:rsidTr="00486F0E">
        <w:trPr>
          <w:trHeight w:val="459"/>
        </w:trPr>
        <w:tc>
          <w:tcPr>
            <w:tcW w:w="4418" w:type="dxa"/>
            <w:vAlign w:val="center"/>
          </w:tcPr>
          <w:p w14:paraId="75A9E9EC" w14:textId="77777777" w:rsidR="003E41E5" w:rsidRPr="00E93BC5" w:rsidRDefault="003E41E5" w:rsidP="003E41E5">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- 1 năm</w:t>
            </w:r>
          </w:p>
        </w:tc>
        <w:tc>
          <w:tcPr>
            <w:tcW w:w="2577" w:type="dxa"/>
          </w:tcPr>
          <w:p w14:paraId="12800710" w14:textId="42D6794A" w:rsidR="003E41E5" w:rsidRPr="00E93BC5" w:rsidRDefault="003E41E5" w:rsidP="003E41E5">
            <w:pPr>
              <w:spacing w:before="120" w:line="360" w:lineRule="auto"/>
              <w:jc w:val="center"/>
              <w:rPr>
                <w:rFonts w:ascii="Times New Roman" w:hAnsi="Times New Roman"/>
                <w:sz w:val="24"/>
                <w:szCs w:val="24"/>
                <w:lang w:val="nl-NL"/>
              </w:rPr>
            </w:pPr>
            <w:r w:rsidRPr="00845946">
              <w:rPr>
                <w:rFonts w:ascii="Times New Roman" w:hAnsi="Times New Roman"/>
                <w:sz w:val="24"/>
                <w:szCs w:val="24"/>
                <w:lang w:val="nl-NL"/>
              </w:rPr>
              <w:t>6,17</w:t>
            </w:r>
          </w:p>
        </w:tc>
        <w:tc>
          <w:tcPr>
            <w:tcW w:w="2665" w:type="dxa"/>
          </w:tcPr>
          <w:p w14:paraId="549B9BE5" w14:textId="1B6B0267" w:rsidR="003E41E5" w:rsidRPr="00E93BC5" w:rsidRDefault="003E41E5" w:rsidP="003E41E5">
            <w:pPr>
              <w:spacing w:before="120" w:line="360" w:lineRule="auto"/>
              <w:jc w:val="center"/>
              <w:rPr>
                <w:rFonts w:ascii="Times New Roman" w:hAnsi="Times New Roman"/>
                <w:b/>
                <w:sz w:val="24"/>
                <w:szCs w:val="24"/>
                <w:lang w:val="nl-NL"/>
              </w:rPr>
            </w:pPr>
            <w:r w:rsidRPr="00845946">
              <w:rPr>
                <w:rFonts w:ascii="Times New Roman" w:hAnsi="Times New Roman"/>
                <w:sz w:val="24"/>
                <w:szCs w:val="24"/>
                <w:lang w:val="nl-NL"/>
              </w:rPr>
              <w:t>6,17</w:t>
            </w:r>
          </w:p>
        </w:tc>
      </w:tr>
      <w:tr w:rsidR="003E41E5" w:rsidRPr="00E93BC5" w14:paraId="33F169C1" w14:textId="77777777" w:rsidTr="00486F0E">
        <w:trPr>
          <w:trHeight w:val="459"/>
        </w:trPr>
        <w:tc>
          <w:tcPr>
            <w:tcW w:w="4418" w:type="dxa"/>
            <w:vAlign w:val="center"/>
          </w:tcPr>
          <w:p w14:paraId="72BAD938" w14:textId="77777777" w:rsidR="003E41E5" w:rsidRPr="00E93BC5" w:rsidRDefault="003E41E5" w:rsidP="003E41E5">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- 3 năm</w:t>
            </w:r>
          </w:p>
        </w:tc>
        <w:tc>
          <w:tcPr>
            <w:tcW w:w="2577" w:type="dxa"/>
          </w:tcPr>
          <w:p w14:paraId="052C2A6A" w14:textId="2BB1F829" w:rsidR="003E41E5" w:rsidRPr="00E93BC5" w:rsidRDefault="003E41E5" w:rsidP="003E41E5">
            <w:pPr>
              <w:spacing w:before="120" w:line="360" w:lineRule="auto"/>
              <w:jc w:val="center"/>
              <w:rPr>
                <w:rFonts w:ascii="Times New Roman" w:hAnsi="Times New Roman"/>
                <w:b/>
                <w:sz w:val="24"/>
                <w:szCs w:val="24"/>
                <w:lang w:val="nl-NL"/>
              </w:rPr>
            </w:pPr>
            <w:r w:rsidRPr="00845946">
              <w:rPr>
                <w:rFonts w:ascii="Times New Roman" w:hAnsi="Times New Roman"/>
                <w:sz w:val="24"/>
                <w:szCs w:val="24"/>
                <w:lang w:val="nl-NL"/>
              </w:rPr>
              <w:t>16,03</w:t>
            </w:r>
          </w:p>
        </w:tc>
        <w:tc>
          <w:tcPr>
            <w:tcW w:w="2665" w:type="dxa"/>
          </w:tcPr>
          <w:p w14:paraId="0A63DBBC" w14:textId="7B01D9B6" w:rsidR="003E41E5" w:rsidRPr="00E93BC5" w:rsidRDefault="003E41E5" w:rsidP="003E41E5">
            <w:pPr>
              <w:spacing w:before="120" w:line="360" w:lineRule="auto"/>
              <w:jc w:val="center"/>
              <w:rPr>
                <w:rFonts w:ascii="Times New Roman" w:hAnsi="Times New Roman"/>
                <w:b/>
                <w:sz w:val="24"/>
                <w:szCs w:val="24"/>
                <w:lang w:val="nl-NL"/>
              </w:rPr>
            </w:pPr>
            <w:r w:rsidRPr="00845946">
              <w:rPr>
                <w:rFonts w:ascii="Times New Roman" w:hAnsi="Times New Roman"/>
                <w:sz w:val="24"/>
                <w:szCs w:val="24"/>
                <w:lang w:val="nl-NL"/>
              </w:rPr>
              <w:t>5,08</w:t>
            </w:r>
          </w:p>
        </w:tc>
      </w:tr>
      <w:tr w:rsidR="003E41E5" w:rsidRPr="00E93BC5" w14:paraId="3BA90AA0" w14:textId="77777777" w:rsidTr="00486F0E">
        <w:trPr>
          <w:trHeight w:val="472"/>
        </w:trPr>
        <w:tc>
          <w:tcPr>
            <w:tcW w:w="4418" w:type="dxa"/>
            <w:vAlign w:val="center"/>
          </w:tcPr>
          <w:p w14:paraId="4F72DC44" w14:textId="77777777" w:rsidR="003E41E5" w:rsidRPr="00E93BC5" w:rsidRDefault="003E41E5" w:rsidP="003E41E5">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Từ khi thành lập</w:t>
            </w:r>
          </w:p>
        </w:tc>
        <w:tc>
          <w:tcPr>
            <w:tcW w:w="2577" w:type="dxa"/>
          </w:tcPr>
          <w:p w14:paraId="0478FDAA" w14:textId="4A067EB6" w:rsidR="003E41E5" w:rsidRPr="00E93BC5" w:rsidRDefault="003E41E5" w:rsidP="003E41E5">
            <w:pPr>
              <w:spacing w:before="120" w:line="360" w:lineRule="auto"/>
              <w:jc w:val="center"/>
              <w:rPr>
                <w:rFonts w:ascii="Times New Roman" w:hAnsi="Times New Roman"/>
                <w:sz w:val="24"/>
                <w:szCs w:val="24"/>
                <w:lang w:val="nl-NL"/>
              </w:rPr>
            </w:pPr>
            <w:r w:rsidRPr="00845946">
              <w:rPr>
                <w:rFonts w:ascii="Times New Roman" w:hAnsi="Times New Roman"/>
                <w:sz w:val="24"/>
                <w:szCs w:val="24"/>
                <w:lang w:val="nl-NL"/>
              </w:rPr>
              <w:t>27,90</w:t>
            </w:r>
          </w:p>
        </w:tc>
        <w:tc>
          <w:tcPr>
            <w:tcW w:w="2665" w:type="dxa"/>
          </w:tcPr>
          <w:p w14:paraId="30A817E2" w14:textId="59135E76" w:rsidR="003E41E5" w:rsidRPr="00E93BC5" w:rsidRDefault="003E41E5" w:rsidP="003E41E5">
            <w:pPr>
              <w:spacing w:before="120" w:line="360" w:lineRule="auto"/>
              <w:jc w:val="center"/>
              <w:rPr>
                <w:rFonts w:ascii="Times New Roman" w:hAnsi="Times New Roman"/>
                <w:sz w:val="24"/>
                <w:szCs w:val="24"/>
                <w:lang w:val="nl-NL"/>
              </w:rPr>
            </w:pPr>
            <w:r w:rsidRPr="00845946">
              <w:rPr>
                <w:rFonts w:ascii="Times New Roman" w:hAnsi="Times New Roman"/>
                <w:sz w:val="24"/>
                <w:szCs w:val="24"/>
                <w:lang w:val="nl-NL"/>
              </w:rPr>
              <w:t>4,80</w:t>
            </w:r>
          </w:p>
        </w:tc>
      </w:tr>
      <w:tr w:rsidR="003E41E5" w:rsidRPr="00E93BC5" w14:paraId="6ADE5A7E" w14:textId="77777777" w:rsidTr="00486F0E">
        <w:trPr>
          <w:trHeight w:val="459"/>
        </w:trPr>
        <w:tc>
          <w:tcPr>
            <w:tcW w:w="4418" w:type="dxa"/>
            <w:vAlign w:val="center"/>
          </w:tcPr>
          <w:p w14:paraId="5F096794" w14:textId="77777777" w:rsidR="003E41E5" w:rsidRPr="00E93BC5" w:rsidRDefault="003E41E5" w:rsidP="003E41E5">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Tăng trưởng của chỉ số tham chiếu</w:t>
            </w:r>
          </w:p>
        </w:tc>
        <w:tc>
          <w:tcPr>
            <w:tcW w:w="2577" w:type="dxa"/>
          </w:tcPr>
          <w:p w14:paraId="06D76F3D" w14:textId="5BD669C1" w:rsidR="003E41E5" w:rsidRPr="00E93BC5" w:rsidRDefault="003E41E5" w:rsidP="003E41E5">
            <w:pPr>
              <w:spacing w:before="120" w:line="360" w:lineRule="auto"/>
              <w:jc w:val="center"/>
              <w:rPr>
                <w:rFonts w:ascii="Times New Roman" w:hAnsi="Times New Roman"/>
                <w:sz w:val="24"/>
                <w:szCs w:val="24"/>
                <w:lang w:val="nl-NL"/>
              </w:rPr>
            </w:pPr>
            <w:r w:rsidRPr="00845946">
              <w:rPr>
                <w:rFonts w:ascii="Times New Roman" w:hAnsi="Times New Roman"/>
                <w:sz w:val="24"/>
                <w:szCs w:val="24"/>
                <w:lang w:val="nl-NL"/>
              </w:rPr>
              <w:t>24,43% (***)</w:t>
            </w:r>
          </w:p>
        </w:tc>
        <w:tc>
          <w:tcPr>
            <w:tcW w:w="2665" w:type="dxa"/>
          </w:tcPr>
          <w:p w14:paraId="11D31BCE" w14:textId="6A06697C" w:rsidR="003E41E5" w:rsidRPr="00E93BC5" w:rsidRDefault="003E41E5" w:rsidP="003E41E5">
            <w:pPr>
              <w:spacing w:before="120" w:line="360" w:lineRule="auto"/>
              <w:jc w:val="center"/>
              <w:rPr>
                <w:rFonts w:ascii="Times New Roman" w:hAnsi="Times New Roman"/>
                <w:sz w:val="24"/>
                <w:szCs w:val="24"/>
                <w:lang w:val="nl-NL"/>
              </w:rPr>
            </w:pPr>
            <w:r w:rsidRPr="00845946">
              <w:rPr>
                <w:rFonts w:ascii="Times New Roman" w:hAnsi="Times New Roman"/>
                <w:sz w:val="24"/>
                <w:szCs w:val="24"/>
                <w:lang w:val="nl-NL"/>
              </w:rPr>
              <w:t>2,60%</w:t>
            </w:r>
          </w:p>
        </w:tc>
      </w:tr>
    </w:tbl>
    <w:p w14:paraId="6F427780" w14:textId="77777777" w:rsidR="001C4468" w:rsidRPr="00E93BC5"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4114"/>
        <w:gridCol w:w="1348"/>
        <w:gridCol w:w="1348"/>
        <w:gridCol w:w="1348"/>
        <w:gridCol w:w="1534"/>
      </w:tblGrid>
      <w:tr w:rsidR="0003114E" w:rsidRPr="00E93BC5" w14:paraId="46053E92" w14:textId="77777777" w:rsidTr="00DD3934">
        <w:tc>
          <w:tcPr>
            <w:tcW w:w="4114" w:type="dxa"/>
            <w:vAlign w:val="center"/>
          </w:tcPr>
          <w:p w14:paraId="63EF60B6" w14:textId="77777777"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Thời kỳ</w:t>
            </w:r>
          </w:p>
        </w:tc>
        <w:tc>
          <w:tcPr>
            <w:tcW w:w="1348" w:type="dxa"/>
            <w:vAlign w:val="center"/>
          </w:tcPr>
          <w:p w14:paraId="715DFFA7" w14:textId="731EEA41" w:rsidR="0003114E" w:rsidRPr="00E93BC5" w:rsidRDefault="00DC27A2"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03114E" w:rsidRPr="00E93BC5">
              <w:rPr>
                <w:rFonts w:ascii="Times New Roman" w:eastAsia="Times New Roman" w:hAnsi="Times New Roman"/>
                <w:b/>
                <w:sz w:val="24"/>
                <w:szCs w:val="24"/>
                <w:lang w:val="nl-NL"/>
              </w:rPr>
              <w:t>/202</w:t>
            </w:r>
            <w:r w:rsidR="003E41E5">
              <w:rPr>
                <w:rFonts w:ascii="Times New Roman" w:eastAsia="Times New Roman" w:hAnsi="Times New Roman"/>
                <w:b/>
                <w:sz w:val="24"/>
                <w:szCs w:val="24"/>
                <w:lang w:val="nl-NL"/>
              </w:rPr>
              <w:t>4</w:t>
            </w:r>
          </w:p>
          <w:p w14:paraId="3E25AC32" w14:textId="77777777"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348" w:type="dxa"/>
            <w:vAlign w:val="center"/>
          </w:tcPr>
          <w:p w14:paraId="64E9F279" w14:textId="1A8534B7" w:rsidR="0003114E" w:rsidRPr="00E93BC5" w:rsidRDefault="00DC27A2"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03114E" w:rsidRPr="00E93BC5">
              <w:rPr>
                <w:rFonts w:ascii="Times New Roman" w:eastAsia="Times New Roman" w:hAnsi="Times New Roman"/>
                <w:b/>
                <w:sz w:val="24"/>
                <w:szCs w:val="24"/>
                <w:lang w:val="nl-NL"/>
              </w:rPr>
              <w:t>/202</w:t>
            </w:r>
            <w:r w:rsidR="003E41E5">
              <w:rPr>
                <w:rFonts w:ascii="Times New Roman" w:eastAsia="Times New Roman" w:hAnsi="Times New Roman"/>
                <w:b/>
                <w:sz w:val="24"/>
                <w:szCs w:val="24"/>
                <w:lang w:val="nl-NL"/>
              </w:rPr>
              <w:t>3</w:t>
            </w:r>
          </w:p>
          <w:p w14:paraId="62BE2250" w14:textId="7E0802CA"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348" w:type="dxa"/>
            <w:vAlign w:val="center"/>
          </w:tcPr>
          <w:p w14:paraId="4255A9CF" w14:textId="65B72463" w:rsidR="0003114E" w:rsidRPr="00E93BC5" w:rsidRDefault="00DC27A2"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03114E" w:rsidRPr="00E93BC5">
              <w:rPr>
                <w:rFonts w:ascii="Times New Roman" w:eastAsia="Times New Roman" w:hAnsi="Times New Roman"/>
                <w:b/>
                <w:sz w:val="24"/>
                <w:szCs w:val="24"/>
                <w:lang w:val="nl-NL"/>
              </w:rPr>
              <w:t>/202</w:t>
            </w:r>
            <w:r w:rsidR="003E41E5">
              <w:rPr>
                <w:rFonts w:ascii="Times New Roman" w:eastAsia="Times New Roman" w:hAnsi="Times New Roman"/>
                <w:b/>
                <w:sz w:val="24"/>
                <w:szCs w:val="24"/>
                <w:lang w:val="nl-NL"/>
              </w:rPr>
              <w:t>2</w:t>
            </w:r>
          </w:p>
          <w:p w14:paraId="6BDF6B99" w14:textId="6B6036EC"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534" w:type="dxa"/>
            <w:vAlign w:val="center"/>
          </w:tcPr>
          <w:p w14:paraId="49F8F7EF" w14:textId="006DE92D" w:rsidR="0003114E" w:rsidRPr="00E93BC5" w:rsidRDefault="00DC27A2"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03114E" w:rsidRPr="00E93BC5">
              <w:rPr>
                <w:rFonts w:ascii="Times New Roman" w:eastAsia="Times New Roman" w:hAnsi="Times New Roman"/>
                <w:b/>
                <w:sz w:val="24"/>
                <w:szCs w:val="24"/>
                <w:lang w:val="nl-NL"/>
              </w:rPr>
              <w:t>/20</w:t>
            </w:r>
            <w:r w:rsidR="00C06888">
              <w:rPr>
                <w:rFonts w:ascii="Times New Roman" w:eastAsia="Times New Roman" w:hAnsi="Times New Roman"/>
                <w:b/>
                <w:sz w:val="24"/>
                <w:szCs w:val="24"/>
                <w:lang w:val="nl-NL"/>
              </w:rPr>
              <w:t>2</w:t>
            </w:r>
            <w:r w:rsidR="003E41E5">
              <w:rPr>
                <w:rFonts w:ascii="Times New Roman" w:eastAsia="Times New Roman" w:hAnsi="Times New Roman"/>
                <w:b/>
                <w:sz w:val="24"/>
                <w:szCs w:val="24"/>
                <w:lang w:val="nl-NL"/>
              </w:rPr>
              <w:t>1</w:t>
            </w:r>
          </w:p>
          <w:p w14:paraId="44B099B3" w14:textId="6F4C6C2E"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r>
      <w:tr w:rsidR="003E41E5" w:rsidRPr="00E93BC5" w14:paraId="40A2B000" w14:textId="77777777" w:rsidTr="00DD3934">
        <w:tc>
          <w:tcPr>
            <w:tcW w:w="4114" w:type="dxa"/>
          </w:tcPr>
          <w:p w14:paraId="523E3903" w14:textId="77777777" w:rsidR="003E41E5" w:rsidRPr="00E93BC5" w:rsidRDefault="003E41E5" w:rsidP="003E41E5">
            <w:pPr>
              <w:spacing w:before="120" w:line="360" w:lineRule="auto"/>
              <w:jc w:val="both"/>
              <w:rPr>
                <w:rFonts w:ascii="Times New Roman" w:hAnsi="Times New Roman"/>
                <w:b/>
                <w:sz w:val="24"/>
                <w:szCs w:val="24"/>
                <w:lang w:val="nl-NL"/>
              </w:rPr>
            </w:pPr>
            <w:r w:rsidRPr="00E93BC5">
              <w:rPr>
                <w:rFonts w:ascii="Times New Roman" w:eastAsia="Times New Roman" w:hAnsi="Times New Roman"/>
                <w:sz w:val="24"/>
                <w:szCs w:val="24"/>
                <w:lang w:val="nl-NL"/>
              </w:rPr>
              <w:t>Tỷ lệ tăng trưởng (%)/01 đơn vị CCQ</w:t>
            </w:r>
          </w:p>
        </w:tc>
        <w:tc>
          <w:tcPr>
            <w:tcW w:w="1348" w:type="dxa"/>
          </w:tcPr>
          <w:p w14:paraId="381DF6FD" w14:textId="3BEDE7F5" w:rsidR="003E41E5" w:rsidRPr="00E93BC5" w:rsidRDefault="003E41E5" w:rsidP="003E41E5">
            <w:pPr>
              <w:spacing w:before="120" w:line="360" w:lineRule="auto"/>
              <w:jc w:val="center"/>
              <w:rPr>
                <w:rFonts w:ascii="Times New Roman" w:hAnsi="Times New Roman"/>
                <w:sz w:val="24"/>
                <w:szCs w:val="24"/>
                <w:lang w:val="nl-NL"/>
              </w:rPr>
            </w:pPr>
            <w:r>
              <w:rPr>
                <w:rFonts w:ascii="Times New Roman" w:hAnsi="Times New Roman"/>
                <w:sz w:val="24"/>
                <w:szCs w:val="24"/>
                <w:lang w:val="nl-NL"/>
              </w:rPr>
              <w:t>6,17</w:t>
            </w:r>
          </w:p>
        </w:tc>
        <w:tc>
          <w:tcPr>
            <w:tcW w:w="1348" w:type="dxa"/>
          </w:tcPr>
          <w:p w14:paraId="70992C03" w14:textId="3DDCA73F" w:rsidR="003E41E5" w:rsidRPr="00E93BC5" w:rsidRDefault="003E41E5" w:rsidP="003E41E5">
            <w:pPr>
              <w:spacing w:before="120" w:line="360" w:lineRule="auto"/>
              <w:jc w:val="center"/>
              <w:rPr>
                <w:rFonts w:ascii="Times New Roman" w:hAnsi="Times New Roman"/>
                <w:sz w:val="24"/>
                <w:szCs w:val="24"/>
                <w:lang w:val="nl-NL"/>
              </w:rPr>
            </w:pPr>
            <w:r>
              <w:rPr>
                <w:rFonts w:ascii="Times New Roman" w:hAnsi="Times New Roman"/>
                <w:sz w:val="24"/>
                <w:szCs w:val="24"/>
                <w:lang w:val="nl-NL"/>
              </w:rPr>
              <w:t>5,40</w:t>
            </w:r>
          </w:p>
        </w:tc>
        <w:tc>
          <w:tcPr>
            <w:tcW w:w="1348" w:type="dxa"/>
          </w:tcPr>
          <w:p w14:paraId="3F3A62B4" w14:textId="55B61BFF" w:rsidR="003E41E5" w:rsidRPr="00E93BC5" w:rsidRDefault="003E41E5" w:rsidP="003E41E5">
            <w:pPr>
              <w:shd w:val="clear" w:color="auto" w:fill="FFFFFF"/>
              <w:tabs>
                <w:tab w:val="left" w:pos="540"/>
              </w:tabs>
              <w:spacing w:before="120"/>
              <w:jc w:val="center"/>
              <w:rPr>
                <w:rFonts w:ascii="Times New Roman" w:hAnsi="Times New Roman"/>
                <w:sz w:val="24"/>
                <w:szCs w:val="24"/>
                <w:lang w:val="nl-NL"/>
              </w:rPr>
            </w:pPr>
            <w:r w:rsidRPr="00132C7A">
              <w:rPr>
                <w:rFonts w:ascii="Times New Roman" w:hAnsi="Times New Roman"/>
                <w:sz w:val="24"/>
                <w:szCs w:val="24"/>
                <w:lang w:val="nl-NL"/>
              </w:rPr>
              <w:t>3,69</w:t>
            </w:r>
          </w:p>
        </w:tc>
        <w:tc>
          <w:tcPr>
            <w:tcW w:w="1534" w:type="dxa"/>
          </w:tcPr>
          <w:p w14:paraId="3DE977B8" w14:textId="76E73B1B" w:rsidR="003E41E5" w:rsidRPr="00E93BC5" w:rsidRDefault="003E41E5" w:rsidP="003E41E5">
            <w:pPr>
              <w:shd w:val="clear" w:color="auto" w:fill="FFFFFF"/>
              <w:tabs>
                <w:tab w:val="left" w:pos="540"/>
              </w:tabs>
              <w:spacing w:before="120"/>
              <w:jc w:val="center"/>
              <w:rPr>
                <w:rFonts w:ascii="Times New Roman" w:hAnsi="Times New Roman"/>
                <w:sz w:val="24"/>
                <w:szCs w:val="24"/>
                <w:lang w:val="nl-NL"/>
              </w:rPr>
            </w:pPr>
            <w:r w:rsidRPr="00132C7A">
              <w:rPr>
                <w:rFonts w:ascii="Times New Roman" w:hAnsi="Times New Roman"/>
                <w:sz w:val="24"/>
                <w:szCs w:val="24"/>
                <w:lang w:val="nl-NL"/>
              </w:rPr>
              <w:t>4,58</w:t>
            </w:r>
          </w:p>
        </w:tc>
      </w:tr>
    </w:tbl>
    <w:p w14:paraId="026F5225" w14:textId="349C2EBC" w:rsidR="006F77D6" w:rsidRPr="00EC3E69" w:rsidRDefault="001C4468" w:rsidP="00EC3E69">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E93BC5">
        <w:rPr>
          <w:rFonts w:ascii="Times New Roman" w:hAnsi="Times New Roman"/>
          <w:b/>
          <w:i/>
          <w:sz w:val="24"/>
          <w:szCs w:val="24"/>
          <w:u w:val="single"/>
          <w:lang w:val="nl-NL"/>
        </w:rPr>
        <w:t>Ghi chú:</w:t>
      </w:r>
    </w:p>
    <w:p w14:paraId="03AF0087" w14:textId="77777777" w:rsidR="006F77D6" w:rsidRPr="00E93BC5"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0034115C" w:rsidRPr="00E93BC5">
        <w:rPr>
          <w:rFonts w:ascii="Times New Roman" w:hAnsi="Times New Roman"/>
          <w:i/>
          <w:sz w:val="24"/>
          <w:szCs w:val="24"/>
          <w:lang w:val="nl-NL"/>
        </w:rPr>
        <w:t>(*</w:t>
      </w:r>
      <w:r w:rsidRPr="00E93BC5">
        <w:rPr>
          <w:rFonts w:ascii="Times New Roman" w:hAnsi="Times New Roman"/>
          <w:i/>
          <w:sz w:val="24"/>
          <w:szCs w:val="24"/>
          <w:lang w:val="nl-NL"/>
        </w:rPr>
        <w:t xml:space="preserve">): </w:t>
      </w:r>
      <w:r w:rsidR="004F5C05" w:rsidRPr="00E93BC5">
        <w:rPr>
          <w:rFonts w:ascii="Times New Roman" w:hAnsi="Times New Roman"/>
          <w:i/>
          <w:sz w:val="24"/>
          <w:szCs w:val="24"/>
          <w:lang w:val="nl-NL"/>
        </w:rPr>
        <w:tab/>
      </w:r>
      <w:r w:rsidRPr="00E93BC5">
        <w:rPr>
          <w:rFonts w:ascii="Times New Roman" w:hAnsi="Times New Roman"/>
          <w:i/>
          <w:sz w:val="24"/>
          <w:szCs w:val="24"/>
          <w:lang w:val="nl-NL"/>
        </w:rPr>
        <w:t>Chứng chỉ quỹ của Quỹ không được niêm yết trên thị trường chứng khoán</w:t>
      </w:r>
      <w:r w:rsidR="00332909" w:rsidRPr="00E93BC5">
        <w:rPr>
          <w:rFonts w:ascii="Times New Roman" w:hAnsi="Times New Roman"/>
          <w:i/>
          <w:sz w:val="24"/>
          <w:szCs w:val="24"/>
          <w:lang w:val="nl-NL"/>
        </w:rPr>
        <w:t>.</w:t>
      </w:r>
    </w:p>
    <w:p w14:paraId="6BB3FF87" w14:textId="77777777" w:rsidR="006F77D6" w:rsidRPr="00E93BC5"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Pr="00E93BC5">
        <w:rPr>
          <w:rFonts w:ascii="Times New Roman" w:hAnsi="Times New Roman"/>
          <w:i/>
          <w:sz w:val="24"/>
          <w:szCs w:val="24"/>
          <w:lang w:val="nl-NL"/>
        </w:rPr>
        <w:t>(</w:t>
      </w:r>
      <w:r w:rsidR="0034115C" w:rsidRPr="00E93BC5">
        <w:rPr>
          <w:rFonts w:ascii="Times New Roman" w:hAnsi="Times New Roman"/>
          <w:i/>
          <w:sz w:val="24"/>
          <w:szCs w:val="24"/>
          <w:lang w:val="nl-NL"/>
        </w:rPr>
        <w:t>**</w:t>
      </w:r>
      <w:r w:rsidR="0024670A" w:rsidRPr="00E93BC5">
        <w:rPr>
          <w:rFonts w:ascii="Times New Roman" w:hAnsi="Times New Roman"/>
          <w:i/>
          <w:sz w:val="24"/>
          <w:szCs w:val="24"/>
          <w:lang w:val="nl-NL"/>
        </w:rPr>
        <w:t xml:space="preserve">): </w:t>
      </w:r>
      <w:r w:rsidR="004F5C05" w:rsidRPr="00E93BC5">
        <w:rPr>
          <w:rFonts w:ascii="Times New Roman" w:hAnsi="Times New Roman"/>
          <w:i/>
          <w:sz w:val="24"/>
          <w:szCs w:val="24"/>
          <w:lang w:val="nl-NL"/>
        </w:rPr>
        <w:tab/>
      </w:r>
      <w:r w:rsidRPr="00E93BC5">
        <w:rPr>
          <w:rFonts w:ascii="Times New Roman" w:hAnsi="Times New Roman"/>
          <w:i/>
          <w:sz w:val="24"/>
          <w:szCs w:val="24"/>
          <w:lang w:val="nl-NL"/>
        </w:rPr>
        <w:t xml:space="preserve">Quỹ </w:t>
      </w:r>
      <w:r w:rsidR="0034115C" w:rsidRPr="00E93BC5">
        <w:rPr>
          <w:rFonts w:ascii="Times New Roman" w:hAnsi="Times New Roman"/>
          <w:i/>
          <w:sz w:val="24"/>
          <w:szCs w:val="24"/>
          <w:lang w:val="nl-NL"/>
        </w:rPr>
        <w:t>chưa</w:t>
      </w:r>
      <w:r w:rsidRPr="00E93BC5">
        <w:rPr>
          <w:rFonts w:ascii="Times New Roman" w:hAnsi="Times New Roman"/>
          <w:i/>
          <w:sz w:val="24"/>
          <w:szCs w:val="24"/>
          <w:lang w:val="nl-NL"/>
        </w:rPr>
        <w:t xml:space="preserve"> phân phối lợi nhuận.</w:t>
      </w:r>
    </w:p>
    <w:p w14:paraId="735ECF9F" w14:textId="7C58E06E" w:rsidR="006F77D6" w:rsidRPr="00E93BC5" w:rsidRDefault="0024670A"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E93BC5">
        <w:rPr>
          <w:rFonts w:ascii="Times New Roman" w:hAnsi="Times New Roman"/>
          <w:i/>
          <w:sz w:val="24"/>
          <w:szCs w:val="24"/>
          <w:lang w:val="nl-NL"/>
        </w:rPr>
        <w:t xml:space="preserve">(***): </w:t>
      </w:r>
      <w:r w:rsidR="004F5C05" w:rsidRPr="00E93BC5">
        <w:rPr>
          <w:rFonts w:ascii="Times New Roman" w:hAnsi="Times New Roman"/>
          <w:i/>
          <w:sz w:val="24"/>
          <w:szCs w:val="24"/>
          <w:lang w:val="nl-NL"/>
        </w:rPr>
        <w:tab/>
      </w:r>
      <w:r w:rsidR="0034115C" w:rsidRPr="00E93BC5">
        <w:rPr>
          <w:rFonts w:ascii="Times New Roman" w:hAnsi="Times New Roman"/>
          <w:i/>
          <w:sz w:val="24"/>
          <w:szCs w:val="24"/>
          <w:lang w:val="nl-NL"/>
        </w:rPr>
        <w:t>Quỹ áp dụng chỉ số tham chiếu</w:t>
      </w:r>
      <w:r w:rsidR="000769A6" w:rsidRPr="00E93BC5">
        <w:rPr>
          <w:rFonts w:ascii="Times New Roman" w:hAnsi="Times New Roman"/>
          <w:i/>
          <w:sz w:val="24"/>
          <w:szCs w:val="24"/>
          <w:lang w:val="nl-NL"/>
        </w:rPr>
        <w:t xml:space="preserve"> là Chỉ số Trái phiếu Chính phủ năm (05) năm của HNX </w:t>
      </w:r>
      <w:r w:rsidR="00D06993" w:rsidRPr="00E93BC5">
        <w:rPr>
          <w:rFonts w:ascii="Times New Roman" w:hAnsi="Times New Roman"/>
          <w:i/>
          <w:sz w:val="24"/>
          <w:szCs w:val="24"/>
          <w:lang w:val="nl-NL"/>
        </w:rPr>
        <w:t xml:space="preserve">   </w:t>
      </w:r>
      <w:r w:rsidR="00785B96" w:rsidRPr="00E93BC5">
        <w:rPr>
          <w:rFonts w:ascii="Times New Roman" w:hAnsi="Times New Roman"/>
          <w:i/>
          <w:sz w:val="24"/>
          <w:szCs w:val="24"/>
          <w:lang w:val="nl-NL"/>
        </w:rPr>
        <w:t xml:space="preserve">từ khi thành lập đến </w:t>
      </w:r>
      <w:r w:rsidR="00C15853" w:rsidRPr="00E93BC5">
        <w:rPr>
          <w:rFonts w:ascii="Times New Roman" w:hAnsi="Times New Roman"/>
          <w:i/>
          <w:sz w:val="24"/>
          <w:szCs w:val="24"/>
          <w:lang w:val="nl-NL"/>
        </w:rPr>
        <w:t>thời điểm báo cáo</w:t>
      </w:r>
      <w:r w:rsidR="00C8278D" w:rsidRPr="00E93BC5">
        <w:rPr>
          <w:rFonts w:ascii="Times New Roman" w:hAnsi="Times New Roman"/>
          <w:i/>
          <w:sz w:val="24"/>
          <w:szCs w:val="24"/>
          <w:lang w:val="nl-NL"/>
        </w:rPr>
        <w:t>.</w:t>
      </w:r>
    </w:p>
    <w:p w14:paraId="78A6CDC6" w14:textId="77777777" w:rsidR="00AB6DCF" w:rsidRPr="00E93BC5" w:rsidRDefault="00AB6DCF"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175005EB" w14:textId="65576E45" w:rsidR="001C4468"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III. </w:t>
      </w:r>
      <w:r w:rsidR="00B953F5" w:rsidRPr="00E93BC5">
        <w:rPr>
          <w:rFonts w:ascii="Times New Roman" w:hAnsi="Times New Roman"/>
          <w:b/>
          <w:sz w:val="24"/>
          <w:szCs w:val="24"/>
          <w:lang w:val="nl-NL"/>
        </w:rPr>
        <w:tab/>
      </w:r>
      <w:bookmarkStart w:id="0" w:name="_Hlk37245109"/>
      <w:r w:rsidRPr="00E93BC5">
        <w:rPr>
          <w:rFonts w:ascii="Times New Roman" w:hAnsi="Times New Roman"/>
          <w:b/>
          <w:sz w:val="24"/>
          <w:szCs w:val="24"/>
          <w:lang w:val="nl-NL"/>
        </w:rPr>
        <w:t>M</w:t>
      </w:r>
      <w:r w:rsidR="00B953F5" w:rsidRPr="00E93BC5">
        <w:rPr>
          <w:rFonts w:ascii="Times New Roman" w:hAnsi="Times New Roman"/>
          <w:b/>
          <w:sz w:val="24"/>
          <w:szCs w:val="24"/>
          <w:lang w:val="nl-NL"/>
        </w:rPr>
        <w:t>Ô TẢ THỊ TRƯỜNG TRONG KỲ</w:t>
      </w:r>
    </w:p>
    <w:bookmarkEnd w:id="0"/>
    <w:p w14:paraId="6125E8F0" w14:textId="77777777" w:rsidR="00C25079" w:rsidRPr="008E63E3" w:rsidRDefault="00C25079" w:rsidP="00C25079">
      <w:pPr>
        <w:pStyle w:val="ListParagraph"/>
        <w:numPr>
          <w:ilvl w:val="0"/>
          <w:numId w:val="4"/>
        </w:numPr>
        <w:shd w:val="clear" w:color="auto" w:fill="FFFFFF"/>
        <w:tabs>
          <w:tab w:val="left" w:pos="540"/>
        </w:tabs>
        <w:spacing w:before="120" w:after="0" w:line="240" w:lineRule="auto"/>
        <w:ind w:left="630" w:hanging="630"/>
        <w:jc w:val="both"/>
        <w:rPr>
          <w:rFonts w:ascii="Times New Roman" w:hAnsi="Times New Roman"/>
          <w:b/>
          <w:sz w:val="24"/>
          <w:szCs w:val="24"/>
          <w:lang w:val="nl-NL"/>
        </w:rPr>
      </w:pPr>
      <w:r w:rsidRPr="008E63E3">
        <w:rPr>
          <w:rFonts w:ascii="Times New Roman" w:hAnsi="Times New Roman"/>
          <w:b/>
          <w:sz w:val="24"/>
          <w:szCs w:val="24"/>
          <w:lang w:val="nl-NL"/>
        </w:rPr>
        <w:t>Kinh tế Vĩ mô:</w:t>
      </w:r>
    </w:p>
    <w:p w14:paraId="066616EF" w14:textId="77777777" w:rsidR="00C25079" w:rsidRPr="008E63E3" w:rsidRDefault="00C25079" w:rsidP="00C25079">
      <w:pPr>
        <w:shd w:val="clear" w:color="auto" w:fill="FFFFFF"/>
        <w:tabs>
          <w:tab w:val="left" w:pos="426"/>
        </w:tabs>
        <w:spacing w:before="120" w:after="0" w:line="240" w:lineRule="auto"/>
        <w:jc w:val="both"/>
        <w:rPr>
          <w:rFonts w:ascii="Times New Roman" w:eastAsia="Times New Roman" w:hAnsi="Times New Roman"/>
          <w:b/>
          <w:bCs/>
          <w:sz w:val="24"/>
          <w:szCs w:val="24"/>
          <w:lang w:val="nl-NL"/>
        </w:rPr>
      </w:pPr>
      <w:r w:rsidRPr="008E63E3">
        <w:rPr>
          <w:rFonts w:ascii="Times New Roman" w:eastAsia="Times New Roman" w:hAnsi="Times New Roman"/>
          <w:b/>
          <w:bCs/>
          <w:sz w:val="24"/>
          <w:szCs w:val="24"/>
          <w:lang w:val="nl-NL"/>
        </w:rPr>
        <w:t>Tổng sản phẩm trong nước (GDP)</w:t>
      </w:r>
    </w:p>
    <w:p w14:paraId="158A76D7" w14:textId="77777777" w:rsidR="00C25079" w:rsidRPr="00993BF2" w:rsidRDefault="00C25079" w:rsidP="00C25079">
      <w:pPr>
        <w:shd w:val="clear" w:color="auto" w:fill="FFFFFF"/>
        <w:tabs>
          <w:tab w:val="left" w:pos="426"/>
        </w:tabs>
        <w:spacing w:before="120" w:after="0" w:line="240" w:lineRule="auto"/>
        <w:jc w:val="both"/>
        <w:rPr>
          <w:rFonts w:ascii="Times New Roman" w:hAnsi="Times New Roman"/>
          <w:bCs/>
          <w:sz w:val="24"/>
          <w:szCs w:val="24"/>
          <w:lang w:val="nl-NL"/>
        </w:rPr>
      </w:pPr>
      <w:r w:rsidRPr="00993BF2">
        <w:rPr>
          <w:rFonts w:ascii="Times New Roman" w:hAnsi="Times New Roman"/>
          <w:bCs/>
          <w:sz w:val="24"/>
          <w:szCs w:val="24"/>
          <w:lang w:val="nl-NL"/>
        </w:rPr>
        <w:t>GDP 6 tháng đầu năm 2024 tăng 6,42%, chỉ thấp hơn tốc độ tăng 6,58% của sáu tháng đầu năm 2022 trong giai đoạn 2020-2024. Trong mức tăng tổng giá trị tăng thêm của toàn nền kinh tế, khu vực nông, lâm nghiệp và thủy sản tăng 3,38%, đóng góp 5,96%; khu vực công nghiệp và xây dựng tăng 7,51%, đóng góp 44,28%; khu vực dịch vụ tăng 6,64%, đóng góp 49,76%.</w:t>
      </w:r>
      <w:r>
        <w:rPr>
          <w:rFonts w:ascii="Times New Roman" w:hAnsi="Times New Roman"/>
          <w:bCs/>
          <w:sz w:val="24"/>
          <w:szCs w:val="24"/>
          <w:lang w:val="nl-NL"/>
        </w:rPr>
        <w:t xml:space="preserve"> </w:t>
      </w:r>
      <w:r w:rsidRPr="00993BF2">
        <w:rPr>
          <w:rFonts w:ascii="Times New Roman" w:hAnsi="Times New Roman"/>
          <w:bCs/>
          <w:sz w:val="24"/>
          <w:szCs w:val="24"/>
          <w:lang w:val="nl-NL"/>
        </w:rPr>
        <w:t>Về cơ cấu nền kinh tế sáu tháng đầu năm 2024, khu vực nông, lâm nghiệp và thủy sản chiếm tỷ trọng 11,55%; khu vực công nghiệp và xây dựng chiếm 36,44%; khu vực dịch vụ chiếm 43,35%; thuế sản phẩm trừ trợ cấp sản phẩm chiếm 8,66% (Cơ cấu tương ứng của cùng kỳ năm 2023 là 11,64%; 36,46%; 43,10%; 8,80%).</w:t>
      </w:r>
    </w:p>
    <w:p w14:paraId="7BFDC96E" w14:textId="77777777" w:rsidR="00C25079" w:rsidRDefault="00C25079" w:rsidP="00C25079">
      <w:pPr>
        <w:pStyle w:val="ListParagraph"/>
        <w:numPr>
          <w:ilvl w:val="0"/>
          <w:numId w:val="20"/>
        </w:numPr>
        <w:shd w:val="clear" w:color="auto" w:fill="FFFFFF"/>
        <w:tabs>
          <w:tab w:val="left" w:pos="426"/>
        </w:tabs>
        <w:spacing w:before="120" w:after="0" w:line="240" w:lineRule="auto"/>
        <w:jc w:val="both"/>
        <w:rPr>
          <w:rFonts w:ascii="Times New Roman" w:hAnsi="Times New Roman"/>
          <w:bCs/>
          <w:sz w:val="24"/>
          <w:szCs w:val="24"/>
          <w:lang w:val="nl-NL"/>
        </w:rPr>
      </w:pPr>
      <w:r w:rsidRPr="00D37F53">
        <w:rPr>
          <w:rFonts w:ascii="Times New Roman" w:hAnsi="Times New Roman"/>
          <w:bCs/>
          <w:sz w:val="24"/>
          <w:szCs w:val="24"/>
          <w:lang w:val="nl-NL"/>
        </w:rPr>
        <w:t>Trong khu vực nông, lâm nghiệp và thủy sản, ngành nông nghiệp duy trì tăng trưởng ổn định, sản lượng một số cây lâu năm chủ yếu tăng so với cùng kỳ năm trước, nuôi trồng thủy sản tăng khá. Giá trị tăng thêm ngành nông nghiệp sáu tháng đầu năm 2024 tăng 3,15% so với cùng kỳ năm trước, đóng góp 0,27 điểm phần trăm vào mức tăng tổng giá trị tăng thêm của toàn nền kinh tế; ngành lâm nghiệp tăng 5,34% nhưng chiếm tỷ trọng thấp nên chỉ đóng góp 0,03 điểm phần trăm; ngành thủy sản tăng 3,76%, đóng góp 0,09 điểm phần trăm.</w:t>
      </w:r>
    </w:p>
    <w:p w14:paraId="52256B0F" w14:textId="77777777" w:rsidR="00C25079" w:rsidRPr="00333B53" w:rsidRDefault="00C25079" w:rsidP="00C25079">
      <w:pPr>
        <w:pStyle w:val="ListParagraph"/>
        <w:numPr>
          <w:ilvl w:val="0"/>
          <w:numId w:val="20"/>
        </w:numPr>
        <w:shd w:val="clear" w:color="auto" w:fill="FFFFFF"/>
        <w:tabs>
          <w:tab w:val="left" w:pos="426"/>
        </w:tabs>
        <w:spacing w:before="120" w:after="0" w:line="240" w:lineRule="auto"/>
        <w:jc w:val="both"/>
        <w:rPr>
          <w:rFonts w:ascii="Times New Roman" w:hAnsi="Times New Roman"/>
          <w:bCs/>
          <w:sz w:val="24"/>
          <w:szCs w:val="24"/>
          <w:lang w:val="nl-NL"/>
        </w:rPr>
      </w:pPr>
      <w:r>
        <w:rPr>
          <w:rFonts w:ascii="Times New Roman" w:hAnsi="Times New Roman"/>
          <w:bCs/>
          <w:sz w:val="24"/>
          <w:szCs w:val="24"/>
          <w:lang w:val="nl-NL"/>
        </w:rPr>
        <w:t>K</w:t>
      </w:r>
      <w:r w:rsidRPr="00333B53">
        <w:rPr>
          <w:rFonts w:ascii="Times New Roman" w:hAnsi="Times New Roman"/>
          <w:bCs/>
          <w:sz w:val="24"/>
          <w:szCs w:val="24"/>
          <w:lang w:val="nl-NL"/>
        </w:rPr>
        <w:t xml:space="preserve">hu vực công nghiệp và xây dựng, ngành công nghiệp duy trì đà tăng trưởng, một số sản phẩm công nghiệp chủ lực tăng khá, đáp ứng nhu cầu đơn hàng mới của doanh nghiệp. Giá trị tăng thêm toàn ngành công nghiệp sáu tháng đầu năm 2024 tăng 7,54% so với cùng kỳ năm trước, </w:t>
      </w:r>
      <w:r w:rsidRPr="00333B53">
        <w:rPr>
          <w:rFonts w:ascii="Times New Roman" w:hAnsi="Times New Roman"/>
          <w:bCs/>
          <w:sz w:val="24"/>
          <w:szCs w:val="24"/>
          <w:lang w:val="nl-NL"/>
        </w:rPr>
        <w:lastRenderedPageBreak/>
        <w:t xml:space="preserve">chỉ thấp hơn mức tăng 8,32% của cùng kỳ năm 2022 trong giai đoạn 2020-2024, đóng góp 2,44% vào tốc độ tăng tổng giá trị tăng thêm toàn nền kinh tế. </w:t>
      </w:r>
    </w:p>
    <w:p w14:paraId="00890016" w14:textId="77777777" w:rsidR="00C25079" w:rsidRPr="00333B53" w:rsidRDefault="00C25079" w:rsidP="00C25079">
      <w:pPr>
        <w:pStyle w:val="ListParagraph"/>
        <w:numPr>
          <w:ilvl w:val="0"/>
          <w:numId w:val="20"/>
        </w:numPr>
        <w:shd w:val="clear" w:color="auto" w:fill="FFFFFF"/>
        <w:tabs>
          <w:tab w:val="left" w:pos="426"/>
        </w:tabs>
        <w:spacing w:before="120" w:after="0" w:line="240" w:lineRule="auto"/>
        <w:jc w:val="both"/>
        <w:rPr>
          <w:rFonts w:ascii="Times New Roman" w:hAnsi="Times New Roman"/>
          <w:bCs/>
          <w:sz w:val="24"/>
          <w:szCs w:val="24"/>
          <w:lang w:val="nl-NL"/>
        </w:rPr>
      </w:pPr>
      <w:r w:rsidRPr="00333B53">
        <w:rPr>
          <w:rFonts w:ascii="Times New Roman" w:hAnsi="Times New Roman"/>
          <w:bCs/>
          <w:sz w:val="24"/>
          <w:szCs w:val="24"/>
          <w:lang w:val="nl-NL"/>
        </w:rPr>
        <w:t>Khu vực dịch vụ, xuất khẩu tăng cao theo xu hướng phục hồi nhu cầu tiêu dùng thế giới, đóng góp tích cực vào tăng trưởng kinh tế. Đóng góp của một số ngành có tỷ trọng lớn vào mức tăng tổng giá trị tăng thêm toàn nền kinh tế bao gồm Bán buôn và bán lẻ tăng 7,34% so với cùng kỳ năm trước, đóng góp 0,79%; ngành vận tải, kho bãi tăng 11,02%, đóng góp 0,73%; hoạt động tài chính, ngân hàng và bảo hiểm tăng 5,18%, đóng góp 0,30%; dịch vụ lưu trú và ăn uống tăng 9,94%, đóng góp 0,27%.</w:t>
      </w:r>
    </w:p>
    <w:p w14:paraId="22D4F31B" w14:textId="16289BEA" w:rsidR="00C25079" w:rsidRPr="00333B53" w:rsidRDefault="00C25079" w:rsidP="00C25079">
      <w:pPr>
        <w:shd w:val="clear" w:color="auto" w:fill="FFFFFF"/>
        <w:tabs>
          <w:tab w:val="left" w:pos="426"/>
        </w:tabs>
        <w:spacing w:before="120" w:after="0" w:line="240" w:lineRule="auto"/>
        <w:jc w:val="both"/>
        <w:rPr>
          <w:rFonts w:ascii="Times New Roman" w:hAnsi="Times New Roman"/>
          <w:bCs/>
          <w:sz w:val="24"/>
          <w:szCs w:val="24"/>
          <w:lang w:val="nl-NL"/>
        </w:rPr>
      </w:pPr>
      <w:r>
        <w:rPr>
          <w:rFonts w:ascii="Times New Roman" w:hAnsi="Times New Roman"/>
          <w:bCs/>
          <w:sz w:val="24"/>
          <w:szCs w:val="24"/>
          <w:lang w:val="nl-NL"/>
        </w:rPr>
        <w:t>M</w:t>
      </w:r>
      <w:r w:rsidRPr="00333B53">
        <w:rPr>
          <w:rFonts w:ascii="Times New Roman" w:hAnsi="Times New Roman"/>
          <w:bCs/>
          <w:sz w:val="24"/>
          <w:szCs w:val="24"/>
          <w:lang w:val="nl-NL"/>
        </w:rPr>
        <w:t>ặc dù tăng trưởng GDP nửa đầu năm tích cực nhưng tình hình kinh tế vẫn còn khó khăn khi số doanh nghiệp tạm ngừng kinh doanh tăng 18</w:t>
      </w:r>
      <w:r w:rsidR="00AA43CC">
        <w:rPr>
          <w:rFonts w:ascii="Times New Roman" w:hAnsi="Times New Roman"/>
          <w:bCs/>
          <w:sz w:val="24"/>
          <w:szCs w:val="24"/>
          <w:lang w:val="nl-NL"/>
        </w:rPr>
        <w:t>,</w:t>
      </w:r>
      <w:r w:rsidRPr="00333B53">
        <w:rPr>
          <w:rFonts w:ascii="Times New Roman" w:hAnsi="Times New Roman"/>
          <w:bCs/>
          <w:sz w:val="24"/>
          <w:szCs w:val="24"/>
          <w:lang w:val="nl-NL"/>
        </w:rPr>
        <w:t>6% so</w:t>
      </w:r>
      <w:r>
        <w:rPr>
          <w:rFonts w:ascii="Times New Roman" w:hAnsi="Times New Roman"/>
          <w:bCs/>
          <w:sz w:val="24"/>
          <w:szCs w:val="24"/>
          <w:lang w:val="nl-NL"/>
        </w:rPr>
        <w:t xml:space="preserve"> </w:t>
      </w:r>
      <w:r w:rsidRPr="00333B53">
        <w:rPr>
          <w:rFonts w:ascii="Times New Roman" w:hAnsi="Times New Roman"/>
          <w:bCs/>
          <w:sz w:val="24"/>
          <w:szCs w:val="24"/>
          <w:lang w:val="nl-NL"/>
        </w:rPr>
        <w:t>với cùng kỳ, trong khi số doanh nghiệp đăng ký thành lập mới chỉ tăng 6</w:t>
      </w:r>
      <w:r w:rsidR="00AA43CC">
        <w:rPr>
          <w:rFonts w:ascii="Times New Roman" w:hAnsi="Times New Roman"/>
          <w:bCs/>
          <w:sz w:val="24"/>
          <w:szCs w:val="24"/>
          <w:lang w:val="nl-NL"/>
        </w:rPr>
        <w:t>,</w:t>
      </w:r>
      <w:r w:rsidRPr="00333B53">
        <w:rPr>
          <w:rFonts w:ascii="Times New Roman" w:hAnsi="Times New Roman"/>
          <w:bCs/>
          <w:sz w:val="24"/>
          <w:szCs w:val="24"/>
          <w:lang w:val="nl-NL"/>
        </w:rPr>
        <w:t xml:space="preserve">1%. Bên cạnh đó, tăng trưởng tín dụng </w:t>
      </w:r>
      <w:r>
        <w:rPr>
          <w:rFonts w:ascii="Times New Roman" w:hAnsi="Times New Roman"/>
          <w:bCs/>
          <w:sz w:val="24"/>
          <w:szCs w:val="24"/>
          <w:lang w:val="nl-NL"/>
        </w:rPr>
        <w:t>từ đầu năm tới giữa tháng 6</w:t>
      </w:r>
      <w:r w:rsidRPr="00333B53">
        <w:rPr>
          <w:rFonts w:ascii="Times New Roman" w:hAnsi="Times New Roman"/>
          <w:bCs/>
          <w:sz w:val="24"/>
          <w:szCs w:val="24"/>
          <w:lang w:val="nl-NL"/>
        </w:rPr>
        <w:t xml:space="preserve"> cũng chỉ ở mức gần 4</w:t>
      </w:r>
      <w:r w:rsidR="00AA43CC">
        <w:rPr>
          <w:rFonts w:ascii="Times New Roman" w:hAnsi="Times New Roman"/>
          <w:bCs/>
          <w:sz w:val="24"/>
          <w:szCs w:val="24"/>
          <w:lang w:val="nl-NL"/>
        </w:rPr>
        <w:t>,</w:t>
      </w:r>
      <w:r w:rsidRPr="00333B53">
        <w:rPr>
          <w:rFonts w:ascii="Times New Roman" w:hAnsi="Times New Roman"/>
          <w:bCs/>
          <w:sz w:val="24"/>
          <w:szCs w:val="24"/>
          <w:lang w:val="nl-NL"/>
        </w:rPr>
        <w:t>5% và</w:t>
      </w:r>
      <w:r>
        <w:rPr>
          <w:rFonts w:ascii="Times New Roman" w:hAnsi="Times New Roman"/>
          <w:bCs/>
          <w:sz w:val="24"/>
          <w:szCs w:val="24"/>
          <w:lang w:val="nl-NL"/>
        </w:rPr>
        <w:t xml:space="preserve"> </w:t>
      </w:r>
      <w:r w:rsidRPr="00333B53">
        <w:rPr>
          <w:rFonts w:ascii="Times New Roman" w:hAnsi="Times New Roman"/>
          <w:bCs/>
          <w:sz w:val="24"/>
          <w:szCs w:val="24"/>
          <w:lang w:val="nl-NL"/>
        </w:rPr>
        <w:t>giải ngân đầu tư công mới đạt khoảng 30% kế hoạch của Thủ tướng giao cả năm.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C25079" w:rsidRPr="00D16A4F" w14:paraId="4ED285A2" w14:textId="77777777" w:rsidTr="00FE7DC7">
        <w:trPr>
          <w:trHeight w:val="504"/>
          <w:jc w:val="center"/>
        </w:trPr>
        <w:tc>
          <w:tcPr>
            <w:tcW w:w="9900" w:type="dxa"/>
            <w:tcBorders>
              <w:bottom w:val="single" w:sz="4" w:space="0" w:color="auto"/>
            </w:tcBorders>
          </w:tcPr>
          <w:p w14:paraId="5E7F259B" w14:textId="77777777" w:rsidR="00C25079" w:rsidRPr="00F54FAC" w:rsidRDefault="00C25079" w:rsidP="00FE7DC7">
            <w:pPr>
              <w:tabs>
                <w:tab w:val="left" w:pos="426"/>
              </w:tabs>
              <w:spacing w:before="120" w:line="360" w:lineRule="auto"/>
              <w:jc w:val="both"/>
              <w:rPr>
                <w:rFonts w:ascii="Times New Roman" w:hAnsi="Times New Roman"/>
                <w:b/>
                <w:sz w:val="22"/>
                <w:szCs w:val="22"/>
                <w:highlight w:val="yellow"/>
                <w:lang w:val="nl-NL"/>
              </w:rPr>
            </w:pPr>
            <w:r w:rsidRPr="008E63E3">
              <w:rPr>
                <w:rFonts w:ascii="Times New Roman" w:hAnsi="Times New Roman"/>
                <w:b/>
                <w:sz w:val="22"/>
                <w:szCs w:val="22"/>
                <w:lang w:val="nl-NL"/>
              </w:rPr>
              <w:t xml:space="preserve">Hình 1: Tăng trưởng GDP theo </w:t>
            </w:r>
            <w:r>
              <w:rPr>
                <w:rFonts w:ascii="Times New Roman" w:hAnsi="Times New Roman"/>
                <w:b/>
                <w:sz w:val="22"/>
                <w:szCs w:val="22"/>
                <w:lang w:val="nl-NL"/>
              </w:rPr>
              <w:t>Quý</w:t>
            </w:r>
            <w:r w:rsidRPr="008E63E3">
              <w:rPr>
                <w:rFonts w:ascii="Times New Roman" w:hAnsi="Times New Roman"/>
                <w:b/>
                <w:sz w:val="22"/>
                <w:szCs w:val="22"/>
                <w:lang w:val="nl-NL"/>
              </w:rPr>
              <w:t xml:space="preserve"> qua các năm</w:t>
            </w:r>
          </w:p>
        </w:tc>
      </w:tr>
      <w:tr w:rsidR="00C25079" w:rsidRPr="00F54FAC" w14:paraId="078E6611" w14:textId="77777777" w:rsidTr="00FE7DC7">
        <w:trPr>
          <w:trHeight w:val="4427"/>
          <w:jc w:val="center"/>
        </w:trPr>
        <w:tc>
          <w:tcPr>
            <w:tcW w:w="9900" w:type="dxa"/>
            <w:tcBorders>
              <w:top w:val="single" w:sz="4" w:space="0" w:color="auto"/>
              <w:bottom w:val="single" w:sz="4" w:space="0" w:color="auto"/>
            </w:tcBorders>
          </w:tcPr>
          <w:p w14:paraId="7D5D8398" w14:textId="77777777" w:rsidR="00C25079" w:rsidRPr="00F54FAC" w:rsidRDefault="00C25079" w:rsidP="00FE7DC7">
            <w:pPr>
              <w:tabs>
                <w:tab w:val="left" w:pos="426"/>
              </w:tabs>
              <w:spacing w:before="120" w:line="360" w:lineRule="auto"/>
              <w:jc w:val="center"/>
              <w:rPr>
                <w:rFonts w:ascii="Times New Roman" w:hAnsi="Times New Roman"/>
                <w:bCs/>
                <w:sz w:val="22"/>
                <w:szCs w:val="22"/>
                <w:highlight w:val="yellow"/>
                <w:lang w:val="nl-NL"/>
              </w:rPr>
            </w:pPr>
            <w:r>
              <w:rPr>
                <w:rFonts w:ascii="Times New Roman" w:hAnsi="Times New Roman"/>
                <w:bCs/>
                <w:noProof/>
                <w:highlight w:val="yellow"/>
                <w:lang w:val="nl-NL"/>
              </w:rPr>
              <w:drawing>
                <wp:inline distT="0" distB="0" distL="0" distR="0" wp14:anchorId="175EA8D4" wp14:editId="257F97F2">
                  <wp:extent cx="6192956" cy="3307743"/>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1568" cy="3339049"/>
                          </a:xfrm>
                          <a:prstGeom prst="rect">
                            <a:avLst/>
                          </a:prstGeom>
                          <a:noFill/>
                        </pic:spPr>
                      </pic:pic>
                    </a:graphicData>
                  </a:graphic>
                </wp:inline>
              </w:drawing>
            </w:r>
          </w:p>
        </w:tc>
      </w:tr>
      <w:tr w:rsidR="00C25079" w:rsidRPr="0045632C" w14:paraId="5EF77C63" w14:textId="77777777" w:rsidTr="00FE7DC7">
        <w:trPr>
          <w:trHeight w:val="474"/>
          <w:jc w:val="center"/>
        </w:trPr>
        <w:tc>
          <w:tcPr>
            <w:tcW w:w="9900" w:type="dxa"/>
            <w:tcBorders>
              <w:top w:val="single" w:sz="4" w:space="0" w:color="auto"/>
            </w:tcBorders>
          </w:tcPr>
          <w:p w14:paraId="7CEE59C9" w14:textId="77777777" w:rsidR="00C25079" w:rsidRPr="0045632C" w:rsidRDefault="00C25079" w:rsidP="00FE7DC7">
            <w:pPr>
              <w:tabs>
                <w:tab w:val="left" w:pos="426"/>
              </w:tabs>
              <w:spacing w:before="120"/>
              <w:jc w:val="both"/>
              <w:rPr>
                <w:rFonts w:ascii="Times New Roman" w:hAnsi="Times New Roman"/>
                <w:bCs/>
                <w:i/>
                <w:iCs/>
                <w:lang w:val="nl-NL"/>
              </w:rPr>
            </w:pPr>
            <w:r w:rsidRPr="0045632C">
              <w:rPr>
                <w:rFonts w:ascii="Times New Roman" w:hAnsi="Times New Roman"/>
                <w:bCs/>
                <w:i/>
                <w:iCs/>
                <w:lang w:val="nl-NL"/>
              </w:rPr>
              <w:t>Nguồn: Tổng Cục Thống Kê</w:t>
            </w:r>
          </w:p>
        </w:tc>
      </w:tr>
    </w:tbl>
    <w:p w14:paraId="576BD248" w14:textId="77777777" w:rsidR="00C25079" w:rsidRPr="0045632C" w:rsidRDefault="00C25079" w:rsidP="00C25079">
      <w:pPr>
        <w:shd w:val="clear" w:color="auto" w:fill="FFFFFF"/>
        <w:tabs>
          <w:tab w:val="left" w:pos="426"/>
        </w:tabs>
        <w:spacing w:after="120" w:line="240" w:lineRule="auto"/>
        <w:jc w:val="both"/>
        <w:rPr>
          <w:rFonts w:ascii="Times New Roman" w:eastAsia="Times New Roman" w:hAnsi="Times New Roman"/>
          <w:b/>
          <w:bCs/>
          <w:sz w:val="24"/>
          <w:szCs w:val="24"/>
          <w:lang w:val="nl-NL"/>
        </w:rPr>
      </w:pPr>
      <w:r w:rsidRPr="0045632C">
        <w:rPr>
          <w:rFonts w:ascii="Times New Roman" w:eastAsia="Times New Roman" w:hAnsi="Times New Roman"/>
          <w:b/>
          <w:bCs/>
          <w:sz w:val="24"/>
          <w:szCs w:val="24"/>
          <w:lang w:val="nl-NL"/>
        </w:rPr>
        <w:t>Lạm</w:t>
      </w:r>
      <w:r w:rsidRPr="0045632C">
        <w:rPr>
          <w:rFonts w:ascii="Times New Roman" w:hAnsi="Times New Roman"/>
          <w:b/>
          <w:sz w:val="24"/>
          <w:szCs w:val="24"/>
          <w:lang w:val="nl-NL"/>
        </w:rPr>
        <w:t xml:space="preserve"> </w:t>
      </w:r>
      <w:r w:rsidRPr="0045632C">
        <w:rPr>
          <w:rFonts w:ascii="Times New Roman" w:eastAsia="Times New Roman" w:hAnsi="Times New Roman"/>
          <w:b/>
          <w:bCs/>
          <w:sz w:val="24"/>
          <w:szCs w:val="24"/>
          <w:lang w:val="nl-NL"/>
        </w:rPr>
        <w:t>phát</w:t>
      </w:r>
    </w:p>
    <w:p w14:paraId="5E6EF8B5" w14:textId="0E96BF28" w:rsidR="00C25079" w:rsidRDefault="00C25079" w:rsidP="00C25079">
      <w:pPr>
        <w:spacing w:after="120"/>
        <w:jc w:val="both"/>
        <w:rPr>
          <w:rFonts w:ascii="Times New Roman" w:hAnsi="Times New Roman"/>
          <w:sz w:val="24"/>
          <w:szCs w:val="24"/>
          <w:lang w:val="nl-NL"/>
        </w:rPr>
      </w:pPr>
      <w:r w:rsidRPr="00031ACD">
        <w:rPr>
          <w:rFonts w:ascii="Times New Roman" w:hAnsi="Times New Roman"/>
          <w:sz w:val="24"/>
          <w:szCs w:val="24"/>
          <w:lang w:val="nl-NL"/>
        </w:rPr>
        <w:t xml:space="preserve">Tính chung </w:t>
      </w:r>
      <w:r>
        <w:rPr>
          <w:rFonts w:ascii="Times New Roman" w:hAnsi="Times New Roman"/>
          <w:sz w:val="24"/>
          <w:szCs w:val="24"/>
          <w:lang w:val="nl-NL"/>
        </w:rPr>
        <w:t>6</w:t>
      </w:r>
      <w:r w:rsidRPr="00031ACD">
        <w:rPr>
          <w:rFonts w:ascii="Times New Roman" w:hAnsi="Times New Roman"/>
          <w:sz w:val="24"/>
          <w:szCs w:val="24"/>
          <w:lang w:val="nl-NL"/>
        </w:rPr>
        <w:t xml:space="preserve"> tháng đầu năm 2024, CPI tăng 4,08% so với cùng kỳ năm trước; lạm phát cơ bản tăng 2,75%.</w:t>
      </w:r>
      <w:r>
        <w:rPr>
          <w:rFonts w:ascii="Times New Roman" w:hAnsi="Times New Roman"/>
          <w:sz w:val="24"/>
          <w:szCs w:val="24"/>
          <w:lang w:val="nl-NL"/>
        </w:rPr>
        <w:t xml:space="preserve"> </w:t>
      </w:r>
      <w:r w:rsidRPr="00D47E0B">
        <w:rPr>
          <w:rFonts w:ascii="Times New Roman" w:hAnsi="Times New Roman"/>
          <w:sz w:val="24"/>
          <w:szCs w:val="24"/>
          <w:lang w:val="nl-NL"/>
        </w:rPr>
        <w:t>Trong nửa đầu năm 2024, tỷ lệ lạm phát trung bình vẫn duy trì ở mức</w:t>
      </w:r>
      <w:r>
        <w:rPr>
          <w:rFonts w:ascii="Times New Roman" w:hAnsi="Times New Roman"/>
          <w:sz w:val="24"/>
          <w:szCs w:val="24"/>
          <w:lang w:val="nl-NL"/>
        </w:rPr>
        <w:t xml:space="preserve"> ổn định</w:t>
      </w:r>
      <w:r w:rsidRPr="00D47E0B">
        <w:rPr>
          <w:rFonts w:ascii="Times New Roman" w:hAnsi="Times New Roman"/>
          <w:sz w:val="24"/>
          <w:szCs w:val="24"/>
          <w:lang w:val="nl-NL"/>
        </w:rPr>
        <w:t>, mặc dù giá thực phẩm và dịch vụ nhà ở tăng cao. Điều này phản ánh s</w:t>
      </w:r>
      <w:r>
        <w:rPr>
          <w:rFonts w:ascii="Times New Roman" w:hAnsi="Times New Roman"/>
          <w:sz w:val="24"/>
          <w:szCs w:val="24"/>
          <w:lang w:val="nl-NL"/>
        </w:rPr>
        <w:t xml:space="preserve">ức cầu yếu </w:t>
      </w:r>
      <w:r w:rsidRPr="00D47E0B">
        <w:rPr>
          <w:rFonts w:ascii="Times New Roman" w:hAnsi="Times New Roman"/>
          <w:sz w:val="24"/>
          <w:szCs w:val="24"/>
          <w:lang w:val="nl-NL"/>
        </w:rPr>
        <w:t>trong tiêu dùng nội địa (tiêu dùng cuối cùng trong nửa đầu năm 2024 chỉ đạt 5</w:t>
      </w:r>
      <w:r w:rsidR="009078D0">
        <w:rPr>
          <w:rFonts w:ascii="Times New Roman" w:hAnsi="Times New Roman"/>
          <w:sz w:val="24"/>
          <w:szCs w:val="24"/>
          <w:lang w:val="nl-NL"/>
        </w:rPr>
        <w:t>,</w:t>
      </w:r>
      <w:r w:rsidRPr="00D47E0B">
        <w:rPr>
          <w:rFonts w:ascii="Times New Roman" w:hAnsi="Times New Roman"/>
          <w:sz w:val="24"/>
          <w:szCs w:val="24"/>
          <w:lang w:val="nl-NL"/>
        </w:rPr>
        <w:t>78%, so với tăng trưởng GDP là 6</w:t>
      </w:r>
      <w:r w:rsidR="009078D0">
        <w:rPr>
          <w:rFonts w:ascii="Times New Roman" w:hAnsi="Times New Roman"/>
          <w:sz w:val="24"/>
          <w:szCs w:val="24"/>
          <w:lang w:val="nl-NL"/>
        </w:rPr>
        <w:t>,</w:t>
      </w:r>
      <w:r w:rsidRPr="00D47E0B">
        <w:rPr>
          <w:rFonts w:ascii="Times New Roman" w:hAnsi="Times New Roman"/>
          <w:sz w:val="24"/>
          <w:szCs w:val="24"/>
          <w:lang w:val="nl-NL"/>
        </w:rPr>
        <w:t xml:space="preserve">42%). </w:t>
      </w:r>
    </w:p>
    <w:p w14:paraId="62482ED0" w14:textId="071AA4FC" w:rsidR="00C25079" w:rsidRPr="00F54FAC" w:rsidRDefault="00C25079" w:rsidP="00C25079">
      <w:pPr>
        <w:spacing w:after="120"/>
        <w:jc w:val="both"/>
        <w:rPr>
          <w:rFonts w:ascii="Times New Roman" w:hAnsi="Times New Roman"/>
          <w:sz w:val="24"/>
          <w:szCs w:val="24"/>
          <w:highlight w:val="yellow"/>
          <w:lang w:val="nl-NL"/>
        </w:rPr>
      </w:pPr>
      <w:r>
        <w:rPr>
          <w:rFonts w:ascii="Times New Roman" w:hAnsi="Times New Roman"/>
          <w:sz w:val="24"/>
          <w:szCs w:val="24"/>
          <w:lang w:val="nl-NL"/>
        </w:rPr>
        <w:t>Mặc dù C</w:t>
      </w:r>
      <w:r w:rsidRPr="001374BF">
        <w:rPr>
          <w:rFonts w:ascii="Times New Roman" w:hAnsi="Times New Roman"/>
          <w:sz w:val="24"/>
          <w:szCs w:val="24"/>
          <w:lang w:val="nl-NL"/>
        </w:rPr>
        <w:t xml:space="preserve">hính phủ đã đặt mục tiêu </w:t>
      </w:r>
      <w:r>
        <w:rPr>
          <w:rFonts w:ascii="Times New Roman" w:hAnsi="Times New Roman"/>
          <w:sz w:val="24"/>
          <w:szCs w:val="24"/>
          <w:lang w:val="nl-NL"/>
        </w:rPr>
        <w:t xml:space="preserve">lạm phát trung bình cả năm </w:t>
      </w:r>
      <w:r w:rsidRPr="001374BF">
        <w:rPr>
          <w:rFonts w:ascii="Times New Roman" w:hAnsi="Times New Roman"/>
          <w:sz w:val="24"/>
          <w:szCs w:val="24"/>
          <w:lang w:val="nl-NL"/>
        </w:rPr>
        <w:t>là 4</w:t>
      </w:r>
      <w:r w:rsidR="009078D0">
        <w:rPr>
          <w:rFonts w:ascii="Times New Roman" w:hAnsi="Times New Roman"/>
          <w:sz w:val="24"/>
          <w:szCs w:val="24"/>
          <w:lang w:val="nl-NL"/>
        </w:rPr>
        <w:t>,</w:t>
      </w:r>
      <w:r w:rsidRPr="001374BF">
        <w:rPr>
          <w:rFonts w:ascii="Times New Roman" w:hAnsi="Times New Roman"/>
          <w:sz w:val="24"/>
          <w:szCs w:val="24"/>
          <w:lang w:val="nl-NL"/>
        </w:rPr>
        <w:t>0</w:t>
      </w:r>
      <w:r w:rsidR="009078D0">
        <w:rPr>
          <w:rFonts w:ascii="Times New Roman" w:hAnsi="Times New Roman"/>
          <w:sz w:val="24"/>
          <w:szCs w:val="24"/>
          <w:lang w:val="nl-NL"/>
        </w:rPr>
        <w:t xml:space="preserve"> </w:t>
      </w:r>
      <w:r w:rsidRPr="001374BF">
        <w:rPr>
          <w:rFonts w:ascii="Times New Roman" w:hAnsi="Times New Roman"/>
          <w:sz w:val="24"/>
          <w:szCs w:val="24"/>
          <w:lang w:val="nl-NL"/>
        </w:rPr>
        <w:t>-</w:t>
      </w:r>
      <w:r w:rsidR="009078D0">
        <w:rPr>
          <w:rFonts w:ascii="Times New Roman" w:hAnsi="Times New Roman"/>
          <w:sz w:val="24"/>
          <w:szCs w:val="24"/>
          <w:lang w:val="nl-NL"/>
        </w:rPr>
        <w:t xml:space="preserve"> </w:t>
      </w:r>
      <w:r w:rsidRPr="001374BF">
        <w:rPr>
          <w:rFonts w:ascii="Times New Roman" w:hAnsi="Times New Roman"/>
          <w:sz w:val="24"/>
          <w:szCs w:val="24"/>
          <w:lang w:val="nl-NL"/>
        </w:rPr>
        <w:t>4</w:t>
      </w:r>
      <w:r w:rsidR="009078D0">
        <w:rPr>
          <w:rFonts w:ascii="Times New Roman" w:hAnsi="Times New Roman"/>
          <w:sz w:val="24"/>
          <w:szCs w:val="24"/>
          <w:lang w:val="nl-NL"/>
        </w:rPr>
        <w:t>,</w:t>
      </w:r>
      <w:r w:rsidRPr="001374BF">
        <w:rPr>
          <w:rFonts w:ascii="Times New Roman" w:hAnsi="Times New Roman"/>
          <w:sz w:val="24"/>
          <w:szCs w:val="24"/>
          <w:lang w:val="nl-NL"/>
        </w:rPr>
        <w:t xml:space="preserve">5%, và chúng tôi tin rằng việc đạt được mục tiêu này </w:t>
      </w:r>
      <w:r>
        <w:rPr>
          <w:rFonts w:ascii="Times New Roman" w:hAnsi="Times New Roman"/>
          <w:sz w:val="24"/>
          <w:szCs w:val="24"/>
          <w:lang w:val="nl-NL"/>
        </w:rPr>
        <w:t xml:space="preserve">đối mặt một số thách thức đến từ việc </w:t>
      </w:r>
      <w:r w:rsidRPr="001374BF">
        <w:rPr>
          <w:rFonts w:ascii="Times New Roman" w:hAnsi="Times New Roman"/>
          <w:sz w:val="24"/>
          <w:szCs w:val="24"/>
          <w:lang w:val="nl-NL"/>
        </w:rPr>
        <w:t xml:space="preserve">tăng </w:t>
      </w:r>
      <w:r>
        <w:rPr>
          <w:rFonts w:ascii="Times New Roman" w:hAnsi="Times New Roman"/>
          <w:sz w:val="24"/>
          <w:szCs w:val="24"/>
          <w:lang w:val="nl-NL"/>
        </w:rPr>
        <w:t>giá</w:t>
      </w:r>
      <w:r w:rsidRPr="001374BF">
        <w:rPr>
          <w:rFonts w:ascii="Times New Roman" w:hAnsi="Times New Roman"/>
          <w:sz w:val="24"/>
          <w:szCs w:val="24"/>
          <w:lang w:val="nl-NL"/>
        </w:rPr>
        <w:t xml:space="preserve"> </w:t>
      </w:r>
      <w:r>
        <w:rPr>
          <w:rFonts w:ascii="Times New Roman" w:hAnsi="Times New Roman"/>
          <w:sz w:val="24"/>
          <w:szCs w:val="24"/>
          <w:lang w:val="nl-NL"/>
        </w:rPr>
        <w:t xml:space="preserve">một số mặt hàng và dịch vụ thiết yếu </w:t>
      </w:r>
      <w:r w:rsidRPr="001374BF">
        <w:rPr>
          <w:rFonts w:ascii="Times New Roman" w:hAnsi="Times New Roman"/>
          <w:sz w:val="24"/>
          <w:szCs w:val="24"/>
          <w:lang w:val="nl-NL"/>
        </w:rPr>
        <w:t>trong năm 2024, bao gồm việc tăng giá bán lẻ điện thêm 5</w:t>
      </w:r>
      <w:r w:rsidR="009078D0">
        <w:rPr>
          <w:rFonts w:ascii="Times New Roman" w:hAnsi="Times New Roman"/>
          <w:sz w:val="24"/>
          <w:szCs w:val="24"/>
          <w:lang w:val="nl-NL"/>
        </w:rPr>
        <w:t xml:space="preserve"> </w:t>
      </w:r>
      <w:r w:rsidRPr="001374BF">
        <w:rPr>
          <w:rFonts w:ascii="Times New Roman" w:hAnsi="Times New Roman"/>
          <w:sz w:val="24"/>
          <w:szCs w:val="24"/>
          <w:lang w:val="nl-NL"/>
        </w:rPr>
        <w:t>-</w:t>
      </w:r>
      <w:r w:rsidR="009078D0">
        <w:rPr>
          <w:rFonts w:ascii="Times New Roman" w:hAnsi="Times New Roman"/>
          <w:sz w:val="24"/>
          <w:szCs w:val="24"/>
          <w:lang w:val="nl-NL"/>
        </w:rPr>
        <w:t xml:space="preserve"> </w:t>
      </w:r>
      <w:r w:rsidRPr="001374BF">
        <w:rPr>
          <w:rFonts w:ascii="Times New Roman" w:hAnsi="Times New Roman"/>
          <w:sz w:val="24"/>
          <w:szCs w:val="24"/>
          <w:lang w:val="nl-NL"/>
        </w:rPr>
        <w:t xml:space="preserve">8% </w:t>
      </w:r>
      <w:r>
        <w:rPr>
          <w:rFonts w:ascii="Times New Roman" w:hAnsi="Times New Roman"/>
          <w:sz w:val="24"/>
          <w:szCs w:val="24"/>
          <w:lang w:val="nl-NL"/>
        </w:rPr>
        <w:t xml:space="preserve">(khả năng cao sẽ được thực hiện do EVN đã chịu lỗ 26.800 tỷ đồng trong năm 2023) </w:t>
      </w:r>
      <w:r w:rsidRPr="001374BF">
        <w:rPr>
          <w:rFonts w:ascii="Times New Roman" w:hAnsi="Times New Roman"/>
          <w:sz w:val="24"/>
          <w:szCs w:val="24"/>
          <w:lang w:val="nl-NL"/>
        </w:rPr>
        <w:t>và các dịch vụ khác như chăm sóc sức khỏe và học phí</w:t>
      </w:r>
      <w:r>
        <w:rPr>
          <w:rFonts w:ascii="Times New Roman" w:hAnsi="Times New Roman"/>
          <w:sz w:val="24"/>
          <w:szCs w:val="24"/>
          <w:lang w:val="nl-NL"/>
        </w:rPr>
        <w:t>, giá xăng dầu tăng,</w:t>
      </w:r>
      <w:r w:rsidRPr="00D47E0B">
        <w:rPr>
          <w:rFonts w:ascii="Times New Roman" w:hAnsi="Times New Roman"/>
          <w:sz w:val="24"/>
          <w:szCs w:val="24"/>
          <w:lang w:val="nl-NL"/>
        </w:rPr>
        <w:t xml:space="preserve"> tăng lương công chức</w:t>
      </w:r>
      <w:r>
        <w:rPr>
          <w:rFonts w:ascii="Times New Roman" w:hAnsi="Times New Roman"/>
          <w:sz w:val="24"/>
          <w:szCs w:val="24"/>
          <w:lang w:val="nl-NL"/>
        </w:rPr>
        <w:t xml:space="preserve">. </w:t>
      </w:r>
      <w:r w:rsidRPr="00D47E0B">
        <w:rPr>
          <w:rFonts w:ascii="Times New Roman" w:hAnsi="Times New Roman"/>
          <w:sz w:val="24"/>
          <w:szCs w:val="24"/>
          <w:lang w:val="nl-NL"/>
        </w:rPr>
        <w:t>Đồng thời, áp lực từ tỷ giá hối đoái cũng ảnh hưởng đến tình hình lạm phát</w:t>
      </w:r>
      <w:r>
        <w:rPr>
          <w:rFonts w:ascii="Times New Roman" w:hAnsi="Times New Roman"/>
          <w:sz w:val="24"/>
          <w:szCs w:val="24"/>
          <w:lang w:val="nl-NL"/>
        </w:rPr>
        <w:t xml:space="preserve"> trong nửa cuối của năm.</w:t>
      </w:r>
    </w:p>
    <w:p w14:paraId="0638D375" w14:textId="77777777" w:rsidR="00C25079" w:rsidRPr="00F54FAC" w:rsidRDefault="00C25079" w:rsidP="00C25079">
      <w:pPr>
        <w:spacing w:after="120" w:line="240" w:lineRule="auto"/>
        <w:jc w:val="both"/>
        <w:rPr>
          <w:rFonts w:ascii="Times New Roman" w:hAnsi="Times New Roman"/>
          <w:sz w:val="24"/>
          <w:szCs w:val="24"/>
          <w:highlight w:val="yellow"/>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6"/>
      </w:tblGrid>
      <w:tr w:rsidR="00C25079" w:rsidRPr="00D16A4F" w14:paraId="3446EDB3" w14:textId="77777777" w:rsidTr="00FE7DC7">
        <w:trPr>
          <w:trHeight w:val="471"/>
          <w:jc w:val="center"/>
        </w:trPr>
        <w:tc>
          <w:tcPr>
            <w:tcW w:w="9846" w:type="dxa"/>
            <w:tcBorders>
              <w:bottom w:val="single" w:sz="4" w:space="0" w:color="auto"/>
            </w:tcBorders>
          </w:tcPr>
          <w:p w14:paraId="35DE82A6" w14:textId="77777777" w:rsidR="00C25079" w:rsidRPr="00F54FAC" w:rsidRDefault="00C25079" w:rsidP="00FE7DC7">
            <w:pPr>
              <w:tabs>
                <w:tab w:val="left" w:pos="426"/>
              </w:tabs>
              <w:spacing w:before="120" w:line="360" w:lineRule="auto"/>
              <w:jc w:val="both"/>
              <w:rPr>
                <w:rFonts w:ascii="Times New Roman" w:hAnsi="Times New Roman"/>
                <w:b/>
                <w:sz w:val="22"/>
                <w:szCs w:val="22"/>
                <w:highlight w:val="yellow"/>
                <w:lang w:val="nl-NL"/>
              </w:rPr>
            </w:pPr>
            <w:r w:rsidRPr="007B7BCB">
              <w:rPr>
                <w:rFonts w:ascii="Times New Roman" w:hAnsi="Times New Roman"/>
                <w:b/>
                <w:sz w:val="22"/>
                <w:szCs w:val="22"/>
                <w:lang w:val="nl-NL"/>
              </w:rPr>
              <w:lastRenderedPageBreak/>
              <w:t>Hình 2: Lạm phát Việt Nam qua các tháng</w:t>
            </w:r>
          </w:p>
        </w:tc>
      </w:tr>
      <w:tr w:rsidR="00C25079" w:rsidRPr="00F54FAC" w14:paraId="18BCFC55" w14:textId="77777777" w:rsidTr="00FE7DC7">
        <w:trPr>
          <w:trHeight w:val="4112"/>
          <w:jc w:val="center"/>
        </w:trPr>
        <w:tc>
          <w:tcPr>
            <w:tcW w:w="9846" w:type="dxa"/>
            <w:tcBorders>
              <w:top w:val="single" w:sz="4" w:space="0" w:color="auto"/>
              <w:bottom w:val="single" w:sz="4" w:space="0" w:color="auto"/>
            </w:tcBorders>
          </w:tcPr>
          <w:p w14:paraId="2019CC3D" w14:textId="77777777" w:rsidR="00C25079" w:rsidRPr="00F54FAC" w:rsidRDefault="00C25079" w:rsidP="00FE7DC7">
            <w:pPr>
              <w:tabs>
                <w:tab w:val="left" w:pos="426"/>
              </w:tabs>
              <w:spacing w:before="120" w:line="360" w:lineRule="auto"/>
              <w:jc w:val="center"/>
              <w:rPr>
                <w:rFonts w:ascii="Times New Roman" w:hAnsi="Times New Roman"/>
                <w:bCs/>
                <w:sz w:val="22"/>
                <w:szCs w:val="22"/>
                <w:highlight w:val="yellow"/>
                <w:lang w:val="nl-NL"/>
              </w:rPr>
            </w:pPr>
            <w:r>
              <w:rPr>
                <w:rFonts w:ascii="Times New Roman" w:hAnsi="Times New Roman"/>
                <w:bCs/>
                <w:noProof/>
                <w:highlight w:val="yellow"/>
                <w:lang w:val="nl-NL"/>
              </w:rPr>
              <w:drawing>
                <wp:inline distT="0" distB="0" distL="0" distR="0" wp14:anchorId="2AF4EAF8" wp14:editId="2432FBB5">
                  <wp:extent cx="5967951" cy="271715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91034" cy="2727665"/>
                          </a:xfrm>
                          <a:prstGeom prst="rect">
                            <a:avLst/>
                          </a:prstGeom>
                          <a:noFill/>
                        </pic:spPr>
                      </pic:pic>
                    </a:graphicData>
                  </a:graphic>
                </wp:inline>
              </w:drawing>
            </w:r>
          </w:p>
        </w:tc>
      </w:tr>
      <w:tr w:rsidR="00C25079" w:rsidRPr="00A34F54" w14:paraId="2F942A2C" w14:textId="77777777" w:rsidTr="00FE7DC7">
        <w:trPr>
          <w:trHeight w:val="443"/>
          <w:jc w:val="center"/>
        </w:trPr>
        <w:tc>
          <w:tcPr>
            <w:tcW w:w="9846" w:type="dxa"/>
            <w:tcBorders>
              <w:top w:val="single" w:sz="4" w:space="0" w:color="auto"/>
            </w:tcBorders>
          </w:tcPr>
          <w:p w14:paraId="2528F6E3" w14:textId="77777777" w:rsidR="00C25079" w:rsidRPr="00A34F54" w:rsidRDefault="00C25079" w:rsidP="00FE7DC7">
            <w:pPr>
              <w:tabs>
                <w:tab w:val="left" w:pos="426"/>
              </w:tabs>
              <w:spacing w:before="120" w:line="360" w:lineRule="auto"/>
              <w:jc w:val="both"/>
              <w:rPr>
                <w:rFonts w:ascii="Times New Roman" w:hAnsi="Times New Roman"/>
                <w:bCs/>
                <w:i/>
                <w:iCs/>
                <w:lang w:val="nl-NL"/>
              </w:rPr>
            </w:pPr>
            <w:r w:rsidRPr="00A34F54">
              <w:rPr>
                <w:rFonts w:ascii="Times New Roman" w:hAnsi="Times New Roman"/>
                <w:bCs/>
                <w:i/>
                <w:iCs/>
                <w:lang w:val="nl-NL"/>
              </w:rPr>
              <w:t>Nguồn: Tổng Cục Thống Kê</w:t>
            </w:r>
          </w:p>
        </w:tc>
      </w:tr>
    </w:tbl>
    <w:p w14:paraId="6222AD4E" w14:textId="77777777" w:rsidR="00C25079" w:rsidRPr="00A34F54" w:rsidRDefault="00C25079" w:rsidP="00C25079">
      <w:pPr>
        <w:shd w:val="clear" w:color="auto" w:fill="FFFFFF"/>
        <w:tabs>
          <w:tab w:val="left" w:pos="426"/>
        </w:tabs>
        <w:spacing w:after="0" w:line="240" w:lineRule="auto"/>
        <w:jc w:val="both"/>
        <w:rPr>
          <w:rFonts w:ascii="Times New Roman" w:hAnsi="Times New Roman"/>
          <w:b/>
          <w:sz w:val="24"/>
          <w:szCs w:val="24"/>
          <w:lang w:val="nl-NL"/>
        </w:rPr>
      </w:pPr>
      <w:r w:rsidRPr="00A34F54">
        <w:rPr>
          <w:rFonts w:ascii="Times New Roman" w:eastAsia="Times New Roman" w:hAnsi="Times New Roman"/>
          <w:b/>
          <w:bCs/>
          <w:sz w:val="24"/>
          <w:szCs w:val="24"/>
          <w:lang w:val="nl-NL"/>
        </w:rPr>
        <w:t>Hoạt động xuất nhập khẩu hàng hoá</w:t>
      </w:r>
    </w:p>
    <w:p w14:paraId="675F6293" w14:textId="77777777" w:rsidR="00C25079" w:rsidRPr="00BB160D" w:rsidRDefault="00C25079" w:rsidP="00C25079">
      <w:pPr>
        <w:shd w:val="clear" w:color="auto" w:fill="FFFFFF"/>
        <w:tabs>
          <w:tab w:val="left" w:pos="426"/>
        </w:tabs>
        <w:spacing w:before="120" w:after="0" w:line="240" w:lineRule="auto"/>
        <w:jc w:val="both"/>
        <w:rPr>
          <w:rFonts w:ascii="Times New Roman" w:eastAsia="Times New Roman" w:hAnsi="Times New Roman"/>
          <w:sz w:val="24"/>
          <w:szCs w:val="24"/>
          <w:lang w:val="nl-NL"/>
        </w:rPr>
      </w:pPr>
      <w:r w:rsidRPr="00BB160D">
        <w:rPr>
          <w:rFonts w:ascii="Times New Roman" w:eastAsia="Times New Roman" w:hAnsi="Times New Roman"/>
          <w:sz w:val="24"/>
          <w:szCs w:val="24"/>
          <w:lang w:val="nl-NL"/>
        </w:rPr>
        <w:t>Một trong những điểm sáng của nền kinh tế Việt Nam 6 tháng đầu năm 2024 là kim ngạch xuất, nhập khẩu hàng hóa đạt kết quả tích cực. Tính chung 6 tháng đầu năm 2024, tổng kim ngạch xuất, nhập khẩu ước đạt 368,5 tỷ USD, tăng 15,7% so với cùng kỳ năm 2023.</w:t>
      </w:r>
      <w:r>
        <w:rPr>
          <w:rFonts w:ascii="Times New Roman" w:eastAsia="Times New Roman" w:hAnsi="Times New Roman"/>
          <w:sz w:val="24"/>
          <w:szCs w:val="24"/>
          <w:lang w:val="nl-NL"/>
        </w:rPr>
        <w:t xml:space="preserve"> C</w:t>
      </w:r>
      <w:r w:rsidRPr="00BB160D">
        <w:rPr>
          <w:rFonts w:ascii="Times New Roman" w:eastAsia="Times New Roman" w:hAnsi="Times New Roman"/>
          <w:sz w:val="24"/>
          <w:szCs w:val="24"/>
          <w:lang w:val="nl-NL"/>
        </w:rPr>
        <w:t>án cân thương mại hàng hóa xuất siêu 11,6 tỷ USD, đây là mức xuất siêu khá tích cực và là năm thứ hai đạt giá trị xuất siêu lớn trong giai đoạn (2020 - 2024).</w:t>
      </w:r>
    </w:p>
    <w:p w14:paraId="5155880E" w14:textId="77777777" w:rsidR="00C25079" w:rsidRDefault="00C25079" w:rsidP="00C25079">
      <w:pPr>
        <w:pStyle w:val="ListParagraph"/>
        <w:numPr>
          <w:ilvl w:val="0"/>
          <w:numId w:val="19"/>
        </w:numPr>
        <w:shd w:val="clear" w:color="auto" w:fill="FFFFFF"/>
        <w:tabs>
          <w:tab w:val="left" w:pos="426"/>
        </w:tabs>
        <w:spacing w:before="120" w:after="0" w:line="240" w:lineRule="auto"/>
        <w:jc w:val="both"/>
        <w:rPr>
          <w:rFonts w:ascii="Times New Roman" w:eastAsia="Times New Roman" w:hAnsi="Times New Roman"/>
          <w:sz w:val="24"/>
          <w:szCs w:val="24"/>
          <w:lang w:val="nl-NL"/>
        </w:rPr>
      </w:pPr>
      <w:r w:rsidRPr="00BB160D">
        <w:rPr>
          <w:rFonts w:ascii="Times New Roman" w:eastAsia="Times New Roman" w:hAnsi="Times New Roman"/>
          <w:sz w:val="24"/>
          <w:szCs w:val="24"/>
          <w:lang w:val="nl-NL"/>
        </w:rPr>
        <w:t xml:space="preserve">Xuất khẩu hàng hóa: Trong </w:t>
      </w:r>
      <w:r>
        <w:rPr>
          <w:rFonts w:ascii="Times New Roman" w:eastAsia="Times New Roman" w:hAnsi="Times New Roman"/>
          <w:sz w:val="24"/>
          <w:szCs w:val="24"/>
          <w:lang w:val="nl-NL"/>
        </w:rPr>
        <w:t>Quý 2</w:t>
      </w:r>
      <w:r w:rsidRPr="00BB160D">
        <w:rPr>
          <w:rFonts w:ascii="Times New Roman" w:eastAsia="Times New Roman" w:hAnsi="Times New Roman"/>
          <w:sz w:val="24"/>
          <w:szCs w:val="24"/>
          <w:lang w:val="nl-NL"/>
        </w:rPr>
        <w:t xml:space="preserve">/2024, kim ngạch xuất khẩu ước đạt 97,2 tỷ USD, tăng 12,5% so với cùng kỳ năm trước và tăng 4,6% so với </w:t>
      </w:r>
      <w:r>
        <w:rPr>
          <w:rFonts w:ascii="Times New Roman" w:eastAsia="Times New Roman" w:hAnsi="Times New Roman"/>
          <w:sz w:val="24"/>
          <w:szCs w:val="24"/>
          <w:lang w:val="nl-NL"/>
        </w:rPr>
        <w:t>Quý 1</w:t>
      </w:r>
      <w:r w:rsidRPr="00BB160D">
        <w:rPr>
          <w:rFonts w:ascii="Times New Roman" w:eastAsia="Times New Roman" w:hAnsi="Times New Roman"/>
          <w:sz w:val="24"/>
          <w:szCs w:val="24"/>
          <w:lang w:val="nl-NL"/>
        </w:rPr>
        <w:t>/2024. Tính chung sáu tháng đầu năm 2024, kim ngạch xuất khẩu hàng hóa ước đạt 190,08 tỷ USD, tăng 14,5% so với cùng kỳ năm trước. Trong đó, khu vực kinh tế trong nước đạt 53,39 tỷ USD, tăng 20,6%, chiếm 28,1% tổng kim ngạch xuất khẩu; khu vực có vốn đầu tư nước ngoài (kể cả dầu thô) đạt 136,69 tỷ USD, tăng 12,3%, chiếm 71,9%.</w:t>
      </w:r>
      <w:r>
        <w:rPr>
          <w:rFonts w:ascii="Times New Roman" w:eastAsia="Times New Roman" w:hAnsi="Times New Roman"/>
          <w:sz w:val="24"/>
          <w:szCs w:val="24"/>
          <w:lang w:val="nl-NL"/>
        </w:rPr>
        <w:t xml:space="preserve"> Cụ thể về mặt hàng, x</w:t>
      </w:r>
      <w:r w:rsidRPr="003F323F">
        <w:rPr>
          <w:rFonts w:ascii="Times New Roman" w:eastAsia="Times New Roman" w:hAnsi="Times New Roman"/>
          <w:sz w:val="24"/>
          <w:szCs w:val="24"/>
          <w:lang w:val="nl-NL"/>
        </w:rPr>
        <w:t xml:space="preserve">uất khẩu từ máy tính và điện tử đã tăng (+19,3% so với cùng kỳ năm trước) trong khi hiệu suất của xuất khẩu phi điện tử vẫn khiêm tốn (7,2% so với cùng kỳ năm trước). Tăng trưởng nhập khẩu cho các sản phẩm trung gian rất đáng khích lệ, chẳng hạn như điện tử (+21,5% so với cùng kỳ năm trước). Theo </w:t>
      </w:r>
      <w:r>
        <w:rPr>
          <w:rFonts w:ascii="Times New Roman" w:eastAsia="Times New Roman" w:hAnsi="Times New Roman"/>
          <w:sz w:val="24"/>
          <w:szCs w:val="24"/>
          <w:lang w:val="nl-NL"/>
        </w:rPr>
        <w:t>thị trường</w:t>
      </w:r>
      <w:r w:rsidRPr="003F323F">
        <w:rPr>
          <w:rFonts w:ascii="Times New Roman" w:eastAsia="Times New Roman" w:hAnsi="Times New Roman"/>
          <w:sz w:val="24"/>
          <w:szCs w:val="24"/>
          <w:lang w:val="nl-NL"/>
        </w:rPr>
        <w:t>, hàng</w:t>
      </w:r>
      <w:r>
        <w:rPr>
          <w:rFonts w:ascii="Times New Roman" w:eastAsia="Times New Roman" w:hAnsi="Times New Roman"/>
          <w:sz w:val="24"/>
          <w:szCs w:val="24"/>
          <w:lang w:val="nl-NL"/>
        </w:rPr>
        <w:t xml:space="preserve"> hóa</w:t>
      </w:r>
      <w:r w:rsidRPr="003F323F">
        <w:rPr>
          <w:rFonts w:ascii="Times New Roman" w:eastAsia="Times New Roman" w:hAnsi="Times New Roman"/>
          <w:sz w:val="24"/>
          <w:szCs w:val="24"/>
          <w:lang w:val="nl-NL"/>
        </w:rPr>
        <w:t xml:space="preserve"> đã cải thiện đến tất cả các đối tác thương mại chính trong nửa đầu năm 2024 như Mỹ (+24% so với cùng kỳ năm trước), EU (+16,3%), và ASEAN (+11,2%).</w:t>
      </w:r>
    </w:p>
    <w:p w14:paraId="59515514" w14:textId="0318D49D" w:rsidR="00C25079" w:rsidRDefault="00C25079" w:rsidP="00C25079">
      <w:pPr>
        <w:pStyle w:val="ListParagraph"/>
        <w:numPr>
          <w:ilvl w:val="0"/>
          <w:numId w:val="19"/>
        </w:numPr>
        <w:shd w:val="clear" w:color="auto" w:fill="FFFFFF"/>
        <w:tabs>
          <w:tab w:val="left" w:pos="426"/>
        </w:tabs>
        <w:spacing w:before="120" w:after="0" w:line="240" w:lineRule="auto"/>
        <w:jc w:val="both"/>
        <w:rPr>
          <w:rFonts w:ascii="Times New Roman" w:eastAsia="Times New Roman" w:hAnsi="Times New Roman"/>
          <w:sz w:val="24"/>
          <w:szCs w:val="24"/>
          <w:lang w:val="nl-NL"/>
        </w:rPr>
      </w:pPr>
      <w:r w:rsidRPr="002E48D5">
        <w:rPr>
          <w:rFonts w:ascii="Times New Roman" w:eastAsia="Times New Roman" w:hAnsi="Times New Roman"/>
          <w:sz w:val="24"/>
          <w:szCs w:val="24"/>
          <w:lang w:val="nl-NL"/>
        </w:rPr>
        <w:t xml:space="preserve">Nhập khẩu hàng hóa: Trong </w:t>
      </w:r>
      <w:r>
        <w:rPr>
          <w:rFonts w:ascii="Times New Roman" w:eastAsia="Times New Roman" w:hAnsi="Times New Roman"/>
          <w:sz w:val="24"/>
          <w:szCs w:val="24"/>
          <w:lang w:val="nl-NL"/>
        </w:rPr>
        <w:t>Quý</w:t>
      </w:r>
      <w:r w:rsidRPr="002E48D5">
        <w:rPr>
          <w:rFonts w:ascii="Times New Roman" w:eastAsia="Times New Roman" w:hAnsi="Times New Roman"/>
          <w:sz w:val="24"/>
          <w:szCs w:val="24"/>
          <w:lang w:val="nl-NL"/>
        </w:rPr>
        <w:t xml:space="preserve"> 2/2024, kim ngạch nhập khẩu ước đạt 93,4 tỷ USD, tăng 19,8% so với cùng kỳ năm trước và tăng 9,7% so với </w:t>
      </w:r>
      <w:r>
        <w:rPr>
          <w:rFonts w:ascii="Times New Roman" w:eastAsia="Times New Roman" w:hAnsi="Times New Roman"/>
          <w:sz w:val="24"/>
          <w:szCs w:val="24"/>
          <w:lang w:val="nl-NL"/>
        </w:rPr>
        <w:t>Quý</w:t>
      </w:r>
      <w:r w:rsidRPr="002E48D5">
        <w:rPr>
          <w:rFonts w:ascii="Times New Roman" w:eastAsia="Times New Roman" w:hAnsi="Times New Roman"/>
          <w:sz w:val="24"/>
          <w:szCs w:val="24"/>
          <w:lang w:val="nl-NL"/>
        </w:rPr>
        <w:t xml:space="preserve"> 1/2024. Tính chung sáu tháng đầu năm 2024, kim ngạch nhập khẩu hàng hóa ước đạt 178,45 tỷ USD, tăng 17,0% so với cùng kỳ năm trước, trong đó khu vực kinh tế trong nước đạt 65,74 tỷ USD, tăng 22,3%; khu vực có vốn đầu tư nước ngoài đạt 112,71 tỷ USD, tăng 14,1%. Hoạt động nhập khẩu </w:t>
      </w:r>
      <w:r>
        <w:rPr>
          <w:rFonts w:ascii="Times New Roman" w:eastAsia="Times New Roman" w:hAnsi="Times New Roman"/>
          <w:sz w:val="24"/>
          <w:szCs w:val="24"/>
          <w:lang w:val="nl-NL"/>
        </w:rPr>
        <w:t>Quý</w:t>
      </w:r>
      <w:r w:rsidRPr="002E48D5">
        <w:rPr>
          <w:rFonts w:ascii="Times New Roman" w:eastAsia="Times New Roman" w:hAnsi="Times New Roman"/>
          <w:sz w:val="24"/>
          <w:szCs w:val="24"/>
          <w:lang w:val="nl-NL"/>
        </w:rPr>
        <w:t xml:space="preserve"> 2 tăng mạnh so với </w:t>
      </w:r>
      <w:r>
        <w:rPr>
          <w:rFonts w:ascii="Times New Roman" w:eastAsia="Times New Roman" w:hAnsi="Times New Roman"/>
          <w:sz w:val="24"/>
          <w:szCs w:val="24"/>
          <w:lang w:val="nl-NL"/>
        </w:rPr>
        <w:t>Quý</w:t>
      </w:r>
      <w:r w:rsidRPr="002E48D5">
        <w:rPr>
          <w:rFonts w:ascii="Times New Roman" w:eastAsia="Times New Roman" w:hAnsi="Times New Roman"/>
          <w:sz w:val="24"/>
          <w:szCs w:val="24"/>
          <w:lang w:val="nl-NL"/>
        </w:rPr>
        <w:t xml:space="preserve"> 1, tháng 5/2024 ghi nhận lần đầu tiên nhập siêu sau gần hai năm. Nhập khẩu tăng chủ yếu phục vụ nhu cầu sản xuất, đáp ứng số lượng đơn hàng xuất khẩu gia tăng. Nhập khẩu tư liệu sản xuất trong </w:t>
      </w:r>
      <w:r>
        <w:rPr>
          <w:rFonts w:ascii="Times New Roman" w:eastAsia="Times New Roman" w:hAnsi="Times New Roman"/>
          <w:sz w:val="24"/>
          <w:szCs w:val="24"/>
          <w:lang w:val="nl-NL"/>
        </w:rPr>
        <w:t>Quý</w:t>
      </w:r>
      <w:r w:rsidRPr="002E48D5">
        <w:rPr>
          <w:rFonts w:ascii="Times New Roman" w:eastAsia="Times New Roman" w:hAnsi="Times New Roman"/>
          <w:sz w:val="24"/>
          <w:szCs w:val="24"/>
          <w:lang w:val="nl-NL"/>
        </w:rPr>
        <w:t xml:space="preserve"> 2 chiếm phần lớn kim ngạch nhập khẩu (94%); tăng khoảng 9</w:t>
      </w:r>
      <w:r w:rsidR="009078D0">
        <w:rPr>
          <w:rFonts w:ascii="Times New Roman" w:eastAsia="Times New Roman" w:hAnsi="Times New Roman"/>
          <w:sz w:val="24"/>
          <w:szCs w:val="24"/>
          <w:lang w:val="nl-NL"/>
        </w:rPr>
        <w:t>,</w:t>
      </w:r>
      <w:r w:rsidRPr="002E48D5">
        <w:rPr>
          <w:rFonts w:ascii="Times New Roman" w:eastAsia="Times New Roman" w:hAnsi="Times New Roman"/>
          <w:sz w:val="24"/>
          <w:szCs w:val="24"/>
          <w:lang w:val="nl-NL"/>
        </w:rPr>
        <w:t xml:space="preserve">9% so với </w:t>
      </w:r>
      <w:r>
        <w:rPr>
          <w:rFonts w:ascii="Times New Roman" w:eastAsia="Times New Roman" w:hAnsi="Times New Roman"/>
          <w:sz w:val="24"/>
          <w:szCs w:val="24"/>
          <w:lang w:val="nl-NL"/>
        </w:rPr>
        <w:t>Quý</w:t>
      </w:r>
      <w:r w:rsidRPr="002E48D5">
        <w:rPr>
          <w:rFonts w:ascii="Times New Roman" w:eastAsia="Times New Roman" w:hAnsi="Times New Roman"/>
          <w:sz w:val="24"/>
          <w:szCs w:val="24"/>
          <w:lang w:val="nl-NL"/>
        </w:rPr>
        <w:t xml:space="preserve"> 1 và 17</w:t>
      </w:r>
      <w:r w:rsidR="009078D0">
        <w:rPr>
          <w:rFonts w:ascii="Times New Roman" w:eastAsia="Times New Roman" w:hAnsi="Times New Roman"/>
          <w:sz w:val="24"/>
          <w:szCs w:val="24"/>
          <w:lang w:val="nl-NL"/>
        </w:rPr>
        <w:t>,</w:t>
      </w:r>
      <w:r w:rsidRPr="002E48D5">
        <w:rPr>
          <w:rFonts w:ascii="Times New Roman" w:eastAsia="Times New Roman" w:hAnsi="Times New Roman"/>
          <w:sz w:val="24"/>
          <w:szCs w:val="24"/>
          <w:lang w:val="nl-NL"/>
        </w:rPr>
        <w:t>3% so với cùng kỳ năm 2023. Trong đó, máy vi tính, sản phẩm điện tử và linh kiện có giá trị nhập khẩu lớn nhất với 24.7 tỷ USD, tăng 29% YoY.</w:t>
      </w:r>
    </w:p>
    <w:p w14:paraId="66EDC368" w14:textId="77777777" w:rsidR="00AA43CC" w:rsidRDefault="00AA43CC" w:rsidP="00AA43CC">
      <w:pPr>
        <w:shd w:val="clear" w:color="auto" w:fill="FFFFFF"/>
        <w:tabs>
          <w:tab w:val="left" w:pos="426"/>
        </w:tabs>
        <w:spacing w:before="120" w:after="0" w:line="240" w:lineRule="auto"/>
        <w:jc w:val="both"/>
        <w:rPr>
          <w:rFonts w:ascii="Times New Roman" w:eastAsia="Times New Roman" w:hAnsi="Times New Roman"/>
          <w:sz w:val="24"/>
          <w:szCs w:val="24"/>
          <w:lang w:val="nl-NL"/>
        </w:rPr>
      </w:pPr>
    </w:p>
    <w:p w14:paraId="7F7C2DA0" w14:textId="77777777" w:rsidR="00AA43CC" w:rsidRPr="00AA43CC" w:rsidRDefault="00AA43CC" w:rsidP="00AA43CC">
      <w:pPr>
        <w:shd w:val="clear" w:color="auto" w:fill="FFFFFF"/>
        <w:tabs>
          <w:tab w:val="left" w:pos="426"/>
        </w:tabs>
        <w:spacing w:before="120" w:after="0" w:line="240" w:lineRule="auto"/>
        <w:jc w:val="both"/>
        <w:rPr>
          <w:rFonts w:ascii="Times New Roman" w:eastAsia="Times New Roman" w:hAnsi="Times New Roman"/>
          <w:sz w:val="24"/>
          <w:szCs w:val="24"/>
          <w:lang w:val="nl-NL"/>
        </w:rPr>
      </w:pPr>
    </w:p>
    <w:p w14:paraId="2039D1DC" w14:textId="77777777" w:rsidR="00C25079" w:rsidRPr="00A34F54" w:rsidRDefault="00C25079" w:rsidP="00C25079">
      <w:pPr>
        <w:shd w:val="clear" w:color="auto" w:fill="FFFFFF"/>
        <w:tabs>
          <w:tab w:val="left" w:pos="426"/>
        </w:tabs>
        <w:spacing w:before="120" w:after="120" w:line="240" w:lineRule="auto"/>
        <w:jc w:val="both"/>
        <w:rPr>
          <w:rFonts w:ascii="Times New Roman" w:hAnsi="Times New Roman"/>
          <w:b/>
          <w:sz w:val="24"/>
          <w:szCs w:val="24"/>
          <w:lang w:val="nl-NL"/>
        </w:rPr>
      </w:pPr>
      <w:r w:rsidRPr="00A34F54">
        <w:rPr>
          <w:rFonts w:ascii="Times New Roman" w:eastAsia="Times New Roman" w:hAnsi="Times New Roman"/>
          <w:b/>
          <w:bCs/>
          <w:sz w:val="24"/>
          <w:szCs w:val="24"/>
          <w:lang w:val="nl-NL"/>
        </w:rPr>
        <w:lastRenderedPageBreak/>
        <w:t>Hoạt động đầu tư</w:t>
      </w:r>
    </w:p>
    <w:p w14:paraId="6534A67B" w14:textId="77777777" w:rsidR="00C25079" w:rsidRDefault="00C25079" w:rsidP="00C25079">
      <w:pPr>
        <w:shd w:val="clear" w:color="auto" w:fill="FFFFFF"/>
        <w:spacing w:after="120" w:line="240" w:lineRule="auto"/>
        <w:jc w:val="both"/>
        <w:rPr>
          <w:rFonts w:ascii="Times New Roman" w:eastAsia="Times New Roman" w:hAnsi="Times New Roman"/>
          <w:sz w:val="24"/>
          <w:szCs w:val="24"/>
          <w:lang w:val="nl-NL"/>
        </w:rPr>
      </w:pPr>
      <w:r w:rsidRPr="00AB0350">
        <w:rPr>
          <w:rFonts w:ascii="Times New Roman" w:eastAsia="Times New Roman" w:hAnsi="Times New Roman"/>
          <w:sz w:val="24"/>
          <w:szCs w:val="24"/>
          <w:lang w:val="nl-NL"/>
        </w:rPr>
        <w:t>Ước tính sáu tháng đầu năm 2024, vốn đầu tư thực hiện toàn xã hội theo giá hiện hành ước đạt 1.451,3 nghìn tỷ đồng, tăng 6,8% so với cùng kỳ năm trước.</w:t>
      </w:r>
      <w:r>
        <w:rPr>
          <w:rFonts w:ascii="Times New Roman" w:eastAsia="Times New Roman" w:hAnsi="Times New Roman"/>
          <w:sz w:val="24"/>
          <w:szCs w:val="24"/>
          <w:lang w:val="nl-NL"/>
        </w:rPr>
        <w:t xml:space="preserve"> </w:t>
      </w:r>
    </w:p>
    <w:p w14:paraId="2FE3BA6A" w14:textId="442A98D2" w:rsidR="00C25079" w:rsidRPr="00D16A4F" w:rsidRDefault="00C25079" w:rsidP="00C25079">
      <w:pPr>
        <w:shd w:val="clear" w:color="auto" w:fill="FFFFFF"/>
        <w:spacing w:after="120" w:line="240" w:lineRule="auto"/>
        <w:jc w:val="both"/>
        <w:rPr>
          <w:rFonts w:ascii="Times New Roman" w:eastAsia="Times New Roman" w:hAnsi="Times New Roman"/>
          <w:sz w:val="24"/>
          <w:szCs w:val="24"/>
          <w:lang w:val="nl-NL"/>
        </w:rPr>
      </w:pPr>
      <w:r w:rsidRPr="00D16A4F">
        <w:rPr>
          <w:rFonts w:ascii="Times New Roman" w:eastAsia="Times New Roman" w:hAnsi="Times New Roman"/>
          <w:sz w:val="24"/>
          <w:szCs w:val="24"/>
          <w:lang w:val="nl-NL"/>
        </w:rPr>
        <w:t>Giải ngân đầu tư công thấp hơn so với năm ngoái, cả về tương đối và tuyệt đối</w:t>
      </w:r>
      <w:r>
        <w:rPr>
          <w:rFonts w:ascii="Times New Roman" w:eastAsia="Times New Roman" w:hAnsi="Times New Roman"/>
          <w:sz w:val="24"/>
          <w:szCs w:val="24"/>
          <w:lang w:val="nl-NL"/>
        </w:rPr>
        <w:t>, đạt 196.7 nghìn tỷ tương ứng với 29</w:t>
      </w:r>
      <w:r w:rsidR="009078D0">
        <w:rPr>
          <w:rFonts w:ascii="Times New Roman" w:eastAsia="Times New Roman" w:hAnsi="Times New Roman"/>
          <w:sz w:val="24"/>
          <w:szCs w:val="24"/>
          <w:lang w:val="nl-NL"/>
        </w:rPr>
        <w:t>,</w:t>
      </w:r>
      <w:r>
        <w:rPr>
          <w:rFonts w:ascii="Times New Roman" w:eastAsia="Times New Roman" w:hAnsi="Times New Roman"/>
          <w:sz w:val="24"/>
          <w:szCs w:val="24"/>
          <w:lang w:val="nl-NL"/>
        </w:rPr>
        <w:t>3% kế hoạch năm</w:t>
      </w:r>
      <w:r w:rsidRPr="00D16A4F">
        <w:rPr>
          <w:rFonts w:ascii="Times New Roman" w:eastAsia="Times New Roman" w:hAnsi="Times New Roman"/>
          <w:sz w:val="24"/>
          <w:szCs w:val="24"/>
          <w:lang w:val="nl-NL"/>
        </w:rPr>
        <w:t xml:space="preserve">. Một </w:t>
      </w:r>
      <w:r>
        <w:rPr>
          <w:rFonts w:ascii="Times New Roman" w:eastAsia="Times New Roman" w:hAnsi="Times New Roman"/>
          <w:sz w:val="24"/>
          <w:szCs w:val="24"/>
          <w:lang w:val="nl-NL"/>
        </w:rPr>
        <w:t xml:space="preserve">trong các </w:t>
      </w:r>
      <w:r w:rsidRPr="00D16A4F">
        <w:rPr>
          <w:rFonts w:ascii="Times New Roman" w:eastAsia="Times New Roman" w:hAnsi="Times New Roman"/>
          <w:sz w:val="24"/>
          <w:szCs w:val="24"/>
          <w:lang w:val="nl-NL"/>
        </w:rPr>
        <w:t xml:space="preserve">lý do là do </w:t>
      </w:r>
      <w:r>
        <w:rPr>
          <w:rFonts w:ascii="Times New Roman" w:eastAsia="Times New Roman" w:hAnsi="Times New Roman"/>
          <w:sz w:val="24"/>
          <w:szCs w:val="24"/>
          <w:lang w:val="nl-NL"/>
        </w:rPr>
        <w:t>mức nền cao trong</w:t>
      </w:r>
      <w:r w:rsidRPr="00D16A4F">
        <w:rPr>
          <w:rFonts w:ascii="Times New Roman" w:eastAsia="Times New Roman" w:hAnsi="Times New Roman"/>
          <w:sz w:val="24"/>
          <w:szCs w:val="24"/>
          <w:lang w:val="nl-NL"/>
        </w:rPr>
        <w:t xml:space="preserve"> năm 2023 (710 nghìn tỷ đồng) nhờ gói kích thích 2022-2023 so với chỉ khoảng 600 nghìn tỷ đồng vào năm 2024. Một lý do khác là do doanh thu ngân sách địa phương chậm hơn do doanh thu quyền sử dụng đất</w:t>
      </w:r>
      <w:r>
        <w:rPr>
          <w:rFonts w:ascii="Times New Roman" w:eastAsia="Times New Roman" w:hAnsi="Times New Roman"/>
          <w:sz w:val="24"/>
          <w:szCs w:val="24"/>
          <w:lang w:val="nl-NL"/>
        </w:rPr>
        <w:t xml:space="preserve"> khá</w:t>
      </w:r>
      <w:r w:rsidRPr="00D16A4F">
        <w:rPr>
          <w:rFonts w:ascii="Times New Roman" w:eastAsia="Times New Roman" w:hAnsi="Times New Roman"/>
          <w:sz w:val="24"/>
          <w:szCs w:val="24"/>
          <w:lang w:val="nl-NL"/>
        </w:rPr>
        <w:t xml:space="preserve"> trì trệ, dẫn đến thiếu hụt </w:t>
      </w:r>
      <w:r>
        <w:rPr>
          <w:rFonts w:ascii="Times New Roman" w:eastAsia="Times New Roman" w:hAnsi="Times New Roman"/>
          <w:sz w:val="24"/>
          <w:szCs w:val="24"/>
          <w:lang w:val="nl-NL"/>
        </w:rPr>
        <w:t>nguồn tiền</w:t>
      </w:r>
      <w:r w:rsidRPr="00D16A4F">
        <w:rPr>
          <w:rFonts w:ascii="Times New Roman" w:eastAsia="Times New Roman" w:hAnsi="Times New Roman"/>
          <w:sz w:val="24"/>
          <w:szCs w:val="24"/>
          <w:lang w:val="nl-NL"/>
        </w:rPr>
        <w:t xml:space="preserve"> cho các dự án đầu tư công. Bộ Tài chính đã cảnh báo trước đó rằng sẽ có khoảng 100 nghìn tỷ đồng thiếu hụt tài chính cho các dự án đầu tư công trong năm nay.</w:t>
      </w:r>
    </w:p>
    <w:p w14:paraId="4E734667" w14:textId="77777777" w:rsidR="00C25079" w:rsidRDefault="00C25079" w:rsidP="00C25079">
      <w:pPr>
        <w:shd w:val="clear" w:color="auto" w:fill="FFFFFF"/>
        <w:spacing w:after="120" w:line="240" w:lineRule="auto"/>
        <w:jc w:val="both"/>
        <w:rPr>
          <w:rFonts w:ascii="Times New Roman" w:eastAsia="Times New Roman" w:hAnsi="Times New Roman"/>
          <w:sz w:val="24"/>
          <w:szCs w:val="24"/>
          <w:lang w:val="nl-NL"/>
        </w:rPr>
      </w:pPr>
      <w:r w:rsidRPr="00AB0350">
        <w:rPr>
          <w:rFonts w:ascii="Times New Roman" w:eastAsia="Times New Roman" w:hAnsi="Times New Roman"/>
          <w:sz w:val="24"/>
          <w:szCs w:val="24"/>
          <w:lang w:val="nl-NL"/>
        </w:rPr>
        <w:t>T</w:t>
      </w:r>
      <w:r>
        <w:rPr>
          <w:rFonts w:ascii="Times New Roman" w:eastAsia="Times New Roman" w:hAnsi="Times New Roman"/>
          <w:sz w:val="24"/>
          <w:szCs w:val="24"/>
          <w:lang w:val="nl-NL"/>
        </w:rPr>
        <w:t>rong khi đó, t</w:t>
      </w:r>
      <w:r w:rsidRPr="00AB0350">
        <w:rPr>
          <w:rFonts w:ascii="Times New Roman" w:eastAsia="Times New Roman" w:hAnsi="Times New Roman"/>
          <w:sz w:val="24"/>
          <w:szCs w:val="24"/>
          <w:lang w:val="nl-NL"/>
        </w:rPr>
        <w:t xml:space="preserve">ổng vốn đầu tư nước ngoài </w:t>
      </w:r>
      <w:r>
        <w:rPr>
          <w:rFonts w:ascii="Times New Roman" w:eastAsia="Times New Roman" w:hAnsi="Times New Roman"/>
          <w:sz w:val="24"/>
          <w:szCs w:val="24"/>
          <w:lang w:val="nl-NL"/>
        </w:rPr>
        <w:t>trong 6 tháng đạt mức cao kỷ lục:</w:t>
      </w:r>
    </w:p>
    <w:p w14:paraId="3760CBB7" w14:textId="77777777" w:rsidR="00C25079" w:rsidRPr="00FA5F48" w:rsidRDefault="00C25079" w:rsidP="00C25079">
      <w:pPr>
        <w:pStyle w:val="ListParagraph"/>
        <w:numPr>
          <w:ilvl w:val="0"/>
          <w:numId w:val="21"/>
        </w:numPr>
        <w:shd w:val="clear" w:color="auto" w:fill="FFFFFF"/>
        <w:spacing w:after="120" w:line="240" w:lineRule="auto"/>
        <w:jc w:val="both"/>
        <w:rPr>
          <w:rFonts w:ascii="Times New Roman" w:eastAsia="Times New Roman" w:hAnsi="Times New Roman"/>
          <w:sz w:val="24"/>
          <w:szCs w:val="24"/>
          <w:lang w:val="nl-NL"/>
        </w:rPr>
      </w:pPr>
      <w:r w:rsidRPr="00FA5F48">
        <w:rPr>
          <w:rFonts w:ascii="Times New Roman" w:eastAsia="Times New Roman" w:hAnsi="Times New Roman"/>
          <w:sz w:val="24"/>
          <w:szCs w:val="24"/>
          <w:lang w:val="nl-NL"/>
        </w:rPr>
        <w:t>Vốn đăng ký cấp mới, vốn đăng ký điều chỉnh và giá trị góp vốn, mua cổ phần của nhà đầu tư nước ngoài đạt gần 15,19 tỷ USD, tăng 13,1% so với cùng kỳ năm trước.</w:t>
      </w:r>
    </w:p>
    <w:p w14:paraId="1773ED58" w14:textId="77777777" w:rsidR="00C25079" w:rsidRPr="00FA5F48" w:rsidRDefault="00C25079" w:rsidP="00C25079">
      <w:pPr>
        <w:pStyle w:val="ListParagraph"/>
        <w:numPr>
          <w:ilvl w:val="0"/>
          <w:numId w:val="21"/>
        </w:numPr>
        <w:shd w:val="clear" w:color="auto" w:fill="FFFFFF"/>
        <w:spacing w:after="120" w:line="240" w:lineRule="auto"/>
        <w:jc w:val="both"/>
        <w:rPr>
          <w:rFonts w:ascii="Times New Roman" w:eastAsia="Times New Roman" w:hAnsi="Times New Roman"/>
          <w:sz w:val="24"/>
          <w:szCs w:val="24"/>
          <w:lang w:val="nl-NL"/>
        </w:rPr>
      </w:pPr>
      <w:r w:rsidRPr="00FA5F48">
        <w:rPr>
          <w:rFonts w:ascii="Times New Roman" w:eastAsia="Times New Roman" w:hAnsi="Times New Roman"/>
          <w:sz w:val="24"/>
          <w:szCs w:val="24"/>
          <w:lang w:val="nl-NL"/>
        </w:rPr>
        <w:t>Vốn đầu tư trực tiếp nước ngoài thực hiện tại Việt Nam sáu tháng đầu năm 2024 ước đạt 10,84 tỷ USD, tăng 8,2% so với cùng kỳ năm trước. Đây là số vốn đầu tư trực tiếp nước ngoài thực hiện cao nhất của sáu tháng đầu năm trong 5 năm qua.</w:t>
      </w:r>
      <w:r>
        <w:rPr>
          <w:rFonts w:ascii="Times New Roman" w:eastAsia="Times New Roman" w:hAnsi="Times New Roman"/>
          <w:sz w:val="24"/>
          <w:szCs w:val="24"/>
          <w:lang w:val="nl-NL"/>
        </w:rPr>
        <w:t xml:space="preserve"> Mức giải ngân vốn FDI được dự báo tiếp tục tăng mạnh trong nửa cuối năm n</w:t>
      </w:r>
      <w:r w:rsidRPr="00AC570F">
        <w:rPr>
          <w:rFonts w:ascii="Times New Roman" w:eastAsia="Times New Roman" w:hAnsi="Times New Roman"/>
          <w:sz w:val="24"/>
          <w:szCs w:val="24"/>
          <w:lang w:val="nl-NL"/>
        </w:rPr>
        <w:t xml:space="preserve">hờ vào các dự án lớn đã được đăng ký trong năm 2023 và những lợi thế cơ bản của Việt Nam (bao gồm vị trí địa lý, các hiệp định thương mại tự do, và chi phí lao động, </w:t>
      </w:r>
      <w:r>
        <w:rPr>
          <w:rFonts w:ascii="Times New Roman" w:eastAsia="Times New Roman" w:hAnsi="Times New Roman"/>
          <w:sz w:val="24"/>
          <w:szCs w:val="24"/>
          <w:lang w:val="nl-NL"/>
        </w:rPr>
        <w:t>...</w:t>
      </w:r>
      <w:r w:rsidRPr="00AC570F">
        <w:rPr>
          <w:rFonts w:ascii="Times New Roman" w:eastAsia="Times New Roman" w:hAnsi="Times New Roman"/>
          <w:sz w:val="24"/>
          <w:szCs w:val="24"/>
          <w:lang w:val="nl-NL"/>
        </w:rPr>
        <w:t xml:space="preserve">), sự </w:t>
      </w:r>
      <w:r>
        <w:rPr>
          <w:rFonts w:ascii="Times New Roman" w:eastAsia="Times New Roman" w:hAnsi="Times New Roman"/>
          <w:sz w:val="24"/>
          <w:szCs w:val="24"/>
          <w:lang w:val="nl-NL"/>
        </w:rPr>
        <w:t>chuyển dịch</w:t>
      </w:r>
      <w:r w:rsidRPr="00AC570F">
        <w:rPr>
          <w:rFonts w:ascii="Times New Roman" w:eastAsia="Times New Roman" w:hAnsi="Times New Roman"/>
          <w:sz w:val="24"/>
          <w:szCs w:val="24"/>
          <w:lang w:val="nl-NL"/>
        </w:rPr>
        <w:t xml:space="preserve"> đầu tư của các tập đoàn đa quốc gia từ Trung Quốc sang Việt Nam, và việc nâng cấp quan hệ ngoại giao gần đây giữa Việt Nam và Mỹ, Việt Nam và Nhật Bản, và gần đây nhất là Việt Nam và Úc.</w:t>
      </w:r>
    </w:p>
    <w:p w14:paraId="556515D8" w14:textId="77777777" w:rsidR="00C25079" w:rsidRPr="00A34F54" w:rsidRDefault="00C25079" w:rsidP="00C25079">
      <w:pPr>
        <w:shd w:val="clear" w:color="auto" w:fill="FFFFFF"/>
        <w:spacing w:after="120" w:line="240" w:lineRule="auto"/>
        <w:jc w:val="both"/>
        <w:rPr>
          <w:rFonts w:ascii="Times New Roman" w:hAnsi="Times New Roman"/>
          <w:b/>
          <w:sz w:val="24"/>
          <w:szCs w:val="24"/>
          <w:lang w:val="nl-NL"/>
        </w:rPr>
      </w:pPr>
      <w:r w:rsidRPr="00A34F54">
        <w:rPr>
          <w:rFonts w:ascii="Times New Roman" w:hAnsi="Times New Roman"/>
          <w:b/>
          <w:sz w:val="24"/>
          <w:szCs w:val="24"/>
          <w:lang w:val="nl-NL"/>
        </w:rPr>
        <w:t>Thị trường chứng khoán</w:t>
      </w:r>
    </w:p>
    <w:p w14:paraId="2203E73F" w14:textId="77777777" w:rsidR="00C25079" w:rsidRPr="007940AA" w:rsidRDefault="00C25079" w:rsidP="00C25079">
      <w:pPr>
        <w:pStyle w:val="NormalWeb"/>
        <w:spacing w:before="0" w:beforeAutospacing="0" w:after="120" w:afterAutospacing="0"/>
        <w:jc w:val="both"/>
        <w:rPr>
          <w:lang w:val="nl-NL"/>
        </w:rPr>
      </w:pPr>
      <w:r w:rsidRPr="00E30740">
        <w:rPr>
          <w:lang w:val="nl-NL"/>
        </w:rPr>
        <w:t>T</w:t>
      </w:r>
      <w:r>
        <w:rPr>
          <w:lang w:val="nl-NL"/>
        </w:rPr>
        <w:t>rong tháng 4 và 5, t</w:t>
      </w:r>
      <w:r w:rsidRPr="00E30740">
        <w:rPr>
          <w:lang w:val="nl-NL"/>
        </w:rPr>
        <w:t>hị trường</w:t>
      </w:r>
      <w:r>
        <w:rPr>
          <w:lang w:val="nl-NL"/>
        </w:rPr>
        <w:t xml:space="preserve"> chứng khoán</w:t>
      </w:r>
      <w:r w:rsidRPr="00E30740">
        <w:rPr>
          <w:lang w:val="nl-NL"/>
        </w:rPr>
        <w:t xml:space="preserve"> hạ nhiệt sau đà bứt phá của 3 tháng đầu năm</w:t>
      </w:r>
      <w:r>
        <w:rPr>
          <w:lang w:val="nl-NL"/>
        </w:rPr>
        <w:t>, tuy nhiên c</w:t>
      </w:r>
      <w:r w:rsidRPr="007940AA">
        <w:rPr>
          <w:lang w:val="nl-NL"/>
        </w:rPr>
        <w:t xml:space="preserve">hỉ số VN-Index đã thể hiện xu hướng tích cực vào đầu tháng 6, vượt qua mốc tâm lý 1.300 điểm vào ngày 13 tháng 6. </w:t>
      </w:r>
      <w:r>
        <w:rPr>
          <w:lang w:val="nl-NL"/>
        </w:rPr>
        <w:t>Cuối tháng 6</w:t>
      </w:r>
      <w:r w:rsidRPr="007940AA">
        <w:rPr>
          <w:lang w:val="nl-NL"/>
        </w:rPr>
        <w:t>, chỉ số đã điều chỉnh do áp lực tỷ giá và lãi suất tiền gửi ngân hàng tăng</w:t>
      </w:r>
      <w:r>
        <w:rPr>
          <w:lang w:val="nl-NL"/>
        </w:rPr>
        <w:t xml:space="preserve">. Chỉ số VNINDEX </w:t>
      </w:r>
      <w:r w:rsidRPr="007940AA">
        <w:rPr>
          <w:lang w:val="nl-NL"/>
        </w:rPr>
        <w:t>ghi nhận</w:t>
      </w:r>
      <w:r>
        <w:rPr>
          <w:lang w:val="nl-NL"/>
        </w:rPr>
        <w:t xml:space="preserve"> mức</w:t>
      </w:r>
      <w:r w:rsidRPr="007940AA">
        <w:rPr>
          <w:lang w:val="nl-NL"/>
        </w:rPr>
        <w:t xml:space="preserve"> tăng 10,2% trong nửa đầu năm.</w:t>
      </w:r>
      <w:r>
        <w:rPr>
          <w:lang w:val="nl-NL"/>
        </w:rPr>
        <w:t xml:space="preserve"> Đáng chú ý, t</w:t>
      </w:r>
      <w:r w:rsidRPr="007940AA">
        <w:rPr>
          <w:lang w:val="nl-NL"/>
        </w:rPr>
        <w:t xml:space="preserve">ính </w:t>
      </w:r>
      <w:r>
        <w:rPr>
          <w:lang w:val="nl-NL"/>
        </w:rPr>
        <w:t>từ đầu</w:t>
      </w:r>
      <w:r w:rsidRPr="007940AA">
        <w:rPr>
          <w:lang w:val="nl-NL"/>
        </w:rPr>
        <w:t xml:space="preserve"> năm, nhà đầu tư nước ngoài đã bán ròng một lượng lớn 52,6 nghìn tỷ đồng, giảm tỷ trọng sở hữu trên sàn giao dịch chứng khoán Việt Nam xuống còn 16,4%, mức thấp nhất trong hai năm qua.</w:t>
      </w:r>
    </w:p>
    <w:p w14:paraId="0ACB2552" w14:textId="77777777" w:rsidR="00C25079" w:rsidRPr="00E30740" w:rsidRDefault="00C25079" w:rsidP="00C25079">
      <w:pPr>
        <w:shd w:val="clear" w:color="auto" w:fill="FFFFFF"/>
        <w:tabs>
          <w:tab w:val="left" w:pos="426"/>
        </w:tabs>
        <w:spacing w:after="120" w:line="240" w:lineRule="auto"/>
        <w:jc w:val="both"/>
        <w:rPr>
          <w:rFonts w:ascii="Times New Roman" w:eastAsia="Times New Roman" w:hAnsi="Times New Roman"/>
          <w:sz w:val="24"/>
          <w:szCs w:val="24"/>
          <w:lang w:val="nl-NL"/>
        </w:rPr>
      </w:pPr>
      <w:r w:rsidRPr="00E30740">
        <w:rPr>
          <w:rFonts w:ascii="Times New Roman" w:eastAsia="Times New Roman" w:hAnsi="Times New Roman"/>
          <w:sz w:val="24"/>
          <w:szCs w:val="24"/>
          <w:lang w:val="nl-NL"/>
        </w:rPr>
        <w:t xml:space="preserve">Tăng trưởng lợi nhuận </w:t>
      </w:r>
      <w:r>
        <w:rPr>
          <w:rFonts w:ascii="Times New Roman" w:eastAsia="Times New Roman" w:hAnsi="Times New Roman"/>
          <w:sz w:val="24"/>
          <w:szCs w:val="24"/>
          <w:lang w:val="nl-NL"/>
        </w:rPr>
        <w:t>Quý</w:t>
      </w:r>
      <w:r w:rsidRPr="00E30740">
        <w:rPr>
          <w:rFonts w:ascii="Times New Roman" w:eastAsia="Times New Roman" w:hAnsi="Times New Roman"/>
          <w:sz w:val="24"/>
          <w:szCs w:val="24"/>
          <w:lang w:val="nl-NL"/>
        </w:rPr>
        <w:t xml:space="preserve"> 1</w:t>
      </w:r>
      <w:r>
        <w:rPr>
          <w:rFonts w:ascii="Times New Roman" w:eastAsia="Times New Roman" w:hAnsi="Times New Roman"/>
          <w:sz w:val="24"/>
          <w:szCs w:val="24"/>
          <w:lang w:val="nl-NL"/>
        </w:rPr>
        <w:t>/</w:t>
      </w:r>
      <w:r w:rsidRPr="00E30740">
        <w:rPr>
          <w:rFonts w:ascii="Times New Roman" w:eastAsia="Times New Roman" w:hAnsi="Times New Roman"/>
          <w:sz w:val="24"/>
          <w:szCs w:val="24"/>
          <w:lang w:val="nl-NL"/>
        </w:rPr>
        <w:t xml:space="preserve">2024 của VN-Index phần lớn được thúc đẩy bởi ngành </w:t>
      </w:r>
      <w:r>
        <w:rPr>
          <w:rFonts w:ascii="Times New Roman" w:eastAsia="Times New Roman" w:hAnsi="Times New Roman"/>
          <w:sz w:val="24"/>
          <w:szCs w:val="24"/>
          <w:lang w:val="nl-NL"/>
        </w:rPr>
        <w:t>n</w:t>
      </w:r>
      <w:r w:rsidRPr="00E30740">
        <w:rPr>
          <w:rFonts w:ascii="Times New Roman" w:eastAsia="Times New Roman" w:hAnsi="Times New Roman"/>
          <w:sz w:val="24"/>
          <w:szCs w:val="24"/>
          <w:lang w:val="nl-NL"/>
        </w:rPr>
        <w:t>gân hàng khi đóng góp hơn 56% tổng</w:t>
      </w:r>
      <w:r>
        <w:rPr>
          <w:rFonts w:ascii="Times New Roman" w:eastAsia="Times New Roman" w:hAnsi="Times New Roman"/>
          <w:sz w:val="24"/>
          <w:szCs w:val="24"/>
          <w:lang w:val="nl-NL"/>
        </w:rPr>
        <w:t xml:space="preserve"> </w:t>
      </w:r>
      <w:r w:rsidRPr="00E30740">
        <w:rPr>
          <w:rFonts w:ascii="Times New Roman" w:eastAsia="Times New Roman" w:hAnsi="Times New Roman"/>
          <w:sz w:val="24"/>
          <w:szCs w:val="24"/>
          <w:lang w:val="nl-NL"/>
        </w:rPr>
        <w:t>lợi nhuận</w:t>
      </w:r>
      <w:r>
        <w:rPr>
          <w:rFonts w:ascii="Times New Roman" w:eastAsia="Times New Roman" w:hAnsi="Times New Roman"/>
          <w:sz w:val="24"/>
          <w:szCs w:val="24"/>
          <w:lang w:val="nl-NL"/>
        </w:rPr>
        <w:t xml:space="preserve"> toàn thị trường</w:t>
      </w:r>
      <w:r w:rsidRPr="00E30740">
        <w:rPr>
          <w:rFonts w:ascii="Times New Roman" w:eastAsia="Times New Roman" w:hAnsi="Times New Roman"/>
          <w:sz w:val="24"/>
          <w:szCs w:val="24"/>
          <w:lang w:val="nl-NL"/>
        </w:rPr>
        <w:t xml:space="preserve">. Các tín hiệu tích cực cũng được ghi nhận ở một số nhóm ngành khác như </w:t>
      </w:r>
      <w:r>
        <w:rPr>
          <w:rFonts w:ascii="Times New Roman" w:eastAsia="Times New Roman" w:hAnsi="Times New Roman"/>
          <w:sz w:val="24"/>
          <w:szCs w:val="24"/>
          <w:lang w:val="nl-NL"/>
        </w:rPr>
        <w:t>v</w:t>
      </w:r>
      <w:r w:rsidRPr="00E30740">
        <w:rPr>
          <w:rFonts w:ascii="Times New Roman" w:eastAsia="Times New Roman" w:hAnsi="Times New Roman"/>
          <w:sz w:val="24"/>
          <w:szCs w:val="24"/>
          <w:lang w:val="nl-NL"/>
        </w:rPr>
        <w:t xml:space="preserve">ật liệu (đặc biệt là </w:t>
      </w:r>
      <w:r>
        <w:rPr>
          <w:rFonts w:ascii="Times New Roman" w:eastAsia="Times New Roman" w:hAnsi="Times New Roman"/>
          <w:sz w:val="24"/>
          <w:szCs w:val="24"/>
          <w:lang w:val="nl-NL"/>
        </w:rPr>
        <w:t>t</w:t>
      </w:r>
      <w:r w:rsidRPr="00E30740">
        <w:rPr>
          <w:rFonts w:ascii="Times New Roman" w:eastAsia="Times New Roman" w:hAnsi="Times New Roman"/>
          <w:sz w:val="24"/>
          <w:szCs w:val="24"/>
          <w:lang w:val="nl-NL"/>
        </w:rPr>
        <w:t>hép với HPG), Vận tải (HVN) và Bán lẻ (MWG), tất cả đều cho thấy sự</w:t>
      </w:r>
      <w:r>
        <w:rPr>
          <w:rFonts w:ascii="Times New Roman" w:eastAsia="Times New Roman" w:hAnsi="Times New Roman"/>
          <w:sz w:val="24"/>
          <w:szCs w:val="24"/>
          <w:lang w:val="nl-NL"/>
        </w:rPr>
        <w:t xml:space="preserve"> </w:t>
      </w:r>
      <w:r w:rsidRPr="00E30740">
        <w:rPr>
          <w:rFonts w:ascii="Times New Roman" w:eastAsia="Times New Roman" w:hAnsi="Times New Roman"/>
          <w:sz w:val="24"/>
          <w:szCs w:val="24"/>
          <w:lang w:val="nl-NL"/>
        </w:rPr>
        <w:t xml:space="preserve">cải thiện trong tăng trưởng lợi nhuận đáng kể so với cùng kỳ. Tuy nhiên, diễn biến này </w:t>
      </w:r>
      <w:r>
        <w:rPr>
          <w:rFonts w:ascii="Times New Roman" w:eastAsia="Times New Roman" w:hAnsi="Times New Roman"/>
          <w:sz w:val="24"/>
          <w:szCs w:val="24"/>
          <w:lang w:val="nl-NL"/>
        </w:rPr>
        <w:t xml:space="preserve">đã không </w:t>
      </w:r>
      <w:r w:rsidRPr="00E30740">
        <w:rPr>
          <w:rFonts w:ascii="Times New Roman" w:eastAsia="Times New Roman" w:hAnsi="Times New Roman"/>
          <w:sz w:val="24"/>
          <w:szCs w:val="24"/>
          <w:lang w:val="nl-NL"/>
        </w:rPr>
        <w:t xml:space="preserve">thể tiếp tục trong </w:t>
      </w:r>
      <w:r>
        <w:rPr>
          <w:rFonts w:ascii="Times New Roman" w:eastAsia="Times New Roman" w:hAnsi="Times New Roman"/>
          <w:sz w:val="24"/>
          <w:szCs w:val="24"/>
          <w:lang w:val="nl-NL"/>
        </w:rPr>
        <w:t>Quý</w:t>
      </w:r>
      <w:r w:rsidRPr="00E30740">
        <w:rPr>
          <w:rFonts w:ascii="Times New Roman" w:eastAsia="Times New Roman" w:hAnsi="Times New Roman"/>
          <w:sz w:val="24"/>
          <w:szCs w:val="24"/>
          <w:lang w:val="nl-NL"/>
        </w:rPr>
        <w:t xml:space="preserve"> 2 năm 2024 do: (1) Tăng trưởng tín dụng chậm hơn dự</w:t>
      </w:r>
      <w:r>
        <w:rPr>
          <w:rFonts w:ascii="Times New Roman" w:eastAsia="Times New Roman" w:hAnsi="Times New Roman"/>
          <w:sz w:val="24"/>
          <w:szCs w:val="24"/>
          <w:lang w:val="nl-NL"/>
        </w:rPr>
        <w:t xml:space="preserve"> </w:t>
      </w:r>
      <w:r w:rsidRPr="00E30740">
        <w:rPr>
          <w:rFonts w:ascii="Times New Roman" w:eastAsia="Times New Roman" w:hAnsi="Times New Roman"/>
          <w:sz w:val="24"/>
          <w:szCs w:val="24"/>
          <w:lang w:val="nl-NL"/>
        </w:rPr>
        <w:t xml:space="preserve">kiến trong 6 tháng đầu năm 2024; (2) tăng trưởng lợi nhuận của ngành Ngân hàng trong </w:t>
      </w:r>
      <w:r>
        <w:rPr>
          <w:rFonts w:ascii="Times New Roman" w:eastAsia="Times New Roman" w:hAnsi="Times New Roman"/>
          <w:sz w:val="24"/>
          <w:szCs w:val="24"/>
          <w:lang w:val="nl-NL"/>
        </w:rPr>
        <w:t>Quý</w:t>
      </w:r>
      <w:r w:rsidRPr="00E30740">
        <w:rPr>
          <w:rFonts w:ascii="Times New Roman" w:eastAsia="Times New Roman" w:hAnsi="Times New Roman"/>
          <w:sz w:val="24"/>
          <w:szCs w:val="24"/>
          <w:lang w:val="nl-NL"/>
        </w:rPr>
        <w:t xml:space="preserve"> 2 dự kiến sẽ gặp nhiều thách thức, có thể ảnh hưởng đến EPS</w:t>
      </w:r>
      <w:r>
        <w:rPr>
          <w:rFonts w:ascii="Times New Roman" w:eastAsia="Times New Roman" w:hAnsi="Times New Roman"/>
          <w:sz w:val="24"/>
          <w:szCs w:val="24"/>
          <w:lang w:val="nl-NL"/>
        </w:rPr>
        <w:t xml:space="preserve"> </w:t>
      </w:r>
      <w:r w:rsidRPr="00E30740">
        <w:rPr>
          <w:rFonts w:ascii="Times New Roman" w:eastAsia="Times New Roman" w:hAnsi="Times New Roman"/>
          <w:sz w:val="24"/>
          <w:szCs w:val="24"/>
          <w:lang w:val="nl-NL"/>
        </w:rPr>
        <w:t>toàn thị trường và gây sức ép lên đà tăng điểm chung của thị trường</w:t>
      </w:r>
      <w:r>
        <w:rPr>
          <w:rFonts w:ascii="Times New Roman" w:eastAsia="Times New Roman" w:hAnsi="Times New Roman"/>
          <w:sz w:val="24"/>
          <w:szCs w:val="24"/>
          <w:lang w:val="nl-NL"/>
        </w:rPr>
        <w:t>.</w:t>
      </w:r>
    </w:p>
    <w:p w14:paraId="2E636E91" w14:textId="77777777" w:rsidR="00C25079" w:rsidRPr="00A34F54" w:rsidRDefault="00C25079" w:rsidP="00C25079">
      <w:pPr>
        <w:shd w:val="clear" w:color="auto" w:fill="FFFFFF"/>
        <w:tabs>
          <w:tab w:val="left" w:pos="426"/>
        </w:tabs>
        <w:spacing w:before="120" w:after="0" w:line="240" w:lineRule="auto"/>
        <w:jc w:val="both"/>
        <w:rPr>
          <w:rFonts w:ascii="Times New Roman" w:hAnsi="Times New Roman"/>
          <w:b/>
          <w:sz w:val="24"/>
          <w:szCs w:val="24"/>
          <w:lang w:val="nl-NL"/>
        </w:rPr>
      </w:pPr>
      <w:r w:rsidRPr="00A34F54">
        <w:rPr>
          <w:rFonts w:ascii="Times New Roman" w:hAnsi="Times New Roman"/>
          <w:b/>
          <w:sz w:val="24"/>
          <w:szCs w:val="24"/>
          <w:lang w:val="nl-NL"/>
        </w:rPr>
        <w:t>Thị trường trái phiếu</w:t>
      </w:r>
      <w:r>
        <w:rPr>
          <w:rFonts w:ascii="Times New Roman" w:hAnsi="Times New Roman"/>
          <w:b/>
          <w:sz w:val="24"/>
          <w:szCs w:val="24"/>
          <w:lang w:val="nl-NL"/>
        </w:rPr>
        <w:t xml:space="preserve"> Chính phủ sơ cấp</w:t>
      </w:r>
    </w:p>
    <w:p w14:paraId="379577DC" w14:textId="68F705B9" w:rsidR="00C25079" w:rsidRDefault="00C25079" w:rsidP="00C25079">
      <w:pPr>
        <w:shd w:val="clear" w:color="auto" w:fill="FFFFFF"/>
        <w:tabs>
          <w:tab w:val="left" w:pos="540"/>
        </w:tabs>
        <w:spacing w:before="120" w:after="0" w:line="240" w:lineRule="auto"/>
        <w:jc w:val="both"/>
        <w:rPr>
          <w:rFonts w:ascii="Times New Roman" w:hAnsi="Times New Roman"/>
          <w:bCs/>
          <w:sz w:val="24"/>
          <w:szCs w:val="24"/>
          <w:lang w:val="nl-NL"/>
        </w:rPr>
      </w:pPr>
      <w:r w:rsidRPr="00765CF1">
        <w:rPr>
          <w:rFonts w:ascii="Times New Roman" w:hAnsi="Times New Roman"/>
          <w:bCs/>
          <w:sz w:val="24"/>
          <w:szCs w:val="24"/>
          <w:lang w:val="nl-NL"/>
        </w:rPr>
        <w:t>Trong 6 tháng đầu năm 2024, Kho bạc Nhà nước (KBNN) đã tổ chức tổng cộng 111 đợt đấu thầu trái phiếu Chính phủ (TPCP) với tổng giá trị gọi thầu là 259,000 tỷ đồng, trong đó giá trị trúng thầu đạt 156,502 tỷ đồng, tương đương tỷ lệ trúng thầu/gọi thầu là 60</w:t>
      </w:r>
      <w:r w:rsidR="009078D0">
        <w:rPr>
          <w:rFonts w:ascii="Times New Roman" w:hAnsi="Times New Roman"/>
          <w:bCs/>
          <w:sz w:val="24"/>
          <w:szCs w:val="24"/>
          <w:lang w:val="nl-NL"/>
        </w:rPr>
        <w:t>,</w:t>
      </w:r>
      <w:r w:rsidRPr="00765CF1">
        <w:rPr>
          <w:rFonts w:ascii="Times New Roman" w:hAnsi="Times New Roman"/>
          <w:bCs/>
          <w:sz w:val="24"/>
          <w:szCs w:val="24"/>
          <w:lang w:val="nl-NL"/>
        </w:rPr>
        <w:t>4%. Tổng giá trị trúng thầu trong 6 tháng đầu năm chiếm 39</w:t>
      </w:r>
      <w:r w:rsidR="009078D0">
        <w:rPr>
          <w:rFonts w:ascii="Times New Roman" w:hAnsi="Times New Roman"/>
          <w:bCs/>
          <w:sz w:val="24"/>
          <w:szCs w:val="24"/>
          <w:lang w:val="nl-NL"/>
        </w:rPr>
        <w:t>,</w:t>
      </w:r>
      <w:r w:rsidRPr="00765CF1">
        <w:rPr>
          <w:rFonts w:ascii="Times New Roman" w:hAnsi="Times New Roman"/>
          <w:bCs/>
          <w:sz w:val="24"/>
          <w:szCs w:val="24"/>
          <w:lang w:val="nl-NL"/>
        </w:rPr>
        <w:t>1% kế hoạch cả năm (400,000 tỷ đồng). Trong Quý 1, KBNN đã tổ chức 51 đợt đấu thầu với giá trị trúng thầu là 80,229 tỷ đồng, đạt 63% kế hoạch Quý 1 (127,000 tỷ đồng). Trong Quý 2, KBNN tổ chức 60 đợt đấu thầu với giá trị trúng thầu là 76,273 tỷ đồng, đạt 63</w:t>
      </w:r>
      <w:r w:rsidR="009078D0">
        <w:rPr>
          <w:rFonts w:ascii="Times New Roman" w:hAnsi="Times New Roman"/>
          <w:bCs/>
          <w:sz w:val="24"/>
          <w:szCs w:val="24"/>
          <w:lang w:val="nl-NL"/>
        </w:rPr>
        <w:t>,</w:t>
      </w:r>
      <w:r w:rsidRPr="00765CF1">
        <w:rPr>
          <w:rFonts w:ascii="Times New Roman" w:hAnsi="Times New Roman"/>
          <w:bCs/>
          <w:sz w:val="24"/>
          <w:szCs w:val="24"/>
          <w:lang w:val="nl-NL"/>
        </w:rPr>
        <w:t>6% kế hoạch Quý 2 (120,000 tỷ đồng). Giá trị trúng thầu tập trung chủ yếu ở các kỳ hạn 5 năm (35,250 tỷ đồng), 10 năm (74,389 tỷ đồng), và 15 năm (38,206 tỷ đồng). Các kỳ hạn 20 năm và 30 năm lần lượt đạt 3,970 tỷ đồng và 4,287 tỷ đồng, trong khi kỳ hạn 7 năm chỉ đạt 400 tỷ đồng. Kỳ hạn phát hành bình quân trong Quý 1 là 10</w:t>
      </w:r>
      <w:r w:rsidR="009078D0">
        <w:rPr>
          <w:rFonts w:ascii="Times New Roman" w:hAnsi="Times New Roman"/>
          <w:bCs/>
          <w:sz w:val="24"/>
          <w:szCs w:val="24"/>
          <w:lang w:val="nl-NL"/>
        </w:rPr>
        <w:t>,</w:t>
      </w:r>
      <w:r w:rsidRPr="00765CF1">
        <w:rPr>
          <w:rFonts w:ascii="Times New Roman" w:hAnsi="Times New Roman"/>
          <w:bCs/>
          <w:sz w:val="24"/>
          <w:szCs w:val="24"/>
          <w:lang w:val="nl-NL"/>
        </w:rPr>
        <w:t>39 năm với lãi suất bình quân 2</w:t>
      </w:r>
      <w:r w:rsidR="009078D0">
        <w:rPr>
          <w:rFonts w:ascii="Times New Roman" w:hAnsi="Times New Roman"/>
          <w:bCs/>
          <w:sz w:val="24"/>
          <w:szCs w:val="24"/>
          <w:lang w:val="nl-NL"/>
        </w:rPr>
        <w:t>,</w:t>
      </w:r>
      <w:r w:rsidRPr="00765CF1">
        <w:rPr>
          <w:rFonts w:ascii="Times New Roman" w:hAnsi="Times New Roman"/>
          <w:bCs/>
          <w:sz w:val="24"/>
          <w:szCs w:val="24"/>
          <w:lang w:val="nl-NL"/>
        </w:rPr>
        <w:t>01%, trong khi Quý 2 là 10</w:t>
      </w:r>
      <w:r w:rsidR="009078D0">
        <w:rPr>
          <w:rFonts w:ascii="Times New Roman" w:hAnsi="Times New Roman"/>
          <w:bCs/>
          <w:sz w:val="24"/>
          <w:szCs w:val="24"/>
          <w:lang w:val="nl-NL"/>
        </w:rPr>
        <w:t>,</w:t>
      </w:r>
      <w:r w:rsidRPr="00765CF1">
        <w:rPr>
          <w:rFonts w:ascii="Times New Roman" w:hAnsi="Times New Roman"/>
          <w:bCs/>
          <w:sz w:val="24"/>
          <w:szCs w:val="24"/>
          <w:lang w:val="nl-NL"/>
        </w:rPr>
        <w:t>22 năm với lãi suất bình quân 2</w:t>
      </w:r>
      <w:r w:rsidR="009078D0">
        <w:rPr>
          <w:rFonts w:ascii="Times New Roman" w:hAnsi="Times New Roman"/>
          <w:bCs/>
          <w:sz w:val="24"/>
          <w:szCs w:val="24"/>
          <w:lang w:val="nl-NL"/>
        </w:rPr>
        <w:t>,</w:t>
      </w:r>
      <w:r w:rsidRPr="00765CF1">
        <w:rPr>
          <w:rFonts w:ascii="Times New Roman" w:hAnsi="Times New Roman"/>
          <w:bCs/>
          <w:sz w:val="24"/>
          <w:szCs w:val="24"/>
          <w:lang w:val="nl-NL"/>
        </w:rPr>
        <w:t>42%. Lãi suất phát hành bình quân trong Quý 1 giảm so với đầu năm 2023, nhưng đã tăng trở lại trong Quý 2. Cụ thể, lãi suất phát hành kỳ hạn 5 năm tăng từ 1</w:t>
      </w:r>
      <w:r w:rsidR="009078D0">
        <w:rPr>
          <w:rFonts w:ascii="Times New Roman" w:hAnsi="Times New Roman"/>
          <w:bCs/>
          <w:sz w:val="24"/>
          <w:szCs w:val="24"/>
          <w:lang w:val="nl-NL"/>
        </w:rPr>
        <w:t>,</w:t>
      </w:r>
      <w:r w:rsidRPr="00765CF1">
        <w:rPr>
          <w:rFonts w:ascii="Times New Roman" w:hAnsi="Times New Roman"/>
          <w:bCs/>
          <w:sz w:val="24"/>
          <w:szCs w:val="24"/>
          <w:lang w:val="nl-NL"/>
        </w:rPr>
        <w:t>42% lên 1</w:t>
      </w:r>
      <w:r w:rsidR="009078D0">
        <w:rPr>
          <w:rFonts w:ascii="Times New Roman" w:hAnsi="Times New Roman"/>
          <w:bCs/>
          <w:sz w:val="24"/>
          <w:szCs w:val="24"/>
          <w:lang w:val="nl-NL"/>
        </w:rPr>
        <w:t>,</w:t>
      </w:r>
      <w:r w:rsidRPr="00765CF1">
        <w:rPr>
          <w:rFonts w:ascii="Times New Roman" w:hAnsi="Times New Roman"/>
          <w:bCs/>
          <w:sz w:val="24"/>
          <w:szCs w:val="24"/>
          <w:lang w:val="nl-NL"/>
        </w:rPr>
        <w:t>65%, kỳ hạn 10 năm tăng từ 2</w:t>
      </w:r>
      <w:r w:rsidR="009078D0">
        <w:rPr>
          <w:rFonts w:ascii="Times New Roman" w:hAnsi="Times New Roman"/>
          <w:bCs/>
          <w:sz w:val="24"/>
          <w:szCs w:val="24"/>
          <w:lang w:val="nl-NL"/>
        </w:rPr>
        <w:t>,</w:t>
      </w:r>
      <w:r w:rsidRPr="00765CF1">
        <w:rPr>
          <w:rFonts w:ascii="Times New Roman" w:hAnsi="Times New Roman"/>
          <w:bCs/>
          <w:sz w:val="24"/>
          <w:szCs w:val="24"/>
          <w:lang w:val="nl-NL"/>
        </w:rPr>
        <w:t xml:space="preserve">06% lên </w:t>
      </w:r>
      <w:r w:rsidRPr="00765CF1">
        <w:rPr>
          <w:rFonts w:ascii="Times New Roman" w:hAnsi="Times New Roman"/>
          <w:bCs/>
          <w:sz w:val="24"/>
          <w:szCs w:val="24"/>
          <w:lang w:val="nl-NL"/>
        </w:rPr>
        <w:lastRenderedPageBreak/>
        <w:t>2</w:t>
      </w:r>
      <w:r w:rsidR="009078D0">
        <w:rPr>
          <w:rFonts w:ascii="Times New Roman" w:hAnsi="Times New Roman"/>
          <w:bCs/>
          <w:sz w:val="24"/>
          <w:szCs w:val="24"/>
          <w:lang w:val="nl-NL"/>
        </w:rPr>
        <w:t>,</w:t>
      </w:r>
      <w:r w:rsidRPr="00765CF1">
        <w:rPr>
          <w:rFonts w:ascii="Times New Roman" w:hAnsi="Times New Roman"/>
          <w:bCs/>
          <w:sz w:val="24"/>
          <w:szCs w:val="24"/>
          <w:lang w:val="nl-NL"/>
        </w:rPr>
        <w:t>67%, kỳ hạn 15 năm tăng từ 2</w:t>
      </w:r>
      <w:r w:rsidR="009078D0">
        <w:rPr>
          <w:rFonts w:ascii="Times New Roman" w:hAnsi="Times New Roman"/>
          <w:bCs/>
          <w:sz w:val="24"/>
          <w:szCs w:val="24"/>
          <w:lang w:val="nl-NL"/>
        </w:rPr>
        <w:t>,</w:t>
      </w:r>
      <w:r w:rsidRPr="00765CF1">
        <w:rPr>
          <w:rFonts w:ascii="Times New Roman" w:hAnsi="Times New Roman"/>
          <w:bCs/>
          <w:sz w:val="24"/>
          <w:szCs w:val="24"/>
          <w:lang w:val="nl-NL"/>
        </w:rPr>
        <w:t>19% lên 2</w:t>
      </w:r>
      <w:r w:rsidR="009078D0">
        <w:rPr>
          <w:rFonts w:ascii="Times New Roman" w:hAnsi="Times New Roman"/>
          <w:bCs/>
          <w:sz w:val="24"/>
          <w:szCs w:val="24"/>
          <w:lang w:val="nl-NL"/>
        </w:rPr>
        <w:t>,</w:t>
      </w:r>
      <w:r w:rsidRPr="00765CF1">
        <w:rPr>
          <w:rFonts w:ascii="Times New Roman" w:hAnsi="Times New Roman"/>
          <w:bCs/>
          <w:sz w:val="24"/>
          <w:szCs w:val="24"/>
          <w:lang w:val="nl-NL"/>
        </w:rPr>
        <w:t>72%, kỳ hạn 20 năm tăng từ 2</w:t>
      </w:r>
      <w:r w:rsidR="009078D0">
        <w:rPr>
          <w:rFonts w:ascii="Times New Roman" w:hAnsi="Times New Roman"/>
          <w:bCs/>
          <w:sz w:val="24"/>
          <w:szCs w:val="24"/>
          <w:lang w:val="nl-NL"/>
        </w:rPr>
        <w:t>,</w:t>
      </w:r>
      <w:r w:rsidRPr="00765CF1">
        <w:rPr>
          <w:rFonts w:ascii="Times New Roman" w:hAnsi="Times New Roman"/>
          <w:bCs/>
          <w:sz w:val="24"/>
          <w:szCs w:val="24"/>
          <w:lang w:val="nl-NL"/>
        </w:rPr>
        <w:t>65% lên 2</w:t>
      </w:r>
      <w:r w:rsidR="009078D0">
        <w:rPr>
          <w:rFonts w:ascii="Times New Roman" w:hAnsi="Times New Roman"/>
          <w:bCs/>
          <w:sz w:val="24"/>
          <w:szCs w:val="24"/>
          <w:lang w:val="nl-NL"/>
        </w:rPr>
        <w:t>,</w:t>
      </w:r>
      <w:r w:rsidRPr="00765CF1">
        <w:rPr>
          <w:rFonts w:ascii="Times New Roman" w:hAnsi="Times New Roman"/>
          <w:bCs/>
          <w:sz w:val="24"/>
          <w:szCs w:val="24"/>
          <w:lang w:val="nl-NL"/>
        </w:rPr>
        <w:t>81%, và kỳ hạn 30 năm tăng từ 2</w:t>
      </w:r>
      <w:r w:rsidR="009078D0">
        <w:rPr>
          <w:rFonts w:ascii="Times New Roman" w:hAnsi="Times New Roman"/>
          <w:bCs/>
          <w:sz w:val="24"/>
          <w:szCs w:val="24"/>
          <w:lang w:val="nl-NL"/>
        </w:rPr>
        <w:t>,</w:t>
      </w:r>
      <w:r w:rsidRPr="00765CF1">
        <w:rPr>
          <w:rFonts w:ascii="Times New Roman" w:hAnsi="Times New Roman"/>
          <w:bCs/>
          <w:sz w:val="24"/>
          <w:szCs w:val="24"/>
          <w:lang w:val="nl-NL"/>
        </w:rPr>
        <w:t>85% lên 3</w:t>
      </w:r>
      <w:r w:rsidR="009078D0">
        <w:rPr>
          <w:rFonts w:ascii="Times New Roman" w:hAnsi="Times New Roman"/>
          <w:bCs/>
          <w:sz w:val="24"/>
          <w:szCs w:val="24"/>
          <w:lang w:val="nl-NL"/>
        </w:rPr>
        <w:t>,</w:t>
      </w:r>
      <w:r w:rsidRPr="00765CF1">
        <w:rPr>
          <w:rFonts w:ascii="Times New Roman" w:hAnsi="Times New Roman"/>
          <w:bCs/>
          <w:sz w:val="24"/>
          <w:szCs w:val="24"/>
          <w:lang w:val="nl-NL"/>
        </w:rPr>
        <w:t>05%.</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1"/>
      </w:tblGrid>
      <w:tr w:rsidR="00C25079" w:rsidRPr="00D16A4F" w14:paraId="0B80C3BE" w14:textId="77777777" w:rsidTr="00FE7DC7">
        <w:trPr>
          <w:trHeight w:val="471"/>
          <w:jc w:val="center"/>
        </w:trPr>
        <w:tc>
          <w:tcPr>
            <w:tcW w:w="8251" w:type="dxa"/>
            <w:tcBorders>
              <w:bottom w:val="single" w:sz="4" w:space="0" w:color="auto"/>
            </w:tcBorders>
          </w:tcPr>
          <w:p w14:paraId="7C23FBD3" w14:textId="77777777" w:rsidR="00C25079" w:rsidRPr="00A34F54" w:rsidRDefault="00C25079" w:rsidP="00FE7DC7">
            <w:pPr>
              <w:tabs>
                <w:tab w:val="left" w:pos="426"/>
              </w:tabs>
              <w:spacing w:before="120" w:line="360" w:lineRule="auto"/>
              <w:jc w:val="both"/>
              <w:rPr>
                <w:rFonts w:ascii="Times New Roman" w:hAnsi="Times New Roman"/>
                <w:b/>
                <w:sz w:val="22"/>
                <w:szCs w:val="22"/>
                <w:lang w:val="nl-NL"/>
              </w:rPr>
            </w:pPr>
            <w:r w:rsidRPr="00A34F54">
              <w:rPr>
                <w:rFonts w:ascii="Times New Roman" w:hAnsi="Times New Roman"/>
                <w:b/>
                <w:sz w:val="22"/>
                <w:szCs w:val="22"/>
                <w:lang w:val="nl-NL"/>
              </w:rPr>
              <w:t>Hình 3: Lãi suất phát hành trung bình các kỳ hạn</w:t>
            </w:r>
            <w:r>
              <w:rPr>
                <w:rFonts w:ascii="Times New Roman" w:hAnsi="Times New Roman"/>
                <w:b/>
                <w:sz w:val="22"/>
                <w:szCs w:val="22"/>
                <w:lang w:val="nl-NL"/>
              </w:rPr>
              <w:t xml:space="preserve"> Trái phiếu Chính phủ</w:t>
            </w:r>
          </w:p>
        </w:tc>
      </w:tr>
      <w:tr w:rsidR="00C25079" w:rsidRPr="00F54FAC" w14:paraId="2C340596" w14:textId="77777777" w:rsidTr="009078D0">
        <w:trPr>
          <w:trHeight w:val="4247"/>
          <w:jc w:val="center"/>
        </w:trPr>
        <w:tc>
          <w:tcPr>
            <w:tcW w:w="8251" w:type="dxa"/>
            <w:tcBorders>
              <w:top w:val="single" w:sz="4" w:space="0" w:color="auto"/>
              <w:bottom w:val="single" w:sz="4" w:space="0" w:color="auto"/>
            </w:tcBorders>
          </w:tcPr>
          <w:p w14:paraId="65E20DB0" w14:textId="77777777" w:rsidR="00C25079" w:rsidRPr="00F54FAC" w:rsidRDefault="00C25079" w:rsidP="00FE7DC7">
            <w:pPr>
              <w:tabs>
                <w:tab w:val="left" w:pos="426"/>
              </w:tabs>
              <w:spacing w:before="120" w:line="360" w:lineRule="auto"/>
              <w:jc w:val="center"/>
              <w:rPr>
                <w:rFonts w:ascii="Times New Roman" w:hAnsi="Times New Roman"/>
                <w:bCs/>
                <w:sz w:val="22"/>
                <w:szCs w:val="22"/>
                <w:highlight w:val="yellow"/>
                <w:lang w:val="nl-NL"/>
              </w:rPr>
            </w:pPr>
            <w:r>
              <w:rPr>
                <w:noProof/>
              </w:rPr>
              <w:drawing>
                <wp:inline distT="0" distB="0" distL="0" distR="0" wp14:anchorId="06353D88" wp14:editId="43863A10">
                  <wp:extent cx="4675367" cy="28861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91218" cy="2895910"/>
                          </a:xfrm>
                          <a:prstGeom prst="rect">
                            <a:avLst/>
                          </a:prstGeom>
                        </pic:spPr>
                      </pic:pic>
                    </a:graphicData>
                  </a:graphic>
                </wp:inline>
              </w:drawing>
            </w:r>
          </w:p>
        </w:tc>
      </w:tr>
      <w:tr w:rsidR="00C25079" w:rsidRPr="002A2FC9" w14:paraId="095DE8AE" w14:textId="77777777" w:rsidTr="00FE7DC7">
        <w:trPr>
          <w:trHeight w:val="443"/>
          <w:jc w:val="center"/>
        </w:trPr>
        <w:tc>
          <w:tcPr>
            <w:tcW w:w="8251" w:type="dxa"/>
            <w:tcBorders>
              <w:top w:val="single" w:sz="4" w:space="0" w:color="auto"/>
            </w:tcBorders>
            <w:shd w:val="clear" w:color="auto" w:fill="auto"/>
          </w:tcPr>
          <w:p w14:paraId="62C70D81" w14:textId="77777777" w:rsidR="00C25079" w:rsidRPr="002A2FC9" w:rsidRDefault="00C25079" w:rsidP="00FE7DC7">
            <w:pPr>
              <w:tabs>
                <w:tab w:val="left" w:pos="426"/>
              </w:tabs>
              <w:spacing w:before="120" w:line="360" w:lineRule="auto"/>
              <w:jc w:val="both"/>
              <w:rPr>
                <w:rFonts w:ascii="Times New Roman" w:hAnsi="Times New Roman"/>
                <w:bCs/>
                <w:i/>
                <w:iCs/>
                <w:lang w:val="nl-NL"/>
              </w:rPr>
            </w:pPr>
            <w:r w:rsidRPr="00A34F54">
              <w:rPr>
                <w:rFonts w:ascii="Times New Roman" w:hAnsi="Times New Roman"/>
                <w:bCs/>
                <w:i/>
                <w:iCs/>
                <w:lang w:val="nl-NL"/>
              </w:rPr>
              <w:t>Nguồn: VBMA</w:t>
            </w:r>
          </w:p>
        </w:tc>
      </w:tr>
    </w:tbl>
    <w:p w14:paraId="72B41461" w14:textId="77777777" w:rsidR="00C25079" w:rsidRPr="00765CF1" w:rsidRDefault="00C25079" w:rsidP="00C25079">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Thị trường trái phiếu doanh nghiệp</w:t>
      </w:r>
    </w:p>
    <w:p w14:paraId="017EBDC9" w14:textId="76CC6054" w:rsidR="00C25079" w:rsidRPr="00BB2F07" w:rsidRDefault="00C25079" w:rsidP="00C25079">
      <w:pPr>
        <w:shd w:val="clear" w:color="auto" w:fill="FFFFFF"/>
        <w:tabs>
          <w:tab w:val="left" w:pos="540"/>
        </w:tabs>
        <w:spacing w:before="120" w:after="0" w:line="240" w:lineRule="auto"/>
        <w:jc w:val="both"/>
        <w:rPr>
          <w:rFonts w:ascii="Times New Roman" w:hAnsi="Times New Roman"/>
          <w:sz w:val="28"/>
          <w:szCs w:val="28"/>
          <w:lang w:val="nl-NL"/>
        </w:rPr>
      </w:pPr>
      <w:r w:rsidRPr="00765CF1">
        <w:rPr>
          <w:rFonts w:ascii="Times New Roman" w:hAnsi="Times New Roman"/>
          <w:bCs/>
          <w:sz w:val="24"/>
          <w:szCs w:val="24"/>
          <w:lang w:val="nl-NL"/>
        </w:rPr>
        <w:t>Trong 6 tháng đầu năm 2024, tổng cộng có 9 đợt phát hành trái phiếu ra công chúng trị giá 10</w:t>
      </w:r>
      <w:r w:rsidR="009078D0">
        <w:rPr>
          <w:rFonts w:ascii="Times New Roman" w:hAnsi="Times New Roman"/>
          <w:bCs/>
          <w:sz w:val="24"/>
          <w:szCs w:val="24"/>
          <w:lang w:val="nl-NL"/>
        </w:rPr>
        <w:t>.</w:t>
      </w:r>
      <w:r w:rsidRPr="00765CF1">
        <w:rPr>
          <w:rFonts w:ascii="Times New Roman" w:hAnsi="Times New Roman"/>
          <w:bCs/>
          <w:sz w:val="24"/>
          <w:szCs w:val="24"/>
          <w:lang w:val="nl-NL"/>
        </w:rPr>
        <w:t>377 tỷ đồng, chiếm 9</w:t>
      </w:r>
      <w:r w:rsidR="009078D0">
        <w:rPr>
          <w:rFonts w:ascii="Times New Roman" w:hAnsi="Times New Roman"/>
          <w:bCs/>
          <w:sz w:val="24"/>
          <w:szCs w:val="24"/>
          <w:lang w:val="nl-NL"/>
        </w:rPr>
        <w:t>,</w:t>
      </w:r>
      <w:r w:rsidRPr="00765CF1">
        <w:rPr>
          <w:rFonts w:ascii="Times New Roman" w:hAnsi="Times New Roman"/>
          <w:bCs/>
          <w:sz w:val="24"/>
          <w:szCs w:val="24"/>
          <w:lang w:val="nl-NL"/>
        </w:rPr>
        <w:t>2% tổng giá trị phát hành; và 102 đợt phát hành riêng lẻ trị giá 103</w:t>
      </w:r>
      <w:r w:rsidR="009078D0">
        <w:rPr>
          <w:rFonts w:ascii="Times New Roman" w:hAnsi="Times New Roman"/>
          <w:bCs/>
          <w:sz w:val="24"/>
          <w:szCs w:val="24"/>
          <w:lang w:val="nl-NL"/>
        </w:rPr>
        <w:t>.</w:t>
      </w:r>
      <w:r w:rsidRPr="00765CF1">
        <w:rPr>
          <w:rFonts w:ascii="Times New Roman" w:hAnsi="Times New Roman"/>
          <w:bCs/>
          <w:sz w:val="24"/>
          <w:szCs w:val="24"/>
          <w:lang w:val="nl-NL"/>
        </w:rPr>
        <w:t>829 tỷ đồng, chiếm 90</w:t>
      </w:r>
      <w:r w:rsidR="009078D0">
        <w:rPr>
          <w:rFonts w:ascii="Times New Roman" w:hAnsi="Times New Roman"/>
          <w:bCs/>
          <w:sz w:val="24"/>
          <w:szCs w:val="24"/>
          <w:lang w:val="nl-NL"/>
        </w:rPr>
        <w:t>,</w:t>
      </w:r>
      <w:r w:rsidRPr="00765CF1">
        <w:rPr>
          <w:rFonts w:ascii="Times New Roman" w:hAnsi="Times New Roman"/>
          <w:bCs/>
          <w:sz w:val="24"/>
          <w:szCs w:val="24"/>
          <w:lang w:val="nl-NL"/>
        </w:rPr>
        <w:t>8%. Tổng giá trị phát hành trái phiếu doanh nghiệp (TPDN) trong 6 tháng đầu năm là 114</w:t>
      </w:r>
      <w:r w:rsidR="009078D0">
        <w:rPr>
          <w:rFonts w:ascii="Times New Roman" w:hAnsi="Times New Roman"/>
          <w:bCs/>
          <w:sz w:val="24"/>
          <w:szCs w:val="24"/>
          <w:lang w:val="nl-NL"/>
        </w:rPr>
        <w:t>.</w:t>
      </w:r>
      <w:r w:rsidRPr="00765CF1">
        <w:rPr>
          <w:rFonts w:ascii="Times New Roman" w:hAnsi="Times New Roman"/>
          <w:bCs/>
          <w:sz w:val="24"/>
          <w:szCs w:val="24"/>
          <w:lang w:val="nl-NL"/>
        </w:rPr>
        <w:t>206 tỷ đồng. So với cùng kỳ năm ngoái, giá trị phát hành TPDN trong 6 tháng đầu năm giảm khoảng 21% trong Quý 1 nhưng tăng 138% trong Quý 2. Phần lớn trái phiếu được phát hành thuộc nhóm doanh nghiệp Bất động sản và Ngân hàng, với giá trị lần lượt là 81</w:t>
      </w:r>
      <w:r w:rsidR="009078D0">
        <w:rPr>
          <w:rFonts w:ascii="Times New Roman" w:hAnsi="Times New Roman"/>
          <w:bCs/>
          <w:sz w:val="24"/>
          <w:szCs w:val="24"/>
          <w:lang w:val="nl-NL"/>
        </w:rPr>
        <w:t>.</w:t>
      </w:r>
      <w:r w:rsidRPr="00765CF1">
        <w:rPr>
          <w:rFonts w:ascii="Times New Roman" w:hAnsi="Times New Roman"/>
          <w:bCs/>
          <w:sz w:val="24"/>
          <w:szCs w:val="24"/>
          <w:lang w:val="nl-NL"/>
        </w:rPr>
        <w:t>946 tỷ đồng và 72</w:t>
      </w:r>
      <w:r w:rsidR="009078D0">
        <w:rPr>
          <w:rFonts w:ascii="Times New Roman" w:hAnsi="Times New Roman"/>
          <w:bCs/>
          <w:sz w:val="24"/>
          <w:szCs w:val="24"/>
          <w:lang w:val="nl-NL"/>
        </w:rPr>
        <w:t>.</w:t>
      </w:r>
      <w:r w:rsidRPr="00765CF1">
        <w:rPr>
          <w:rFonts w:ascii="Times New Roman" w:hAnsi="Times New Roman"/>
          <w:bCs/>
          <w:sz w:val="24"/>
          <w:szCs w:val="24"/>
          <w:lang w:val="nl-NL"/>
        </w:rPr>
        <w:t>596 tỷ đồng. Lãi suất phát hành có xu hướng tăng trong Quý 1 nhưng giảm trong Quý 2, với lãi suất bình quân Quý 2 là 6</w:t>
      </w:r>
      <w:r w:rsidR="009078D0">
        <w:rPr>
          <w:rFonts w:ascii="Times New Roman" w:hAnsi="Times New Roman"/>
          <w:bCs/>
          <w:sz w:val="24"/>
          <w:szCs w:val="24"/>
          <w:lang w:val="nl-NL"/>
        </w:rPr>
        <w:t>,</w:t>
      </w:r>
      <w:r w:rsidRPr="00765CF1">
        <w:rPr>
          <w:rFonts w:ascii="Times New Roman" w:hAnsi="Times New Roman"/>
          <w:bCs/>
          <w:sz w:val="24"/>
          <w:szCs w:val="24"/>
          <w:lang w:val="nl-NL"/>
        </w:rPr>
        <w:t>62%, thấp hơn so với cùng kỳ năm ngoái (10</w:t>
      </w:r>
      <w:r w:rsidR="009078D0">
        <w:rPr>
          <w:rFonts w:ascii="Times New Roman" w:hAnsi="Times New Roman"/>
          <w:bCs/>
          <w:sz w:val="24"/>
          <w:szCs w:val="24"/>
          <w:lang w:val="nl-NL"/>
        </w:rPr>
        <w:t>,</w:t>
      </w:r>
      <w:r w:rsidRPr="00765CF1">
        <w:rPr>
          <w:rFonts w:ascii="Times New Roman" w:hAnsi="Times New Roman"/>
          <w:bCs/>
          <w:sz w:val="24"/>
          <w:szCs w:val="24"/>
          <w:lang w:val="nl-NL"/>
        </w:rPr>
        <w:t xml:space="preserve">04%). Hoạt động phát hành trong Quý 2 sôi động hơn nhiều so với Quý 1, đặc biệt là từ nhóm Ngân hàng và Bất động sản, do nhu cầu bù đắp lượng trái phiếu đáo hạn và </w:t>
      </w:r>
      <w:r>
        <w:rPr>
          <w:rFonts w:ascii="Times New Roman" w:hAnsi="Times New Roman"/>
          <w:bCs/>
          <w:sz w:val="24"/>
          <w:szCs w:val="24"/>
          <w:lang w:val="nl-NL"/>
        </w:rPr>
        <w:t>hỗ trợ</w:t>
      </w:r>
      <w:r w:rsidRPr="00765CF1">
        <w:rPr>
          <w:rFonts w:ascii="Times New Roman" w:hAnsi="Times New Roman"/>
          <w:bCs/>
          <w:sz w:val="24"/>
          <w:szCs w:val="24"/>
          <w:lang w:val="nl-NL"/>
        </w:rPr>
        <w:t xml:space="preserve"> hoạt động tín dụng của ngân hàng. Tuy nhiên, thị trường TPDN vẫn gặp nhiều khó khăn, đặc biệt là từ các doanh nghiệp thuộc nhóm sản xuất và hàng hóa, dịch vụ tiêu dùng.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1"/>
      </w:tblGrid>
      <w:tr w:rsidR="00C25079" w:rsidRPr="00D16A4F" w14:paraId="14E89432" w14:textId="77777777" w:rsidTr="00FE7DC7">
        <w:trPr>
          <w:trHeight w:val="471"/>
          <w:jc w:val="center"/>
        </w:trPr>
        <w:tc>
          <w:tcPr>
            <w:tcW w:w="8251" w:type="dxa"/>
            <w:tcBorders>
              <w:bottom w:val="single" w:sz="4" w:space="0" w:color="auto"/>
            </w:tcBorders>
          </w:tcPr>
          <w:p w14:paraId="764374E6" w14:textId="77777777" w:rsidR="00C25079" w:rsidRPr="00A34F54" w:rsidRDefault="00C25079" w:rsidP="00FE7DC7">
            <w:pPr>
              <w:tabs>
                <w:tab w:val="left" w:pos="426"/>
              </w:tabs>
              <w:spacing w:before="120" w:line="360" w:lineRule="auto"/>
              <w:jc w:val="both"/>
              <w:rPr>
                <w:rFonts w:ascii="Times New Roman" w:hAnsi="Times New Roman"/>
                <w:b/>
                <w:sz w:val="22"/>
                <w:szCs w:val="22"/>
                <w:lang w:val="nl-NL"/>
              </w:rPr>
            </w:pPr>
            <w:r w:rsidRPr="00A34F54">
              <w:rPr>
                <w:rFonts w:ascii="Times New Roman" w:hAnsi="Times New Roman"/>
                <w:b/>
                <w:sz w:val="22"/>
                <w:szCs w:val="22"/>
                <w:lang w:val="nl-NL"/>
              </w:rPr>
              <w:t xml:space="preserve">Hình </w:t>
            </w:r>
            <w:r>
              <w:rPr>
                <w:rFonts w:ascii="Times New Roman" w:hAnsi="Times New Roman"/>
                <w:b/>
                <w:sz w:val="22"/>
                <w:szCs w:val="22"/>
                <w:lang w:val="nl-NL"/>
              </w:rPr>
              <w:t>4</w:t>
            </w:r>
            <w:r w:rsidRPr="00A34F54">
              <w:rPr>
                <w:rFonts w:ascii="Times New Roman" w:hAnsi="Times New Roman"/>
                <w:b/>
                <w:sz w:val="22"/>
                <w:szCs w:val="22"/>
                <w:lang w:val="nl-NL"/>
              </w:rPr>
              <w:t>: Lãi suất phát hành trung bình các kỳ hạn</w:t>
            </w:r>
            <w:r>
              <w:rPr>
                <w:rFonts w:ascii="Times New Roman" w:hAnsi="Times New Roman"/>
                <w:b/>
                <w:sz w:val="22"/>
                <w:szCs w:val="22"/>
                <w:lang w:val="nl-NL"/>
              </w:rPr>
              <w:t xml:space="preserve"> trái phiếu doanh nghiệp</w:t>
            </w:r>
          </w:p>
        </w:tc>
      </w:tr>
      <w:tr w:rsidR="00C25079" w:rsidRPr="00F54FAC" w14:paraId="7B25F751" w14:textId="77777777" w:rsidTr="00FE7DC7">
        <w:trPr>
          <w:trHeight w:val="3680"/>
          <w:jc w:val="center"/>
        </w:trPr>
        <w:tc>
          <w:tcPr>
            <w:tcW w:w="8251" w:type="dxa"/>
            <w:tcBorders>
              <w:top w:val="single" w:sz="4" w:space="0" w:color="auto"/>
              <w:bottom w:val="single" w:sz="4" w:space="0" w:color="auto"/>
            </w:tcBorders>
          </w:tcPr>
          <w:p w14:paraId="3989EBC0" w14:textId="77777777" w:rsidR="00C25079" w:rsidRPr="00F54FAC" w:rsidRDefault="00C25079" w:rsidP="00FE7DC7">
            <w:pPr>
              <w:tabs>
                <w:tab w:val="left" w:pos="426"/>
              </w:tabs>
              <w:spacing w:before="120" w:line="360" w:lineRule="auto"/>
              <w:jc w:val="center"/>
              <w:rPr>
                <w:rFonts w:ascii="Times New Roman" w:hAnsi="Times New Roman"/>
                <w:bCs/>
                <w:sz w:val="22"/>
                <w:szCs w:val="22"/>
                <w:highlight w:val="yellow"/>
                <w:lang w:val="nl-NL"/>
              </w:rPr>
            </w:pPr>
            <w:r>
              <w:rPr>
                <w:noProof/>
              </w:rPr>
              <w:drawing>
                <wp:inline distT="0" distB="0" distL="0" distR="0" wp14:anchorId="0F6E3F5F" wp14:editId="26185DBD">
                  <wp:extent cx="4254500" cy="203914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9306" cy="2046241"/>
                          </a:xfrm>
                          <a:prstGeom prst="rect">
                            <a:avLst/>
                          </a:prstGeom>
                          <a:noFill/>
                          <a:ln>
                            <a:noFill/>
                          </a:ln>
                        </pic:spPr>
                      </pic:pic>
                    </a:graphicData>
                  </a:graphic>
                </wp:inline>
              </w:drawing>
            </w:r>
          </w:p>
        </w:tc>
      </w:tr>
      <w:tr w:rsidR="00C25079" w:rsidRPr="002A2FC9" w14:paraId="3099CD1D" w14:textId="77777777" w:rsidTr="009078D0">
        <w:trPr>
          <w:trHeight w:val="50"/>
          <w:jc w:val="center"/>
        </w:trPr>
        <w:tc>
          <w:tcPr>
            <w:tcW w:w="8251" w:type="dxa"/>
            <w:tcBorders>
              <w:top w:val="single" w:sz="4" w:space="0" w:color="auto"/>
            </w:tcBorders>
            <w:shd w:val="clear" w:color="auto" w:fill="auto"/>
          </w:tcPr>
          <w:p w14:paraId="7A8DE512" w14:textId="77777777" w:rsidR="00C25079" w:rsidRPr="002A2FC9" w:rsidRDefault="00C25079" w:rsidP="00FE7DC7">
            <w:pPr>
              <w:tabs>
                <w:tab w:val="left" w:pos="426"/>
              </w:tabs>
              <w:spacing w:before="120" w:line="360" w:lineRule="auto"/>
              <w:jc w:val="both"/>
              <w:rPr>
                <w:rFonts w:ascii="Times New Roman" w:hAnsi="Times New Roman"/>
                <w:bCs/>
                <w:i/>
                <w:iCs/>
                <w:lang w:val="nl-NL"/>
              </w:rPr>
            </w:pPr>
            <w:r w:rsidRPr="00A34F54">
              <w:rPr>
                <w:rFonts w:ascii="Times New Roman" w:hAnsi="Times New Roman"/>
                <w:bCs/>
                <w:i/>
                <w:iCs/>
                <w:lang w:val="nl-NL"/>
              </w:rPr>
              <w:lastRenderedPageBreak/>
              <w:t>Nguồn: VBMA</w:t>
            </w:r>
          </w:p>
        </w:tc>
      </w:tr>
    </w:tbl>
    <w:p w14:paraId="70E12DD2" w14:textId="231DEF35" w:rsidR="001C4468" w:rsidRPr="00E93BC5"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b/>
          <w:sz w:val="24"/>
          <w:szCs w:val="24"/>
          <w:lang w:val="nl-NL"/>
        </w:rPr>
        <w:t xml:space="preserve">IV. </w:t>
      </w:r>
      <w:r w:rsidR="008978F2" w:rsidRPr="00E93BC5">
        <w:rPr>
          <w:rFonts w:ascii="Times New Roman" w:hAnsi="Times New Roman"/>
          <w:b/>
          <w:sz w:val="24"/>
          <w:szCs w:val="24"/>
          <w:lang w:val="nl-NL"/>
        </w:rPr>
        <w:tab/>
      </w:r>
      <w:r w:rsidRPr="00E93BC5">
        <w:rPr>
          <w:rFonts w:ascii="Times New Roman" w:hAnsi="Times New Roman"/>
          <w:b/>
          <w:sz w:val="24"/>
          <w:szCs w:val="24"/>
          <w:lang w:val="nl-NL"/>
        </w:rPr>
        <w:t>C</w:t>
      </w:r>
      <w:r w:rsidR="00846481" w:rsidRPr="00E93BC5">
        <w:rPr>
          <w:rFonts w:ascii="Times New Roman" w:hAnsi="Times New Roman"/>
          <w:b/>
          <w:sz w:val="24"/>
          <w:szCs w:val="24"/>
          <w:lang w:val="nl-NL"/>
        </w:rPr>
        <w:t>HI TIẾT CÁC CHỈ TIÊU HOẠT ĐỘNG CỦA QUỸ</w:t>
      </w:r>
    </w:p>
    <w:p w14:paraId="09A7C01D" w14:textId="77777777" w:rsidR="001C4468" w:rsidRPr="00E93BC5"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E93BC5">
        <w:rPr>
          <w:rFonts w:ascii="Times New Roman" w:hAnsi="Times New Roman"/>
          <w:b/>
          <w:sz w:val="24"/>
          <w:szCs w:val="24"/>
          <w:lang w:val="nl-NL"/>
        </w:rPr>
        <w:t>Số liệu chi tiết hoạt động của Quỹ</w:t>
      </w:r>
    </w:p>
    <w:p w14:paraId="0381BE87" w14:textId="77777777" w:rsidR="008A4832" w:rsidRPr="00E93BC5" w:rsidRDefault="008A4832" w:rsidP="008A4832">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0" w:type="auto"/>
        <w:tblLook w:val="04A0" w:firstRow="1" w:lastRow="0" w:firstColumn="1" w:lastColumn="0" w:noHBand="0" w:noVBand="1"/>
      </w:tblPr>
      <w:tblGrid>
        <w:gridCol w:w="3013"/>
        <w:gridCol w:w="2025"/>
        <w:gridCol w:w="2547"/>
        <w:gridCol w:w="2305"/>
      </w:tblGrid>
      <w:tr w:rsidR="008978F2" w:rsidRPr="004D5515" w14:paraId="737AFC9F" w14:textId="77777777" w:rsidTr="00A85A22">
        <w:tc>
          <w:tcPr>
            <w:tcW w:w="3013" w:type="dxa"/>
          </w:tcPr>
          <w:p w14:paraId="2376F80B" w14:textId="77777777" w:rsidR="008978F2" w:rsidRPr="00E93BC5" w:rsidRDefault="008978F2" w:rsidP="008978F2">
            <w:pPr>
              <w:tabs>
                <w:tab w:val="left" w:pos="540"/>
              </w:tabs>
              <w:spacing w:before="120"/>
              <w:jc w:val="center"/>
              <w:rPr>
                <w:rFonts w:ascii="Times New Roman" w:hAnsi="Times New Roman"/>
                <w:b/>
                <w:sz w:val="24"/>
                <w:szCs w:val="24"/>
                <w:lang w:val="nl-NL"/>
              </w:rPr>
            </w:pPr>
            <w:r w:rsidRPr="00E93BC5">
              <w:rPr>
                <w:rFonts w:ascii="Times New Roman" w:hAnsi="Times New Roman"/>
                <w:b/>
                <w:sz w:val="24"/>
                <w:szCs w:val="24"/>
                <w:lang w:val="nl-NL"/>
              </w:rPr>
              <w:t>Chỉ tiêu</w:t>
            </w:r>
          </w:p>
        </w:tc>
        <w:tc>
          <w:tcPr>
            <w:tcW w:w="2025" w:type="dxa"/>
          </w:tcPr>
          <w:p w14:paraId="26167DE9" w14:textId="77777777" w:rsidR="008978F2" w:rsidRPr="00E93BC5" w:rsidRDefault="008978F2" w:rsidP="00B3750F">
            <w:pPr>
              <w:tabs>
                <w:tab w:val="left" w:pos="540"/>
              </w:tabs>
              <w:spacing w:before="120"/>
              <w:jc w:val="both"/>
              <w:rPr>
                <w:rFonts w:ascii="Times New Roman" w:hAnsi="Times New Roman"/>
                <w:b/>
                <w:sz w:val="24"/>
                <w:szCs w:val="24"/>
                <w:lang w:val="nl-NL"/>
              </w:rPr>
            </w:pPr>
            <w:r w:rsidRPr="00E93BC5">
              <w:rPr>
                <w:rFonts w:ascii="Times New Roman" w:eastAsia="Times New Roman" w:hAnsi="Times New Roman"/>
                <w:sz w:val="24"/>
                <w:szCs w:val="24"/>
                <w:lang w:val="nl-NL"/>
              </w:rPr>
              <w:t>1 năm đến thời điểm báo cáo (%)</w:t>
            </w:r>
          </w:p>
        </w:tc>
        <w:tc>
          <w:tcPr>
            <w:tcW w:w="2547" w:type="dxa"/>
          </w:tcPr>
          <w:p w14:paraId="47E92B29" w14:textId="77777777" w:rsidR="008978F2" w:rsidRPr="00E93BC5" w:rsidRDefault="008978F2" w:rsidP="00B3750F">
            <w:pPr>
              <w:tabs>
                <w:tab w:val="left" w:pos="540"/>
              </w:tabs>
              <w:spacing w:before="120"/>
              <w:jc w:val="both"/>
              <w:rPr>
                <w:rFonts w:ascii="Times New Roman" w:hAnsi="Times New Roman"/>
                <w:b/>
                <w:sz w:val="24"/>
                <w:szCs w:val="24"/>
                <w:lang w:val="nl-NL"/>
              </w:rPr>
            </w:pPr>
            <w:r w:rsidRPr="00E93BC5">
              <w:rPr>
                <w:rFonts w:ascii="Times New Roman" w:eastAsia="Times New Roman" w:hAnsi="Times New Roman"/>
                <w:sz w:val="24"/>
                <w:szCs w:val="24"/>
                <w:lang w:val="nl-NL"/>
              </w:rPr>
              <w:t>3 năm gần nhất tính đến thời điểm báo cáo (%)</w:t>
            </w:r>
          </w:p>
        </w:tc>
        <w:tc>
          <w:tcPr>
            <w:tcW w:w="2305" w:type="dxa"/>
          </w:tcPr>
          <w:p w14:paraId="5729A3BA" w14:textId="77777777" w:rsidR="008978F2" w:rsidRPr="00E93BC5" w:rsidRDefault="008978F2" w:rsidP="00B3750F">
            <w:pPr>
              <w:tabs>
                <w:tab w:val="left" w:pos="540"/>
              </w:tabs>
              <w:spacing w:before="120"/>
              <w:jc w:val="both"/>
              <w:rPr>
                <w:rFonts w:ascii="Times New Roman" w:hAnsi="Times New Roman"/>
                <w:b/>
                <w:sz w:val="24"/>
                <w:szCs w:val="24"/>
                <w:lang w:val="nl-NL"/>
              </w:rPr>
            </w:pPr>
            <w:r w:rsidRPr="00E93BC5">
              <w:rPr>
                <w:rFonts w:ascii="Times New Roman" w:eastAsia="Times New Roman" w:hAnsi="Times New Roman"/>
                <w:sz w:val="24"/>
                <w:szCs w:val="24"/>
                <w:lang w:val="nl-NL"/>
              </w:rPr>
              <w:t>Từ khi thành lập đến thời điểm báo cáo (%)</w:t>
            </w:r>
          </w:p>
        </w:tc>
      </w:tr>
      <w:tr w:rsidR="001A5984" w:rsidRPr="00E93BC5" w14:paraId="3B808C2A" w14:textId="77777777" w:rsidTr="00A85A22">
        <w:tc>
          <w:tcPr>
            <w:tcW w:w="3013" w:type="dxa"/>
            <w:vAlign w:val="center"/>
          </w:tcPr>
          <w:p w14:paraId="503A48BC"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A</w:t>
            </w:r>
          </w:p>
        </w:tc>
        <w:tc>
          <w:tcPr>
            <w:tcW w:w="2025" w:type="dxa"/>
            <w:vAlign w:val="center"/>
          </w:tcPr>
          <w:p w14:paraId="67054091"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p>
        </w:tc>
        <w:tc>
          <w:tcPr>
            <w:tcW w:w="2547" w:type="dxa"/>
            <w:vAlign w:val="center"/>
          </w:tcPr>
          <w:p w14:paraId="4F8AE692"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2</w:t>
            </w:r>
          </w:p>
        </w:tc>
        <w:tc>
          <w:tcPr>
            <w:tcW w:w="2305" w:type="dxa"/>
            <w:vAlign w:val="center"/>
          </w:tcPr>
          <w:p w14:paraId="1EBC5E76"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3</w:t>
            </w:r>
          </w:p>
        </w:tc>
      </w:tr>
      <w:tr w:rsidR="003E41E5" w:rsidRPr="00E93BC5" w14:paraId="47AA22B4" w14:textId="77777777" w:rsidTr="00A85A22">
        <w:tc>
          <w:tcPr>
            <w:tcW w:w="3013" w:type="dxa"/>
            <w:vAlign w:val="center"/>
          </w:tcPr>
          <w:p w14:paraId="4D8E030B" w14:textId="77777777" w:rsidR="003E41E5" w:rsidRPr="00E93BC5" w:rsidRDefault="003E41E5" w:rsidP="003E41E5">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thu nhập/1 đơn vị CCQ</w:t>
            </w:r>
          </w:p>
        </w:tc>
        <w:tc>
          <w:tcPr>
            <w:tcW w:w="2025" w:type="dxa"/>
            <w:vAlign w:val="center"/>
          </w:tcPr>
          <w:p w14:paraId="5C17AA64" w14:textId="02CCA9BE" w:rsidR="003E41E5" w:rsidRPr="00E93BC5" w:rsidRDefault="003E41E5" w:rsidP="003E41E5">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6,17</w:t>
            </w:r>
          </w:p>
        </w:tc>
        <w:tc>
          <w:tcPr>
            <w:tcW w:w="2547" w:type="dxa"/>
            <w:vAlign w:val="center"/>
          </w:tcPr>
          <w:p w14:paraId="12F09FAA" w14:textId="1805346A" w:rsidR="003E41E5" w:rsidRPr="00FC7807" w:rsidRDefault="00EC7CC4" w:rsidP="003E41E5">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16,02</w:t>
            </w:r>
          </w:p>
        </w:tc>
        <w:tc>
          <w:tcPr>
            <w:tcW w:w="2305" w:type="dxa"/>
            <w:vAlign w:val="center"/>
          </w:tcPr>
          <w:p w14:paraId="3429EE5D" w14:textId="106E27B0" w:rsidR="003E41E5" w:rsidRPr="00FC7807" w:rsidRDefault="00EC7CC4" w:rsidP="003E41E5">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45,53</w:t>
            </w:r>
          </w:p>
        </w:tc>
      </w:tr>
      <w:tr w:rsidR="003E41E5" w:rsidRPr="00E93BC5" w14:paraId="71417A3E" w14:textId="77777777" w:rsidTr="00A85A22">
        <w:tc>
          <w:tcPr>
            <w:tcW w:w="3013" w:type="dxa"/>
            <w:vAlign w:val="center"/>
          </w:tcPr>
          <w:p w14:paraId="650220B7" w14:textId="77777777" w:rsidR="003E41E5" w:rsidRPr="00E93BC5" w:rsidRDefault="003E41E5" w:rsidP="003E41E5">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Vốn/1 đơn vị CCQ</w:t>
            </w:r>
          </w:p>
        </w:tc>
        <w:tc>
          <w:tcPr>
            <w:tcW w:w="2025" w:type="dxa"/>
            <w:vAlign w:val="center"/>
          </w:tcPr>
          <w:p w14:paraId="1DADF7B5" w14:textId="0C73E8CF" w:rsidR="003E41E5" w:rsidRPr="00E93BC5" w:rsidRDefault="003E41E5" w:rsidP="003E41E5">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0,00</w:t>
            </w:r>
          </w:p>
        </w:tc>
        <w:tc>
          <w:tcPr>
            <w:tcW w:w="2547" w:type="dxa"/>
            <w:vAlign w:val="center"/>
          </w:tcPr>
          <w:p w14:paraId="36048B75" w14:textId="6B6D7E51" w:rsidR="003E41E5" w:rsidRPr="00FC7807" w:rsidRDefault="003E41E5" w:rsidP="003E41E5">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0,00</w:t>
            </w:r>
          </w:p>
        </w:tc>
        <w:tc>
          <w:tcPr>
            <w:tcW w:w="2305" w:type="dxa"/>
            <w:vAlign w:val="center"/>
          </w:tcPr>
          <w:p w14:paraId="6766E3E3" w14:textId="5B18699E" w:rsidR="003E41E5" w:rsidRPr="00FC7807" w:rsidRDefault="003E41E5" w:rsidP="003E41E5">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0,00</w:t>
            </w:r>
          </w:p>
        </w:tc>
      </w:tr>
      <w:tr w:rsidR="00EC7CC4" w:rsidRPr="00E93BC5" w14:paraId="5902C92F" w14:textId="77777777" w:rsidTr="00A85A22">
        <w:tc>
          <w:tcPr>
            <w:tcW w:w="3013" w:type="dxa"/>
            <w:vAlign w:val="center"/>
          </w:tcPr>
          <w:p w14:paraId="77FB833F" w14:textId="77777777" w:rsidR="00EC7CC4" w:rsidRPr="00E93BC5" w:rsidRDefault="00EC7CC4" w:rsidP="00EC7CC4">
            <w:pPr>
              <w:tabs>
                <w:tab w:val="left" w:pos="540"/>
              </w:tabs>
              <w:spacing w:before="120"/>
              <w:jc w:val="both"/>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Tổng tăng trưởng/1 đơn vị CCQ</w:t>
            </w:r>
          </w:p>
        </w:tc>
        <w:tc>
          <w:tcPr>
            <w:tcW w:w="2025" w:type="dxa"/>
            <w:vAlign w:val="center"/>
          </w:tcPr>
          <w:p w14:paraId="06E7094B" w14:textId="46E088A6" w:rsidR="00EC7CC4" w:rsidRPr="00E93BC5" w:rsidRDefault="00EC7CC4" w:rsidP="00EC7CC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b/>
                <w:bCs/>
                <w:sz w:val="24"/>
                <w:szCs w:val="24"/>
                <w:lang w:val="nl-NL"/>
              </w:rPr>
              <w:t>6,17</w:t>
            </w:r>
          </w:p>
        </w:tc>
        <w:tc>
          <w:tcPr>
            <w:tcW w:w="2547" w:type="dxa"/>
            <w:vAlign w:val="center"/>
          </w:tcPr>
          <w:p w14:paraId="685C2A08" w14:textId="7786686D" w:rsidR="00EC7CC4" w:rsidRPr="00EC7CC4" w:rsidRDefault="00EC7CC4" w:rsidP="00EC7CC4">
            <w:pPr>
              <w:tabs>
                <w:tab w:val="left" w:pos="540"/>
              </w:tabs>
              <w:spacing w:before="120"/>
              <w:jc w:val="center"/>
              <w:rPr>
                <w:rFonts w:ascii="Times New Roman" w:eastAsia="Times New Roman" w:hAnsi="Times New Roman"/>
                <w:b/>
                <w:bCs/>
                <w:sz w:val="24"/>
                <w:szCs w:val="24"/>
                <w:lang w:val="nl-NL"/>
              </w:rPr>
            </w:pPr>
            <w:r w:rsidRPr="00EC7CC4">
              <w:rPr>
                <w:rFonts w:ascii="Times New Roman" w:eastAsia="Times New Roman" w:hAnsi="Times New Roman"/>
                <w:b/>
                <w:bCs/>
                <w:sz w:val="24"/>
                <w:szCs w:val="24"/>
                <w:lang w:val="nl-NL"/>
              </w:rPr>
              <w:t>16,02</w:t>
            </w:r>
          </w:p>
        </w:tc>
        <w:tc>
          <w:tcPr>
            <w:tcW w:w="2305" w:type="dxa"/>
            <w:vAlign w:val="center"/>
          </w:tcPr>
          <w:p w14:paraId="32C5600E" w14:textId="76D3007B" w:rsidR="00EC7CC4" w:rsidRPr="00EC7CC4" w:rsidRDefault="00EC7CC4" w:rsidP="00EC7CC4">
            <w:pPr>
              <w:tabs>
                <w:tab w:val="left" w:pos="540"/>
              </w:tabs>
              <w:spacing w:before="120"/>
              <w:jc w:val="center"/>
              <w:rPr>
                <w:rFonts w:ascii="Times New Roman" w:eastAsia="Times New Roman" w:hAnsi="Times New Roman"/>
                <w:b/>
                <w:bCs/>
                <w:sz w:val="24"/>
                <w:szCs w:val="24"/>
                <w:lang w:val="nl-NL"/>
              </w:rPr>
            </w:pPr>
            <w:r w:rsidRPr="00EC7CC4">
              <w:rPr>
                <w:rFonts w:ascii="Times New Roman" w:eastAsia="Times New Roman" w:hAnsi="Times New Roman"/>
                <w:b/>
                <w:bCs/>
                <w:sz w:val="24"/>
                <w:szCs w:val="24"/>
                <w:lang w:val="nl-NL"/>
              </w:rPr>
              <w:t>45,53</w:t>
            </w:r>
          </w:p>
        </w:tc>
      </w:tr>
      <w:tr w:rsidR="003E41E5" w:rsidRPr="00E93BC5" w14:paraId="1E074C94" w14:textId="77777777" w:rsidTr="00A85A22">
        <w:tc>
          <w:tcPr>
            <w:tcW w:w="3013" w:type="dxa"/>
            <w:vAlign w:val="center"/>
          </w:tcPr>
          <w:p w14:paraId="5AECF095" w14:textId="77777777" w:rsidR="003E41E5" w:rsidRPr="00E93BC5" w:rsidRDefault="003E41E5" w:rsidP="003E41E5">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hàng năm NAV/1 đơn vị CCQ</w:t>
            </w:r>
          </w:p>
        </w:tc>
        <w:tc>
          <w:tcPr>
            <w:tcW w:w="2025" w:type="dxa"/>
            <w:vAlign w:val="center"/>
          </w:tcPr>
          <w:p w14:paraId="4ED65C2B" w14:textId="4F02EABB" w:rsidR="003E41E5" w:rsidRPr="00E93BC5" w:rsidRDefault="003E41E5" w:rsidP="003E41E5">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6,17</w:t>
            </w:r>
          </w:p>
        </w:tc>
        <w:tc>
          <w:tcPr>
            <w:tcW w:w="2547" w:type="dxa"/>
            <w:vAlign w:val="center"/>
          </w:tcPr>
          <w:p w14:paraId="109AC7DF" w14:textId="42475191" w:rsidR="003E41E5" w:rsidRPr="00E93BC5" w:rsidRDefault="00EC7CC4" w:rsidP="003E41E5">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16,03</w:t>
            </w:r>
          </w:p>
        </w:tc>
        <w:tc>
          <w:tcPr>
            <w:tcW w:w="2305" w:type="dxa"/>
            <w:vAlign w:val="center"/>
          </w:tcPr>
          <w:p w14:paraId="1CF27F38" w14:textId="283FDBC5" w:rsidR="003E41E5" w:rsidRPr="00E93BC5" w:rsidRDefault="00EC7CC4" w:rsidP="003E41E5">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27,90</w:t>
            </w:r>
          </w:p>
        </w:tc>
      </w:tr>
      <w:tr w:rsidR="003E41E5" w:rsidRPr="00E93BC5" w14:paraId="4CA7923F" w14:textId="77777777" w:rsidTr="00A85A22">
        <w:tc>
          <w:tcPr>
            <w:tcW w:w="3013" w:type="dxa"/>
            <w:vAlign w:val="center"/>
          </w:tcPr>
          <w:p w14:paraId="19119D50" w14:textId="77777777" w:rsidR="003E41E5" w:rsidRPr="00E93BC5" w:rsidRDefault="003E41E5" w:rsidP="003E41E5">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của danh mục cơ cấu</w:t>
            </w:r>
          </w:p>
        </w:tc>
        <w:tc>
          <w:tcPr>
            <w:tcW w:w="2025" w:type="dxa"/>
            <w:vAlign w:val="center"/>
          </w:tcPr>
          <w:p w14:paraId="53CCCDD8" w14:textId="37BD4745" w:rsidR="003E41E5" w:rsidRPr="00E93BC5" w:rsidRDefault="003E41E5" w:rsidP="003E41E5">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(1)</w:t>
            </w:r>
          </w:p>
        </w:tc>
        <w:tc>
          <w:tcPr>
            <w:tcW w:w="2547" w:type="dxa"/>
            <w:vAlign w:val="center"/>
          </w:tcPr>
          <w:p w14:paraId="7301B1C1" w14:textId="5EE8F7C3" w:rsidR="003E41E5" w:rsidRPr="00E93BC5" w:rsidRDefault="003E41E5" w:rsidP="003E41E5">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(1)</w:t>
            </w:r>
          </w:p>
        </w:tc>
        <w:tc>
          <w:tcPr>
            <w:tcW w:w="2305" w:type="dxa"/>
            <w:vAlign w:val="center"/>
          </w:tcPr>
          <w:p w14:paraId="230D3499" w14:textId="048E5BD1" w:rsidR="003E41E5" w:rsidRPr="00E93BC5" w:rsidRDefault="003E41E5" w:rsidP="003E41E5">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(1)</w:t>
            </w:r>
          </w:p>
        </w:tc>
      </w:tr>
      <w:tr w:rsidR="003E41E5" w:rsidRPr="00E93BC5" w14:paraId="5FA9276C" w14:textId="77777777" w:rsidTr="00A85A22">
        <w:tc>
          <w:tcPr>
            <w:tcW w:w="3013" w:type="dxa"/>
            <w:vAlign w:val="center"/>
          </w:tcPr>
          <w:p w14:paraId="53A24B5C" w14:textId="77777777" w:rsidR="003E41E5" w:rsidRPr="00E93BC5" w:rsidRDefault="003E41E5" w:rsidP="003E41E5">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Thay đổi giá trị thị trường của 1 đơn vị CCQ</w:t>
            </w:r>
          </w:p>
        </w:tc>
        <w:tc>
          <w:tcPr>
            <w:tcW w:w="2025" w:type="dxa"/>
            <w:vAlign w:val="center"/>
          </w:tcPr>
          <w:p w14:paraId="1431E569" w14:textId="1659333F" w:rsidR="003E41E5" w:rsidRPr="00E93BC5" w:rsidRDefault="003E41E5" w:rsidP="003E41E5">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(2)</w:t>
            </w:r>
          </w:p>
        </w:tc>
        <w:tc>
          <w:tcPr>
            <w:tcW w:w="2547" w:type="dxa"/>
            <w:vAlign w:val="center"/>
          </w:tcPr>
          <w:p w14:paraId="593AB094" w14:textId="301F5598" w:rsidR="003E41E5" w:rsidRPr="00E93BC5" w:rsidRDefault="003E41E5" w:rsidP="003E41E5">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(2)</w:t>
            </w:r>
          </w:p>
        </w:tc>
        <w:tc>
          <w:tcPr>
            <w:tcW w:w="2305" w:type="dxa"/>
            <w:vAlign w:val="center"/>
          </w:tcPr>
          <w:p w14:paraId="3B9509E3" w14:textId="16134D31" w:rsidR="003E41E5" w:rsidRPr="00E93BC5" w:rsidRDefault="003E41E5" w:rsidP="003E41E5">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(2)</w:t>
            </w:r>
          </w:p>
        </w:tc>
      </w:tr>
    </w:tbl>
    <w:p w14:paraId="775A51E4" w14:textId="2E00A609" w:rsidR="00D034B8" w:rsidRPr="00E93BC5"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E93BC5">
        <w:rPr>
          <w:rFonts w:ascii="Times New Roman" w:hAnsi="Times New Roman"/>
          <w:b/>
          <w:i/>
          <w:sz w:val="24"/>
          <w:szCs w:val="24"/>
          <w:u w:val="single"/>
          <w:lang w:val="nl-NL"/>
        </w:rPr>
        <w:t xml:space="preserve">Ghi chú: </w:t>
      </w:r>
    </w:p>
    <w:p w14:paraId="4EBF1746" w14:textId="74A96912" w:rsidR="00D034B8" w:rsidRPr="00E93BC5" w:rsidRDefault="009671DB" w:rsidP="00EC3E69">
      <w:pPr>
        <w:shd w:val="clear" w:color="auto" w:fill="FFFFFF"/>
        <w:tabs>
          <w:tab w:val="left" w:pos="1080"/>
        </w:tabs>
        <w:spacing w:before="120" w:after="0" w:line="240" w:lineRule="auto"/>
        <w:ind w:left="1170" w:hanging="1170"/>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Pr="00E93BC5">
        <w:rPr>
          <w:rFonts w:ascii="Times New Roman" w:hAnsi="Times New Roman"/>
          <w:i/>
          <w:sz w:val="24"/>
          <w:szCs w:val="24"/>
          <w:lang w:val="nl-NL"/>
        </w:rPr>
        <w:t>(1)</w:t>
      </w:r>
      <w:r w:rsidR="00D034B8" w:rsidRPr="00E93BC5">
        <w:rPr>
          <w:rFonts w:ascii="Times New Roman" w:hAnsi="Times New Roman"/>
          <w:i/>
          <w:sz w:val="24"/>
          <w:szCs w:val="24"/>
          <w:lang w:val="nl-NL"/>
        </w:rPr>
        <w:t xml:space="preserve">: </w:t>
      </w:r>
      <w:r w:rsidR="00D034B8" w:rsidRPr="00E93BC5">
        <w:rPr>
          <w:rFonts w:ascii="Times New Roman" w:hAnsi="Times New Roman"/>
          <w:i/>
          <w:sz w:val="24"/>
          <w:szCs w:val="24"/>
          <w:lang w:val="nl-NL"/>
        </w:rPr>
        <w:tab/>
      </w:r>
      <w:r w:rsidR="00686487" w:rsidRPr="00E93BC5">
        <w:rPr>
          <w:rFonts w:ascii="Times New Roman" w:hAnsi="Times New Roman"/>
          <w:i/>
          <w:sz w:val="24"/>
          <w:szCs w:val="24"/>
          <w:lang w:val="nl-NL"/>
        </w:rPr>
        <w:t>Quỹ không sử dụng danh mục cơ cấu.</w:t>
      </w:r>
    </w:p>
    <w:p w14:paraId="13ECC8AD" w14:textId="77777777" w:rsidR="00486F0E" w:rsidRPr="00E93BC5" w:rsidRDefault="009671DB" w:rsidP="000F4B4C">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Pr="00E93BC5">
        <w:rPr>
          <w:rFonts w:ascii="Times New Roman" w:hAnsi="Times New Roman"/>
          <w:i/>
          <w:sz w:val="24"/>
          <w:szCs w:val="24"/>
          <w:lang w:val="nl-NL"/>
        </w:rPr>
        <w:t>(2):</w:t>
      </w:r>
      <w:r w:rsidRPr="00E93BC5">
        <w:rPr>
          <w:rFonts w:ascii="Times New Roman" w:hAnsi="Times New Roman"/>
          <w:i/>
          <w:sz w:val="24"/>
          <w:szCs w:val="24"/>
          <w:lang w:val="nl-NL"/>
        </w:rPr>
        <w:tab/>
      </w:r>
      <w:r w:rsidR="00686487" w:rsidRPr="00E93BC5">
        <w:rPr>
          <w:rFonts w:ascii="Times New Roman" w:hAnsi="Times New Roman"/>
          <w:i/>
          <w:sz w:val="24"/>
          <w:szCs w:val="24"/>
          <w:lang w:val="nl-NL"/>
        </w:rPr>
        <w:t>Chứng chỉ quỹ của Quỹ không được niêm yết trên thị trường chứng khoán.</w:t>
      </w:r>
    </w:p>
    <w:p w14:paraId="7DDB4C11" w14:textId="7EC814C1" w:rsidR="001C4468"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 Biểu đồ tăng trưởng </w:t>
      </w:r>
      <w:r w:rsidR="00C703B2" w:rsidRPr="00E93BC5">
        <w:rPr>
          <w:rFonts w:ascii="Times New Roman" w:hAnsi="Times New Roman"/>
          <w:sz w:val="24"/>
          <w:szCs w:val="24"/>
          <w:lang w:val="nl-NL"/>
        </w:rPr>
        <w:t xml:space="preserve">NAV/CCQ </w:t>
      </w:r>
      <w:r w:rsidRPr="00E93BC5">
        <w:rPr>
          <w:rFonts w:ascii="Times New Roman" w:hAnsi="Times New Roman"/>
          <w:sz w:val="24"/>
          <w:szCs w:val="24"/>
          <w:lang w:val="nl-NL"/>
        </w:rPr>
        <w:t xml:space="preserve"> của Quỹ trong </w:t>
      </w:r>
      <w:r w:rsidR="00F7398B">
        <w:rPr>
          <w:rFonts w:ascii="Times New Roman" w:hAnsi="Times New Roman"/>
          <w:sz w:val="24"/>
          <w:szCs w:val="24"/>
          <w:lang w:val="nl-NL"/>
        </w:rPr>
        <w:t>6</w:t>
      </w:r>
      <w:r w:rsidR="00E46772" w:rsidRPr="00E93BC5">
        <w:rPr>
          <w:rFonts w:ascii="Times New Roman" w:hAnsi="Times New Roman"/>
          <w:sz w:val="24"/>
          <w:szCs w:val="24"/>
          <w:lang w:val="nl-NL"/>
        </w:rPr>
        <w:t xml:space="preserve"> tháng</w:t>
      </w:r>
      <w:r w:rsidRPr="00E93BC5">
        <w:rPr>
          <w:rFonts w:ascii="Times New Roman" w:hAnsi="Times New Roman"/>
          <w:sz w:val="24"/>
          <w:szCs w:val="24"/>
          <w:lang w:val="nl-NL"/>
        </w:rPr>
        <w:t xml:space="preserve"> gần nhấ</w:t>
      </w:r>
      <w:r w:rsidR="004F5C05" w:rsidRPr="00E93BC5">
        <w:rPr>
          <w:rFonts w:ascii="Times New Roman" w:hAnsi="Times New Roman"/>
          <w:sz w:val="24"/>
          <w:szCs w:val="24"/>
          <w:lang w:val="nl-NL"/>
        </w:rPr>
        <w:t>t:</w:t>
      </w:r>
    </w:p>
    <w:p w14:paraId="33EFFEA7" w14:textId="77777777" w:rsidR="008A4BAD" w:rsidRPr="00E93BC5"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p w14:paraId="6102235B" w14:textId="02046BE4" w:rsidR="008F48C6" w:rsidRPr="00E93BC5" w:rsidRDefault="00920B56" w:rsidP="00B3750F">
      <w:pPr>
        <w:shd w:val="clear" w:color="auto" w:fill="FFFFFF"/>
        <w:tabs>
          <w:tab w:val="left" w:pos="540"/>
        </w:tabs>
        <w:spacing w:before="120" w:after="0" w:line="240" w:lineRule="auto"/>
        <w:jc w:val="both"/>
        <w:rPr>
          <w:rFonts w:ascii="Times New Roman" w:hAnsi="Times New Roman"/>
          <w:sz w:val="24"/>
          <w:szCs w:val="24"/>
          <w:lang w:val="nl-NL"/>
        </w:rPr>
      </w:pPr>
      <w:r>
        <w:rPr>
          <w:noProof/>
        </w:rPr>
        <w:drawing>
          <wp:inline distT="0" distB="0" distL="0" distR="0" wp14:anchorId="7EABC83D" wp14:editId="10187A6E">
            <wp:extent cx="6159500" cy="2965450"/>
            <wp:effectExtent l="0" t="0" r="12700" b="6350"/>
            <wp:docPr id="1" name="Chart 1">
              <a:extLst xmlns:a="http://schemas.openxmlformats.org/drawingml/2006/main">
                <a:ext uri="{FF2B5EF4-FFF2-40B4-BE49-F238E27FC236}">
                  <a16:creationId xmlns:a16="http://schemas.microsoft.com/office/drawing/2014/main" id="{36D7DC17-A1E3-4B92-85CA-B3D6510018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134B94" w14:textId="77777777" w:rsidR="00C805A1" w:rsidRPr="00E93BC5" w:rsidRDefault="00C805A1" w:rsidP="00B3750F">
      <w:pPr>
        <w:shd w:val="clear" w:color="auto" w:fill="FFFFFF"/>
        <w:tabs>
          <w:tab w:val="left" w:pos="540"/>
        </w:tabs>
        <w:spacing w:before="120" w:after="0" w:line="240" w:lineRule="auto"/>
        <w:jc w:val="both"/>
        <w:rPr>
          <w:rFonts w:ascii="Times New Roman" w:hAnsi="Times New Roman"/>
          <w:sz w:val="24"/>
          <w:szCs w:val="24"/>
          <w:lang w:val="nl-NL"/>
        </w:rPr>
      </w:pPr>
    </w:p>
    <w:p w14:paraId="4147275C" w14:textId="190929CE" w:rsidR="001C4468"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lastRenderedPageBreak/>
        <w:t>● Thay đổi giá trị tài sả</w:t>
      </w:r>
      <w:r w:rsidR="004F5C05" w:rsidRPr="00E93BC5">
        <w:rPr>
          <w:rFonts w:ascii="Times New Roman" w:hAnsi="Times New Roman"/>
          <w:sz w:val="24"/>
          <w:szCs w:val="24"/>
          <w:lang w:val="nl-NL"/>
        </w:rPr>
        <w:t>n ròng:</w:t>
      </w:r>
    </w:p>
    <w:p w14:paraId="0F959536" w14:textId="77777777" w:rsidR="008A4BAD" w:rsidRPr="00E93BC5"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tbl>
      <w:tblPr>
        <w:tblW w:w="98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21"/>
        <w:gridCol w:w="1810"/>
        <w:gridCol w:w="1722"/>
        <w:gridCol w:w="1718"/>
      </w:tblGrid>
      <w:tr w:rsidR="001C4468" w:rsidRPr="00E93BC5" w14:paraId="0DF92A85" w14:textId="77777777" w:rsidTr="00486F0E">
        <w:trPr>
          <w:trHeight w:val="661"/>
        </w:trPr>
        <w:tc>
          <w:tcPr>
            <w:tcW w:w="2341" w:type="pct"/>
            <w:shd w:val="clear" w:color="auto" w:fill="auto"/>
          </w:tcPr>
          <w:p w14:paraId="61BDCFE8" w14:textId="77777777" w:rsidR="001C4468" w:rsidRPr="00E93BC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Chỉ tiêu</w:t>
            </w:r>
          </w:p>
        </w:tc>
        <w:tc>
          <w:tcPr>
            <w:tcW w:w="917" w:type="pct"/>
            <w:shd w:val="clear" w:color="auto" w:fill="auto"/>
          </w:tcPr>
          <w:p w14:paraId="49DDEF2B" w14:textId="23D304D7" w:rsidR="001C4468" w:rsidRPr="00E93BC5" w:rsidRDefault="00357840"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920E4F" w:rsidRPr="00E93BC5">
              <w:rPr>
                <w:rFonts w:ascii="Times New Roman" w:eastAsia="Times New Roman" w:hAnsi="Times New Roman"/>
                <w:b/>
                <w:sz w:val="24"/>
                <w:szCs w:val="24"/>
                <w:lang w:val="nl-NL"/>
              </w:rPr>
              <w:t>/202</w:t>
            </w:r>
            <w:r w:rsidR="00F7398B">
              <w:rPr>
                <w:rFonts w:ascii="Times New Roman" w:eastAsia="Times New Roman" w:hAnsi="Times New Roman"/>
                <w:b/>
                <w:sz w:val="24"/>
                <w:szCs w:val="24"/>
                <w:lang w:val="nl-NL"/>
              </w:rPr>
              <w:t>4</w:t>
            </w:r>
          </w:p>
        </w:tc>
        <w:tc>
          <w:tcPr>
            <w:tcW w:w="872" w:type="pct"/>
            <w:shd w:val="clear" w:color="auto" w:fill="auto"/>
          </w:tcPr>
          <w:p w14:paraId="622D1012" w14:textId="0FA1BEA5" w:rsidR="001C4468" w:rsidRPr="00E93BC5" w:rsidRDefault="00357840"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920E4F" w:rsidRPr="00E93BC5">
              <w:rPr>
                <w:rFonts w:ascii="Times New Roman" w:eastAsia="Times New Roman" w:hAnsi="Times New Roman"/>
                <w:b/>
                <w:sz w:val="24"/>
                <w:szCs w:val="24"/>
                <w:lang w:val="nl-NL"/>
              </w:rPr>
              <w:t>/202</w:t>
            </w:r>
            <w:r w:rsidR="00F7398B">
              <w:rPr>
                <w:rFonts w:ascii="Times New Roman" w:eastAsia="Times New Roman" w:hAnsi="Times New Roman"/>
                <w:b/>
                <w:sz w:val="24"/>
                <w:szCs w:val="24"/>
                <w:lang w:val="nl-NL"/>
              </w:rPr>
              <w:t>3</w:t>
            </w:r>
          </w:p>
        </w:tc>
        <w:tc>
          <w:tcPr>
            <w:tcW w:w="870" w:type="pct"/>
            <w:shd w:val="clear" w:color="auto" w:fill="auto"/>
          </w:tcPr>
          <w:p w14:paraId="75CE7F5E" w14:textId="77777777" w:rsidR="001C4468" w:rsidRPr="00E93BC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Tỷ lệ thay đổi</w:t>
            </w:r>
          </w:p>
        </w:tc>
      </w:tr>
      <w:tr w:rsidR="001C4468" w:rsidRPr="00E93BC5" w14:paraId="2FE93D38" w14:textId="77777777" w:rsidTr="008A4BAD">
        <w:trPr>
          <w:trHeight w:val="427"/>
        </w:trPr>
        <w:tc>
          <w:tcPr>
            <w:tcW w:w="2341" w:type="pct"/>
            <w:shd w:val="clear" w:color="auto" w:fill="auto"/>
          </w:tcPr>
          <w:p w14:paraId="2AE0DD0D"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A</w:t>
            </w:r>
          </w:p>
        </w:tc>
        <w:tc>
          <w:tcPr>
            <w:tcW w:w="917" w:type="pct"/>
            <w:shd w:val="clear" w:color="auto" w:fill="auto"/>
          </w:tcPr>
          <w:p w14:paraId="0F8D000F"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p>
        </w:tc>
        <w:tc>
          <w:tcPr>
            <w:tcW w:w="872" w:type="pct"/>
            <w:shd w:val="clear" w:color="auto" w:fill="auto"/>
          </w:tcPr>
          <w:p w14:paraId="2F480C1A"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2</w:t>
            </w:r>
          </w:p>
        </w:tc>
        <w:tc>
          <w:tcPr>
            <w:tcW w:w="870" w:type="pct"/>
            <w:shd w:val="clear" w:color="auto" w:fill="auto"/>
          </w:tcPr>
          <w:p w14:paraId="7A051450"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3=</w:t>
            </w:r>
            <w:r w:rsidR="00A67095" w:rsidRPr="00E93BC5">
              <w:rPr>
                <w:rFonts w:ascii="Times New Roman" w:eastAsia="Times New Roman" w:hAnsi="Times New Roman"/>
                <w:sz w:val="24"/>
                <w:szCs w:val="24"/>
                <w:lang w:val="nl-NL"/>
              </w:rPr>
              <w:t xml:space="preserve"> </w:t>
            </w:r>
            <w:r w:rsidRPr="00E93BC5">
              <w:rPr>
                <w:rFonts w:ascii="Times New Roman" w:eastAsia="Times New Roman" w:hAnsi="Times New Roman"/>
                <w:sz w:val="24"/>
                <w:szCs w:val="24"/>
                <w:lang w:val="nl-NL"/>
              </w:rPr>
              <w:t>((1)</w:t>
            </w:r>
            <w:r w:rsidR="00E668DD" w:rsidRPr="00E93BC5">
              <w:rPr>
                <w:rFonts w:ascii="Times New Roman" w:eastAsia="Times New Roman" w:hAnsi="Times New Roman"/>
                <w:sz w:val="24"/>
                <w:szCs w:val="24"/>
                <w:lang w:val="nl-NL"/>
              </w:rPr>
              <w:t xml:space="preserve"> </w:t>
            </w:r>
            <w:r w:rsidRPr="00E93BC5">
              <w:rPr>
                <w:rFonts w:ascii="Times New Roman" w:eastAsia="Times New Roman" w:hAnsi="Times New Roman"/>
                <w:sz w:val="24"/>
                <w:szCs w:val="24"/>
                <w:lang w:val="nl-NL"/>
              </w:rPr>
              <w:t>-</w:t>
            </w:r>
            <w:r w:rsidR="00E668DD" w:rsidRPr="00E93BC5">
              <w:rPr>
                <w:rFonts w:ascii="Times New Roman" w:eastAsia="Times New Roman" w:hAnsi="Times New Roman"/>
                <w:sz w:val="24"/>
                <w:szCs w:val="24"/>
                <w:lang w:val="nl-NL"/>
              </w:rPr>
              <w:t xml:space="preserve"> </w:t>
            </w:r>
            <w:r w:rsidRPr="00E93BC5">
              <w:rPr>
                <w:rFonts w:ascii="Times New Roman" w:eastAsia="Times New Roman" w:hAnsi="Times New Roman"/>
                <w:sz w:val="24"/>
                <w:szCs w:val="24"/>
                <w:lang w:val="nl-NL"/>
              </w:rPr>
              <w:t>(2))/(2)</w:t>
            </w:r>
          </w:p>
        </w:tc>
      </w:tr>
      <w:tr w:rsidR="00F7398B" w:rsidRPr="00E93BC5" w14:paraId="6584EB3F" w14:textId="77777777" w:rsidTr="008A4BAD">
        <w:trPr>
          <w:trHeight w:val="661"/>
        </w:trPr>
        <w:tc>
          <w:tcPr>
            <w:tcW w:w="2341" w:type="pct"/>
            <w:shd w:val="clear" w:color="auto" w:fill="auto"/>
          </w:tcPr>
          <w:p w14:paraId="21DE6670" w14:textId="77777777" w:rsidR="00F7398B" w:rsidRPr="00E93BC5" w:rsidRDefault="00F7398B" w:rsidP="00F7398B">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Giá trị tài sản ròng (NAV) của Quỹ</w:t>
            </w:r>
          </w:p>
        </w:tc>
        <w:tc>
          <w:tcPr>
            <w:tcW w:w="917" w:type="pct"/>
            <w:shd w:val="clear" w:color="auto" w:fill="auto"/>
            <w:vAlign w:val="center"/>
          </w:tcPr>
          <w:p w14:paraId="6C0C8909" w14:textId="5B243C7C" w:rsidR="00F7398B" w:rsidRPr="00E93BC5" w:rsidRDefault="00F7398B" w:rsidP="00F7398B">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bCs/>
                <w:color w:val="000000"/>
                <w:sz w:val="24"/>
                <w:szCs w:val="24"/>
                <w:lang w:val="en-SG" w:eastAsia="en-SG"/>
              </w:rPr>
              <w:t>127.762.004.306</w:t>
            </w:r>
          </w:p>
        </w:tc>
        <w:tc>
          <w:tcPr>
            <w:tcW w:w="872" w:type="pct"/>
            <w:shd w:val="clear" w:color="auto" w:fill="auto"/>
            <w:vAlign w:val="center"/>
          </w:tcPr>
          <w:p w14:paraId="37F220DF" w14:textId="36140C76" w:rsidR="00F7398B" w:rsidRPr="00E93BC5" w:rsidRDefault="00F7398B" w:rsidP="00F7398B">
            <w:pPr>
              <w:tabs>
                <w:tab w:val="left" w:pos="540"/>
              </w:tabs>
              <w:spacing w:before="120" w:after="0" w:line="240" w:lineRule="auto"/>
              <w:jc w:val="center"/>
              <w:rPr>
                <w:rFonts w:ascii="Times New Roman" w:eastAsia="Times New Roman" w:hAnsi="Times New Roman"/>
                <w:color w:val="000000"/>
                <w:sz w:val="24"/>
                <w:szCs w:val="24"/>
              </w:rPr>
            </w:pPr>
            <w:r w:rsidRPr="00845946">
              <w:rPr>
                <w:rFonts w:ascii="Times New Roman" w:eastAsia="Times New Roman" w:hAnsi="Times New Roman"/>
                <w:bCs/>
                <w:color w:val="000000"/>
                <w:sz w:val="24"/>
                <w:szCs w:val="24"/>
                <w:lang w:val="en-SG" w:eastAsia="en-SG"/>
              </w:rPr>
              <w:t>120.403.919.940</w:t>
            </w:r>
          </w:p>
        </w:tc>
        <w:tc>
          <w:tcPr>
            <w:tcW w:w="870" w:type="pct"/>
            <w:shd w:val="clear" w:color="auto" w:fill="auto"/>
            <w:vAlign w:val="center"/>
          </w:tcPr>
          <w:p w14:paraId="5EE3D590" w14:textId="525DB1C9" w:rsidR="00F7398B" w:rsidRPr="00E93BC5" w:rsidRDefault="00F7398B" w:rsidP="00F7398B">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6,1</w:t>
            </w:r>
            <w:r>
              <w:rPr>
                <w:rFonts w:ascii="Times New Roman" w:eastAsia="Times New Roman" w:hAnsi="Times New Roman"/>
                <w:sz w:val="24"/>
                <w:szCs w:val="24"/>
                <w:lang w:val="nl-NL"/>
              </w:rPr>
              <w:t>1</w:t>
            </w:r>
            <w:r w:rsidRPr="00845946">
              <w:rPr>
                <w:rFonts w:ascii="Times New Roman" w:eastAsia="Times New Roman" w:hAnsi="Times New Roman"/>
                <w:sz w:val="24"/>
                <w:szCs w:val="24"/>
                <w:lang w:val="nl-NL"/>
              </w:rPr>
              <w:t>%</w:t>
            </w:r>
          </w:p>
        </w:tc>
      </w:tr>
      <w:tr w:rsidR="00F7398B" w:rsidRPr="00E93BC5" w14:paraId="22C141F9" w14:textId="77777777" w:rsidTr="008A4BAD">
        <w:trPr>
          <w:trHeight w:val="644"/>
        </w:trPr>
        <w:tc>
          <w:tcPr>
            <w:tcW w:w="2341" w:type="pct"/>
            <w:shd w:val="clear" w:color="auto" w:fill="auto"/>
          </w:tcPr>
          <w:p w14:paraId="3741CC58" w14:textId="77777777" w:rsidR="00F7398B" w:rsidRPr="00E93BC5" w:rsidRDefault="00F7398B" w:rsidP="00F7398B">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Giá trị tài sản ròng (NAV) trên 1 đơn vị CCQ</w:t>
            </w:r>
          </w:p>
        </w:tc>
        <w:tc>
          <w:tcPr>
            <w:tcW w:w="917" w:type="pct"/>
            <w:shd w:val="clear" w:color="auto" w:fill="auto"/>
            <w:vAlign w:val="center"/>
          </w:tcPr>
          <w:p w14:paraId="72491A7E" w14:textId="18F41B23" w:rsidR="00F7398B" w:rsidRPr="00E93BC5" w:rsidRDefault="00F7398B" w:rsidP="00F7398B">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845946">
              <w:rPr>
                <w:rFonts w:ascii="Times New Roman" w:eastAsia="Times New Roman" w:hAnsi="Times New Roman"/>
                <w:bCs/>
                <w:color w:val="000000"/>
                <w:sz w:val="24"/>
                <w:szCs w:val="24"/>
                <w:lang w:val="en-SG" w:eastAsia="en-SG"/>
              </w:rPr>
              <w:t>12.790,14</w:t>
            </w:r>
          </w:p>
        </w:tc>
        <w:tc>
          <w:tcPr>
            <w:tcW w:w="872" w:type="pct"/>
            <w:shd w:val="clear" w:color="auto" w:fill="auto"/>
            <w:vAlign w:val="center"/>
          </w:tcPr>
          <w:p w14:paraId="798A3B65" w14:textId="12C09C93" w:rsidR="00F7398B" w:rsidRPr="00E93BC5" w:rsidRDefault="00F7398B" w:rsidP="00F7398B">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845946">
              <w:rPr>
                <w:rFonts w:ascii="Times New Roman" w:eastAsia="Times New Roman" w:hAnsi="Times New Roman"/>
                <w:bCs/>
                <w:color w:val="000000"/>
                <w:sz w:val="24"/>
                <w:szCs w:val="24"/>
                <w:lang w:val="en-SG" w:eastAsia="en-SG"/>
              </w:rPr>
              <w:t>12.047,11</w:t>
            </w:r>
          </w:p>
        </w:tc>
        <w:tc>
          <w:tcPr>
            <w:tcW w:w="870" w:type="pct"/>
            <w:shd w:val="clear" w:color="auto" w:fill="auto"/>
            <w:vAlign w:val="center"/>
          </w:tcPr>
          <w:p w14:paraId="471599FC" w14:textId="6FDCCB40" w:rsidR="00F7398B" w:rsidRPr="00E93BC5" w:rsidRDefault="00F7398B" w:rsidP="00F7398B">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845946">
              <w:rPr>
                <w:rFonts w:ascii="Times New Roman" w:eastAsia="Times New Roman" w:hAnsi="Times New Roman"/>
                <w:bCs/>
                <w:color w:val="000000"/>
                <w:sz w:val="24"/>
                <w:szCs w:val="24"/>
                <w:lang w:val="en-SG" w:eastAsia="en-SG"/>
              </w:rPr>
              <w:t>6,17%</w:t>
            </w:r>
          </w:p>
        </w:tc>
      </w:tr>
    </w:tbl>
    <w:p w14:paraId="6B0CB6BC" w14:textId="2D12E23A" w:rsidR="00445F8E" w:rsidRPr="00E93BC5" w:rsidRDefault="00DC0D58" w:rsidP="00B3750F">
      <w:pPr>
        <w:shd w:val="clear" w:color="auto" w:fill="FFFFFF"/>
        <w:tabs>
          <w:tab w:val="left" w:pos="540"/>
        </w:tabs>
        <w:spacing w:before="120" w:after="0" w:line="360" w:lineRule="auto"/>
        <w:jc w:val="both"/>
        <w:rPr>
          <w:rFonts w:ascii="Times New Roman" w:hAnsi="Times New Roman"/>
          <w:sz w:val="24"/>
          <w:szCs w:val="24"/>
          <w:lang w:val="nl-NL"/>
        </w:rPr>
      </w:pPr>
      <w:r w:rsidRPr="00E93BC5">
        <w:rPr>
          <w:rFonts w:ascii="Times New Roman" w:hAnsi="Times New Roman"/>
          <w:sz w:val="24"/>
          <w:szCs w:val="24"/>
          <w:lang w:val="nl-NL"/>
        </w:rPr>
        <w:t>T</w:t>
      </w:r>
      <w:r w:rsidR="00B84DD0" w:rsidRPr="00E93BC5">
        <w:rPr>
          <w:rFonts w:ascii="Times New Roman" w:hAnsi="Times New Roman"/>
          <w:sz w:val="24"/>
          <w:szCs w:val="24"/>
          <w:lang w:val="nl-NL"/>
        </w:rPr>
        <w:t xml:space="preserve">rong giai đoạn từ </w:t>
      </w:r>
      <w:r w:rsidR="007E6FEE">
        <w:rPr>
          <w:rFonts w:ascii="Times New Roman" w:hAnsi="Times New Roman"/>
          <w:sz w:val="24"/>
          <w:szCs w:val="24"/>
          <w:lang w:val="nl-NL"/>
        </w:rPr>
        <w:t>30/06</w:t>
      </w:r>
      <w:r w:rsidR="00D672F8" w:rsidRPr="00E93BC5">
        <w:rPr>
          <w:rFonts w:ascii="Times New Roman" w:hAnsi="Times New Roman"/>
          <w:sz w:val="24"/>
          <w:szCs w:val="24"/>
          <w:lang w:val="nl-NL"/>
        </w:rPr>
        <w:t>/202</w:t>
      </w:r>
      <w:r w:rsidR="00444043">
        <w:rPr>
          <w:rFonts w:ascii="Times New Roman" w:hAnsi="Times New Roman"/>
          <w:sz w:val="24"/>
          <w:szCs w:val="24"/>
          <w:lang w:val="nl-NL"/>
        </w:rPr>
        <w:t>3</w:t>
      </w:r>
      <w:r w:rsidR="00B84DD0" w:rsidRPr="00E93BC5">
        <w:rPr>
          <w:rFonts w:ascii="Times New Roman" w:hAnsi="Times New Roman"/>
          <w:sz w:val="24"/>
          <w:szCs w:val="24"/>
          <w:lang w:val="nl-NL"/>
        </w:rPr>
        <w:t xml:space="preserve"> đến </w:t>
      </w:r>
      <w:r w:rsidR="007E6FEE">
        <w:rPr>
          <w:rFonts w:ascii="Times New Roman" w:hAnsi="Times New Roman"/>
          <w:sz w:val="24"/>
          <w:szCs w:val="24"/>
          <w:lang w:val="nl-NL"/>
        </w:rPr>
        <w:t>30/06</w:t>
      </w:r>
      <w:r w:rsidR="00D672F8" w:rsidRPr="00E93BC5">
        <w:rPr>
          <w:rFonts w:ascii="Times New Roman" w:hAnsi="Times New Roman"/>
          <w:sz w:val="24"/>
          <w:szCs w:val="24"/>
          <w:lang w:val="nl-NL"/>
        </w:rPr>
        <w:t>/202</w:t>
      </w:r>
      <w:r w:rsidR="00444043">
        <w:rPr>
          <w:rFonts w:ascii="Times New Roman" w:hAnsi="Times New Roman"/>
          <w:sz w:val="24"/>
          <w:szCs w:val="24"/>
          <w:lang w:val="nl-NL"/>
        </w:rPr>
        <w:t>4</w:t>
      </w:r>
      <w:r w:rsidR="00D672F8" w:rsidRPr="00E93BC5">
        <w:rPr>
          <w:rFonts w:ascii="Times New Roman" w:hAnsi="Times New Roman"/>
          <w:sz w:val="24"/>
          <w:szCs w:val="24"/>
          <w:lang w:val="nl-NL"/>
        </w:rPr>
        <w:t xml:space="preserve"> </w:t>
      </w:r>
      <w:r w:rsidR="00730E8A" w:rsidRPr="00E93BC5">
        <w:rPr>
          <w:rFonts w:ascii="Times New Roman" w:hAnsi="Times New Roman"/>
          <w:sz w:val="24"/>
          <w:szCs w:val="24"/>
          <w:lang w:val="nl-NL"/>
        </w:rPr>
        <w:t>g</w:t>
      </w:r>
      <w:r w:rsidR="00697B7E" w:rsidRPr="00E93BC5">
        <w:rPr>
          <w:rFonts w:ascii="Times New Roman" w:hAnsi="Times New Roman"/>
          <w:sz w:val="24"/>
          <w:szCs w:val="24"/>
          <w:lang w:val="nl-NL"/>
        </w:rPr>
        <w:t xml:space="preserve">iá trị tài sản ròng của Quỹ tăng </w:t>
      </w:r>
      <w:r w:rsidR="00444043">
        <w:rPr>
          <w:rFonts w:ascii="Times New Roman" w:hAnsi="Times New Roman"/>
          <w:sz w:val="24"/>
          <w:szCs w:val="24"/>
          <w:lang w:val="nl-NL"/>
        </w:rPr>
        <w:t>6,11</w:t>
      </w:r>
      <w:r w:rsidR="00050A6F" w:rsidRPr="00E93BC5">
        <w:rPr>
          <w:rFonts w:ascii="Times New Roman" w:hAnsi="Times New Roman"/>
          <w:sz w:val="24"/>
          <w:szCs w:val="24"/>
          <w:lang w:val="nl-NL"/>
        </w:rPr>
        <w:t>%</w:t>
      </w:r>
      <w:r w:rsidR="00730E8A" w:rsidRPr="00E93BC5">
        <w:rPr>
          <w:rFonts w:ascii="Times New Roman" w:hAnsi="Times New Roman"/>
          <w:sz w:val="24"/>
          <w:szCs w:val="24"/>
          <w:lang w:val="nl-NL"/>
        </w:rPr>
        <w:t xml:space="preserve"> </w:t>
      </w:r>
      <w:r w:rsidR="00B84DD0" w:rsidRPr="00E93BC5">
        <w:rPr>
          <w:rFonts w:ascii="Times New Roman" w:hAnsi="Times New Roman"/>
          <w:sz w:val="24"/>
          <w:szCs w:val="24"/>
          <w:lang w:val="nl-NL"/>
        </w:rPr>
        <w:t>chủ yếu do lợi nh</w:t>
      </w:r>
      <w:r w:rsidR="008E3939" w:rsidRPr="00E93BC5">
        <w:rPr>
          <w:rFonts w:ascii="Times New Roman" w:hAnsi="Times New Roman"/>
          <w:sz w:val="24"/>
          <w:szCs w:val="24"/>
          <w:lang w:val="nl-NL"/>
        </w:rPr>
        <w:t>u</w:t>
      </w:r>
      <w:r w:rsidR="00B84DD0" w:rsidRPr="00E93BC5">
        <w:rPr>
          <w:rFonts w:ascii="Times New Roman" w:hAnsi="Times New Roman"/>
          <w:sz w:val="24"/>
          <w:szCs w:val="24"/>
          <w:lang w:val="nl-NL"/>
        </w:rPr>
        <w:t>ận từ kết quả đầu tư mang lại</w:t>
      </w:r>
      <w:r w:rsidR="008E3939" w:rsidRPr="00E93BC5">
        <w:rPr>
          <w:rFonts w:ascii="Times New Roman" w:hAnsi="Times New Roman"/>
          <w:sz w:val="24"/>
          <w:szCs w:val="24"/>
          <w:lang w:val="nl-NL"/>
        </w:rPr>
        <w:t>.</w:t>
      </w:r>
    </w:p>
    <w:p w14:paraId="61CB3CDC" w14:textId="77777777" w:rsidR="001C4468" w:rsidRPr="00E93BC5"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E93BC5">
        <w:rPr>
          <w:rFonts w:ascii="Times New Roman" w:hAnsi="Times New Roman"/>
          <w:b/>
          <w:sz w:val="24"/>
          <w:szCs w:val="24"/>
          <w:lang w:val="nl-NL"/>
        </w:rPr>
        <w:t>Thống kê về Nhà đầu tư nắm giữ Chứng chỉ quỹ tại thời điểm báo cáo (tại thời điểm gần nhất):</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1C4468" w:rsidRPr="00E93BC5" w14:paraId="623333E6" w14:textId="77777777" w:rsidTr="00BF72B0">
        <w:tc>
          <w:tcPr>
            <w:tcW w:w="1882" w:type="pct"/>
            <w:shd w:val="clear" w:color="auto" w:fill="auto"/>
            <w:vAlign w:val="center"/>
          </w:tcPr>
          <w:p w14:paraId="4CEAB9C9"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Quy mô nắm giữ (Đơn vị)</w:t>
            </w:r>
          </w:p>
        </w:tc>
        <w:tc>
          <w:tcPr>
            <w:tcW w:w="1056" w:type="pct"/>
            <w:shd w:val="clear" w:color="auto" w:fill="auto"/>
            <w:vAlign w:val="center"/>
          </w:tcPr>
          <w:p w14:paraId="63E62324"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Số lượng Nhà đầu tư nắm giữ</w:t>
            </w:r>
          </w:p>
        </w:tc>
        <w:tc>
          <w:tcPr>
            <w:tcW w:w="1193" w:type="pct"/>
            <w:shd w:val="clear" w:color="auto" w:fill="auto"/>
            <w:vAlign w:val="center"/>
          </w:tcPr>
          <w:p w14:paraId="0EDF1517"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Số lượng đơn vị Chứng chỉ quỹ nắm giữ</w:t>
            </w:r>
          </w:p>
        </w:tc>
        <w:tc>
          <w:tcPr>
            <w:tcW w:w="869" w:type="pct"/>
            <w:shd w:val="clear" w:color="auto" w:fill="auto"/>
            <w:vAlign w:val="center"/>
          </w:tcPr>
          <w:p w14:paraId="1F38D43F"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Tỷ lệ nắm giữ</w:t>
            </w:r>
          </w:p>
        </w:tc>
      </w:tr>
      <w:tr w:rsidR="001C4468" w:rsidRPr="00E93BC5" w14:paraId="721C9E6F" w14:textId="77777777" w:rsidTr="00BF72B0">
        <w:trPr>
          <w:trHeight w:val="337"/>
        </w:trPr>
        <w:tc>
          <w:tcPr>
            <w:tcW w:w="1882" w:type="pct"/>
            <w:shd w:val="clear" w:color="auto" w:fill="auto"/>
            <w:vAlign w:val="center"/>
          </w:tcPr>
          <w:p w14:paraId="615AF58A"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A</w:t>
            </w:r>
          </w:p>
        </w:tc>
        <w:tc>
          <w:tcPr>
            <w:tcW w:w="1056" w:type="pct"/>
            <w:shd w:val="clear" w:color="auto" w:fill="auto"/>
            <w:vAlign w:val="center"/>
          </w:tcPr>
          <w:p w14:paraId="798A9A0D"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1</w:t>
            </w:r>
          </w:p>
        </w:tc>
        <w:tc>
          <w:tcPr>
            <w:tcW w:w="1193" w:type="pct"/>
            <w:shd w:val="clear" w:color="auto" w:fill="auto"/>
            <w:vAlign w:val="center"/>
          </w:tcPr>
          <w:p w14:paraId="5544ECA4"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2</w:t>
            </w:r>
          </w:p>
        </w:tc>
        <w:tc>
          <w:tcPr>
            <w:tcW w:w="869" w:type="pct"/>
            <w:shd w:val="clear" w:color="auto" w:fill="auto"/>
            <w:vAlign w:val="center"/>
          </w:tcPr>
          <w:p w14:paraId="50373C99"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3</w:t>
            </w:r>
          </w:p>
        </w:tc>
      </w:tr>
      <w:tr w:rsidR="00BF72B0" w:rsidRPr="00E93BC5" w14:paraId="33807B71" w14:textId="77777777" w:rsidTr="00BF72B0">
        <w:tc>
          <w:tcPr>
            <w:tcW w:w="1882" w:type="pct"/>
            <w:shd w:val="clear" w:color="auto" w:fill="auto"/>
            <w:vAlign w:val="center"/>
          </w:tcPr>
          <w:p w14:paraId="4EF6F4E5" w14:textId="77777777" w:rsidR="00BF72B0" w:rsidRPr="00E93BC5" w:rsidRDefault="00BF72B0" w:rsidP="00BF72B0">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Dưới 5.000</w:t>
            </w:r>
          </w:p>
        </w:tc>
        <w:tc>
          <w:tcPr>
            <w:tcW w:w="1056" w:type="pct"/>
            <w:shd w:val="clear" w:color="auto" w:fill="auto"/>
            <w:vAlign w:val="center"/>
          </w:tcPr>
          <w:p w14:paraId="731DD6AC" w14:textId="54213251"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116</w:t>
            </w:r>
          </w:p>
        </w:tc>
        <w:tc>
          <w:tcPr>
            <w:tcW w:w="1193" w:type="pct"/>
            <w:shd w:val="clear" w:color="auto" w:fill="auto"/>
            <w:vAlign w:val="center"/>
          </w:tcPr>
          <w:p w14:paraId="5AC16A63" w14:textId="05EFB62C"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29.608,59</w:t>
            </w:r>
          </w:p>
        </w:tc>
        <w:tc>
          <w:tcPr>
            <w:tcW w:w="869" w:type="pct"/>
            <w:shd w:val="clear" w:color="auto" w:fill="auto"/>
            <w:vAlign w:val="center"/>
          </w:tcPr>
          <w:p w14:paraId="491B3301" w14:textId="3C85D224"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0,30%</w:t>
            </w:r>
          </w:p>
        </w:tc>
      </w:tr>
      <w:tr w:rsidR="00BF72B0" w:rsidRPr="00E93BC5" w14:paraId="214727B5" w14:textId="77777777" w:rsidTr="00BF72B0">
        <w:tc>
          <w:tcPr>
            <w:tcW w:w="1882" w:type="pct"/>
            <w:shd w:val="clear" w:color="auto" w:fill="auto"/>
            <w:vAlign w:val="center"/>
          </w:tcPr>
          <w:p w14:paraId="630C5BDD" w14:textId="77777777" w:rsidR="00BF72B0" w:rsidRPr="00E93BC5" w:rsidRDefault="00BF72B0" w:rsidP="00BF72B0">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Từ 5.000 - 10.000</w:t>
            </w:r>
          </w:p>
        </w:tc>
        <w:tc>
          <w:tcPr>
            <w:tcW w:w="1056" w:type="pct"/>
            <w:shd w:val="clear" w:color="auto" w:fill="auto"/>
            <w:vAlign w:val="center"/>
          </w:tcPr>
          <w:p w14:paraId="6C2D27DE" w14:textId="24687952"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1193" w:type="pct"/>
            <w:shd w:val="clear" w:color="auto" w:fill="auto"/>
            <w:vAlign w:val="center"/>
          </w:tcPr>
          <w:p w14:paraId="1B5F4FC9" w14:textId="2C1132F5"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869" w:type="pct"/>
            <w:shd w:val="clear" w:color="auto" w:fill="auto"/>
            <w:vAlign w:val="center"/>
          </w:tcPr>
          <w:p w14:paraId="3284874B" w14:textId="6CE830F4"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0,00%</w:t>
            </w:r>
          </w:p>
        </w:tc>
      </w:tr>
      <w:tr w:rsidR="00BF72B0" w:rsidRPr="00E93BC5" w14:paraId="6028455A" w14:textId="77777777" w:rsidTr="00BF72B0">
        <w:tc>
          <w:tcPr>
            <w:tcW w:w="1882" w:type="pct"/>
            <w:shd w:val="clear" w:color="auto" w:fill="auto"/>
            <w:vAlign w:val="center"/>
          </w:tcPr>
          <w:p w14:paraId="41CB0DF7" w14:textId="77777777" w:rsidR="00BF72B0" w:rsidRPr="00E93BC5" w:rsidRDefault="00BF72B0" w:rsidP="00BF72B0">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Từ 10.000 đến 50.000</w:t>
            </w:r>
          </w:p>
        </w:tc>
        <w:tc>
          <w:tcPr>
            <w:tcW w:w="1056" w:type="pct"/>
            <w:shd w:val="clear" w:color="auto" w:fill="auto"/>
            <w:vAlign w:val="center"/>
          </w:tcPr>
          <w:p w14:paraId="25E393F3" w14:textId="1494387F"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1193" w:type="pct"/>
            <w:shd w:val="clear" w:color="auto" w:fill="auto"/>
            <w:vAlign w:val="center"/>
          </w:tcPr>
          <w:p w14:paraId="26AF953D" w14:textId="09675CBC"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869" w:type="pct"/>
            <w:shd w:val="clear" w:color="auto" w:fill="auto"/>
            <w:vAlign w:val="center"/>
          </w:tcPr>
          <w:p w14:paraId="38FD1556" w14:textId="622A7A54"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0,00%</w:t>
            </w:r>
          </w:p>
        </w:tc>
      </w:tr>
      <w:tr w:rsidR="00BF72B0" w:rsidRPr="00E93BC5" w14:paraId="7B463B51" w14:textId="77777777" w:rsidTr="00BF72B0">
        <w:tc>
          <w:tcPr>
            <w:tcW w:w="1882" w:type="pct"/>
            <w:shd w:val="clear" w:color="auto" w:fill="auto"/>
            <w:vAlign w:val="center"/>
          </w:tcPr>
          <w:p w14:paraId="03F987FB" w14:textId="77777777" w:rsidR="00BF72B0" w:rsidRPr="00E93BC5" w:rsidRDefault="00BF72B0" w:rsidP="00BF72B0">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Từ 50.000 đến 500.000</w:t>
            </w:r>
          </w:p>
        </w:tc>
        <w:tc>
          <w:tcPr>
            <w:tcW w:w="1056" w:type="pct"/>
            <w:shd w:val="clear" w:color="auto" w:fill="auto"/>
            <w:vAlign w:val="center"/>
          </w:tcPr>
          <w:p w14:paraId="16E26C72" w14:textId="32636C34"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1193" w:type="pct"/>
            <w:shd w:val="clear" w:color="auto" w:fill="auto"/>
            <w:vAlign w:val="center"/>
          </w:tcPr>
          <w:p w14:paraId="0767171A" w14:textId="08CFC585"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869" w:type="pct"/>
            <w:shd w:val="clear" w:color="auto" w:fill="auto"/>
            <w:vAlign w:val="center"/>
          </w:tcPr>
          <w:p w14:paraId="18EDF114" w14:textId="19337F46"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0,00%</w:t>
            </w:r>
          </w:p>
        </w:tc>
      </w:tr>
      <w:tr w:rsidR="00BF72B0" w:rsidRPr="00E93BC5" w14:paraId="7913649F" w14:textId="77777777" w:rsidTr="00BF72B0">
        <w:tc>
          <w:tcPr>
            <w:tcW w:w="1882" w:type="pct"/>
            <w:shd w:val="clear" w:color="auto" w:fill="auto"/>
            <w:vAlign w:val="center"/>
          </w:tcPr>
          <w:p w14:paraId="505E9553" w14:textId="77777777" w:rsidR="00BF72B0" w:rsidRPr="00E93BC5" w:rsidRDefault="00BF72B0" w:rsidP="00BF72B0">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Trên 500.000</w:t>
            </w:r>
          </w:p>
        </w:tc>
        <w:tc>
          <w:tcPr>
            <w:tcW w:w="1056" w:type="pct"/>
            <w:shd w:val="clear" w:color="auto" w:fill="auto"/>
            <w:vAlign w:val="center"/>
          </w:tcPr>
          <w:p w14:paraId="57937794" w14:textId="74328E56"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w:t>
            </w:r>
          </w:p>
        </w:tc>
        <w:tc>
          <w:tcPr>
            <w:tcW w:w="1193" w:type="pct"/>
            <w:shd w:val="clear" w:color="auto" w:fill="auto"/>
            <w:vAlign w:val="center"/>
          </w:tcPr>
          <w:p w14:paraId="4F5F4E38" w14:textId="4AE18632"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9.959.489,84</w:t>
            </w:r>
          </w:p>
        </w:tc>
        <w:tc>
          <w:tcPr>
            <w:tcW w:w="869" w:type="pct"/>
            <w:shd w:val="clear" w:color="auto" w:fill="auto"/>
            <w:vAlign w:val="center"/>
          </w:tcPr>
          <w:p w14:paraId="164891F0" w14:textId="39565EFF"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99,70%</w:t>
            </w:r>
          </w:p>
        </w:tc>
      </w:tr>
      <w:tr w:rsidR="00BF72B0" w:rsidRPr="00E93BC5" w14:paraId="46E1C62A" w14:textId="77777777" w:rsidTr="00BF72B0">
        <w:trPr>
          <w:trHeight w:val="418"/>
        </w:trPr>
        <w:tc>
          <w:tcPr>
            <w:tcW w:w="1882" w:type="pct"/>
            <w:shd w:val="clear" w:color="auto" w:fill="auto"/>
            <w:vAlign w:val="center"/>
          </w:tcPr>
          <w:p w14:paraId="7808300E" w14:textId="77777777" w:rsidR="00BF72B0" w:rsidRPr="00E93BC5" w:rsidRDefault="00BF72B0" w:rsidP="00BF72B0">
            <w:pPr>
              <w:tabs>
                <w:tab w:val="left" w:pos="540"/>
              </w:tabs>
              <w:spacing w:before="120" w:after="0" w:line="240" w:lineRule="auto"/>
              <w:jc w:val="both"/>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Tổng cộng</w:t>
            </w:r>
          </w:p>
        </w:tc>
        <w:tc>
          <w:tcPr>
            <w:tcW w:w="1056" w:type="pct"/>
            <w:shd w:val="clear" w:color="auto" w:fill="auto"/>
            <w:vAlign w:val="center"/>
          </w:tcPr>
          <w:p w14:paraId="6D287282" w14:textId="79A6AA7C" w:rsidR="00BF72B0" w:rsidRPr="00E93BC5" w:rsidRDefault="00BF72B0" w:rsidP="00BF72B0">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117</w:t>
            </w:r>
          </w:p>
        </w:tc>
        <w:tc>
          <w:tcPr>
            <w:tcW w:w="1193" w:type="pct"/>
            <w:shd w:val="clear" w:color="auto" w:fill="auto"/>
            <w:vAlign w:val="center"/>
          </w:tcPr>
          <w:p w14:paraId="43BDD4F2" w14:textId="074DCF24" w:rsidR="00BF72B0" w:rsidRPr="00E93BC5" w:rsidRDefault="00BF72B0" w:rsidP="00BF72B0">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9.989.098,43</w:t>
            </w:r>
          </w:p>
        </w:tc>
        <w:tc>
          <w:tcPr>
            <w:tcW w:w="869" w:type="pct"/>
            <w:shd w:val="clear" w:color="auto" w:fill="auto"/>
            <w:vAlign w:val="center"/>
          </w:tcPr>
          <w:p w14:paraId="649F1B28" w14:textId="3FE4701C" w:rsidR="00BF72B0" w:rsidRPr="00E93BC5" w:rsidRDefault="00BF72B0" w:rsidP="00BF72B0">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100,00%</w:t>
            </w:r>
          </w:p>
        </w:tc>
      </w:tr>
    </w:tbl>
    <w:p w14:paraId="5E7C2407" w14:textId="77777777" w:rsidR="00445F8E" w:rsidRPr="00E93BC5" w:rsidRDefault="00445F8E" w:rsidP="00B3750F">
      <w:pPr>
        <w:shd w:val="clear" w:color="auto" w:fill="FFFFFF"/>
        <w:tabs>
          <w:tab w:val="left" w:pos="540"/>
        </w:tabs>
        <w:spacing w:before="120" w:after="0" w:line="240" w:lineRule="auto"/>
        <w:jc w:val="both"/>
        <w:rPr>
          <w:rFonts w:ascii="Times New Roman" w:hAnsi="Times New Roman"/>
          <w:b/>
          <w:sz w:val="24"/>
          <w:szCs w:val="24"/>
          <w:u w:val="single"/>
          <w:lang w:val="nl-NL"/>
        </w:rPr>
      </w:pPr>
    </w:p>
    <w:p w14:paraId="5B7F1A86" w14:textId="77777777" w:rsidR="001C4468" w:rsidRPr="00E93BC5"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E93BC5">
        <w:rPr>
          <w:rFonts w:ascii="Times New Roman" w:hAnsi="Times New Roman"/>
          <w:b/>
          <w:sz w:val="24"/>
          <w:szCs w:val="24"/>
          <w:u w:val="single"/>
          <w:lang w:val="nl-NL"/>
        </w:rPr>
        <w:t>Ghi chú:</w:t>
      </w:r>
      <w:r w:rsidRPr="00E93BC5">
        <w:rPr>
          <w:rFonts w:ascii="Times New Roman" w:hAnsi="Times New Roman"/>
          <w:i/>
          <w:sz w:val="24"/>
          <w:szCs w:val="24"/>
          <w:lang w:val="nl-NL"/>
        </w:rPr>
        <w:t xml:space="preserve"> Trình bày tình hình nắm giữ Chứng chỉ quỹ của Nhà đầu tư từ ít nhất đến nhiều nhất.</w:t>
      </w:r>
    </w:p>
    <w:p w14:paraId="36297BCB" w14:textId="77777777" w:rsidR="001C4468" w:rsidRPr="00E93BC5"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E93BC5">
        <w:rPr>
          <w:rFonts w:ascii="Times New Roman" w:hAnsi="Times New Roman"/>
          <w:b/>
          <w:sz w:val="24"/>
          <w:szCs w:val="24"/>
          <w:lang w:val="nl-NL"/>
        </w:rPr>
        <w:t>Chi phí ngầm và giảm giá</w:t>
      </w:r>
    </w:p>
    <w:p w14:paraId="707EF0E9" w14:textId="77777777" w:rsidR="003E4AD7" w:rsidRPr="00E93BC5" w:rsidRDefault="003E4AD7" w:rsidP="001A5984">
      <w:pPr>
        <w:spacing w:before="240"/>
        <w:jc w:val="both"/>
        <w:rPr>
          <w:rFonts w:ascii="Times New Roman" w:hAnsi="Times New Roman"/>
          <w:sz w:val="24"/>
          <w:szCs w:val="24"/>
          <w:lang w:val="nl-NL"/>
        </w:rPr>
      </w:pPr>
      <w:r w:rsidRPr="00E93BC5">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14:paraId="50ED1680" w14:textId="77777777" w:rsidR="004B07B4" w:rsidRPr="00E93BC5"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w:t>
      </w:r>
      <w:r w:rsidR="00040FFF" w:rsidRPr="00E93BC5">
        <w:rPr>
          <w:rFonts w:ascii="Times New Roman" w:hAnsi="Times New Roman"/>
          <w:sz w:val="24"/>
          <w:szCs w:val="24"/>
          <w:lang w:val="nl-NL"/>
        </w:rPr>
        <w:t>ấp</w:t>
      </w:r>
      <w:r w:rsidRPr="00E93BC5">
        <w:rPr>
          <w:rFonts w:ascii="Times New Roman" w:hAnsi="Times New Roman"/>
          <w:sz w:val="24"/>
          <w:szCs w:val="24"/>
          <w:lang w:val="nl-NL"/>
        </w:rPr>
        <w:t xml:space="preserve"> dịch vụ cho Quỹ.</w:t>
      </w:r>
    </w:p>
    <w:p w14:paraId="32851015" w14:textId="77777777" w:rsidR="001C4468" w:rsidRPr="00E93BC5" w:rsidRDefault="001C4468" w:rsidP="00445F8E">
      <w:pPr>
        <w:shd w:val="clear" w:color="auto" w:fill="FFFFFF"/>
        <w:tabs>
          <w:tab w:val="left" w:pos="540"/>
        </w:tabs>
        <w:spacing w:before="120" w:after="0" w:line="36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V. </w:t>
      </w:r>
      <w:r w:rsidR="004B07B4" w:rsidRPr="00E93BC5">
        <w:rPr>
          <w:rFonts w:ascii="Times New Roman" w:hAnsi="Times New Roman"/>
          <w:b/>
          <w:sz w:val="24"/>
          <w:szCs w:val="24"/>
          <w:lang w:val="nl-NL"/>
        </w:rPr>
        <w:tab/>
      </w:r>
      <w:bookmarkStart w:id="1" w:name="_Hlk37245167"/>
      <w:r w:rsidRPr="00E93BC5">
        <w:rPr>
          <w:rFonts w:ascii="Times New Roman" w:hAnsi="Times New Roman"/>
          <w:b/>
          <w:sz w:val="24"/>
          <w:szCs w:val="24"/>
          <w:lang w:val="nl-NL"/>
        </w:rPr>
        <w:t>T</w:t>
      </w:r>
      <w:r w:rsidR="004B07B4" w:rsidRPr="00E93BC5">
        <w:rPr>
          <w:rFonts w:ascii="Times New Roman" w:hAnsi="Times New Roman"/>
          <w:b/>
          <w:sz w:val="24"/>
          <w:szCs w:val="24"/>
          <w:lang w:val="nl-NL"/>
        </w:rPr>
        <w:t>HÔNG TIN VỀ TRIỂN VỌNG THỊ TRƯỜNG</w:t>
      </w:r>
      <w:bookmarkEnd w:id="1"/>
    </w:p>
    <w:p w14:paraId="0B52ECF3" w14:textId="77777777" w:rsidR="006943AD" w:rsidRPr="00E30740" w:rsidRDefault="006943AD" w:rsidP="006943AD">
      <w:pPr>
        <w:shd w:val="clear" w:color="auto" w:fill="FFFFFF" w:themeFill="background1"/>
        <w:spacing w:before="120"/>
        <w:jc w:val="both"/>
        <w:rPr>
          <w:rFonts w:ascii="Times New Roman" w:hAnsi="Times New Roman"/>
          <w:sz w:val="24"/>
          <w:szCs w:val="24"/>
          <w:lang w:val="nl-NL"/>
        </w:rPr>
      </w:pPr>
      <w:r w:rsidRPr="00A34F54">
        <w:rPr>
          <w:rFonts w:ascii="Times New Roman" w:hAnsi="Times New Roman"/>
          <w:sz w:val="24"/>
          <w:szCs w:val="24"/>
          <w:lang w:val="nl-NL"/>
        </w:rPr>
        <w:t xml:space="preserve">Trong bối cảnh </w:t>
      </w:r>
      <w:r>
        <w:rPr>
          <w:rFonts w:ascii="Times New Roman" w:hAnsi="Times New Roman"/>
          <w:sz w:val="24"/>
          <w:szCs w:val="24"/>
          <w:lang w:val="nl-NL"/>
        </w:rPr>
        <w:t>tốc độ tăng trưởng của</w:t>
      </w:r>
      <w:r w:rsidRPr="00A34F54">
        <w:rPr>
          <w:rFonts w:ascii="Times New Roman" w:hAnsi="Times New Roman"/>
          <w:sz w:val="24"/>
          <w:szCs w:val="24"/>
          <w:lang w:val="nl-NL"/>
        </w:rPr>
        <w:t xml:space="preserve"> thế giới </w:t>
      </w:r>
      <w:r>
        <w:rPr>
          <w:rFonts w:ascii="Times New Roman" w:hAnsi="Times New Roman"/>
          <w:sz w:val="24"/>
          <w:szCs w:val="24"/>
          <w:lang w:val="nl-NL"/>
        </w:rPr>
        <w:t>chậm lại</w:t>
      </w:r>
      <w:r w:rsidRPr="00A34F54">
        <w:rPr>
          <w:rFonts w:ascii="Times New Roman" w:hAnsi="Times New Roman"/>
          <w:sz w:val="24"/>
          <w:szCs w:val="24"/>
          <w:lang w:val="nl-NL"/>
        </w:rPr>
        <w:t xml:space="preserve"> và các diễn biến bất lợi của </w:t>
      </w:r>
      <w:r>
        <w:rPr>
          <w:rFonts w:ascii="Times New Roman" w:hAnsi="Times New Roman"/>
          <w:sz w:val="24"/>
          <w:szCs w:val="24"/>
          <w:lang w:val="nl-NL"/>
        </w:rPr>
        <w:t xml:space="preserve">tình hình </w:t>
      </w:r>
      <w:r w:rsidRPr="00A34F54">
        <w:rPr>
          <w:rFonts w:ascii="Times New Roman" w:hAnsi="Times New Roman"/>
          <w:sz w:val="24"/>
          <w:szCs w:val="24"/>
          <w:lang w:val="nl-NL"/>
        </w:rPr>
        <w:t>địa chính trị thế giới, hoạt động xuất khẩu của Việt Nam đứng trước nhiều khó khăn trong năm 2024</w:t>
      </w:r>
      <w:r>
        <w:rPr>
          <w:rFonts w:ascii="Times New Roman" w:hAnsi="Times New Roman"/>
          <w:sz w:val="24"/>
          <w:szCs w:val="24"/>
          <w:lang w:val="nl-NL"/>
        </w:rPr>
        <w:t xml:space="preserve"> và có thể các năm tiếp theo</w:t>
      </w:r>
      <w:r w:rsidRPr="00A34F54">
        <w:rPr>
          <w:rFonts w:ascii="Times New Roman" w:hAnsi="Times New Roman"/>
          <w:sz w:val="24"/>
          <w:szCs w:val="24"/>
          <w:lang w:val="nl-NL"/>
        </w:rPr>
        <w:t>. Các hoạt động kinh tế chậm lại khiến nhu cầu tín dụng chưa tăng trưởng trở lại</w:t>
      </w:r>
      <w:r>
        <w:rPr>
          <w:rFonts w:ascii="Times New Roman" w:hAnsi="Times New Roman"/>
          <w:sz w:val="24"/>
          <w:szCs w:val="24"/>
          <w:lang w:val="nl-NL"/>
        </w:rPr>
        <w:t xml:space="preserve"> một cách thực chất</w:t>
      </w:r>
      <w:r w:rsidRPr="00A34F54">
        <w:rPr>
          <w:rFonts w:ascii="Times New Roman" w:hAnsi="Times New Roman"/>
          <w:sz w:val="24"/>
          <w:szCs w:val="24"/>
          <w:lang w:val="nl-NL"/>
        </w:rPr>
        <w:t xml:space="preserve"> và môi trường lãi suất vẫn duy trì ở mức thấp. Lạm phát được dự báo là biến số </w:t>
      </w:r>
      <w:r>
        <w:rPr>
          <w:rFonts w:ascii="Times New Roman" w:hAnsi="Times New Roman"/>
          <w:sz w:val="24"/>
          <w:szCs w:val="24"/>
          <w:lang w:val="nl-NL"/>
        </w:rPr>
        <w:t>khó kiểm soát</w:t>
      </w:r>
      <w:r w:rsidRPr="00A34F54">
        <w:rPr>
          <w:rFonts w:ascii="Times New Roman" w:hAnsi="Times New Roman"/>
          <w:sz w:val="24"/>
          <w:szCs w:val="24"/>
          <w:lang w:val="nl-NL"/>
        </w:rPr>
        <w:t xml:space="preserve"> trong năm 2024 do ảnh hưởng từ cải cách tiền lương, tăng giá điện, và diễn biến bất lợi của các </w:t>
      </w:r>
      <w:r w:rsidRPr="00A34F54">
        <w:rPr>
          <w:rFonts w:ascii="Times New Roman" w:hAnsi="Times New Roman"/>
          <w:sz w:val="24"/>
          <w:szCs w:val="24"/>
          <w:lang w:val="nl-NL"/>
        </w:rPr>
        <w:lastRenderedPageBreak/>
        <w:t>nguyên/nhiên liệu</w:t>
      </w:r>
      <w:r>
        <w:rPr>
          <w:rFonts w:ascii="Times New Roman" w:hAnsi="Times New Roman"/>
          <w:sz w:val="24"/>
          <w:szCs w:val="24"/>
          <w:lang w:val="nl-NL"/>
        </w:rPr>
        <w:t xml:space="preserve"> cơ bản</w:t>
      </w:r>
      <w:r w:rsidRPr="00A34F54">
        <w:rPr>
          <w:rFonts w:ascii="Times New Roman" w:hAnsi="Times New Roman"/>
          <w:sz w:val="24"/>
          <w:szCs w:val="24"/>
          <w:lang w:val="nl-NL"/>
        </w:rPr>
        <w:t xml:space="preserve"> đầu vào.</w:t>
      </w:r>
      <w:r>
        <w:rPr>
          <w:rFonts w:ascii="Times New Roman" w:hAnsi="Times New Roman"/>
          <w:sz w:val="24"/>
          <w:szCs w:val="24"/>
          <w:lang w:val="nl-NL"/>
        </w:rPr>
        <w:t xml:space="preserve"> L</w:t>
      </w:r>
      <w:r w:rsidRPr="00E30740">
        <w:rPr>
          <w:rFonts w:ascii="Times New Roman" w:hAnsi="Times New Roman"/>
          <w:sz w:val="24"/>
          <w:szCs w:val="24"/>
          <w:lang w:val="nl-NL"/>
        </w:rPr>
        <w:t>ãi suất cho vay hiện tại không phải là rào cản chính đối với tăng trưởng tín dụng trong nửa đầu năm 2024. Thay vào đó, vấn</w:t>
      </w:r>
      <w:r>
        <w:rPr>
          <w:rFonts w:ascii="Times New Roman" w:hAnsi="Times New Roman"/>
          <w:sz w:val="24"/>
          <w:szCs w:val="24"/>
          <w:lang w:val="nl-NL"/>
        </w:rPr>
        <w:t xml:space="preserve"> </w:t>
      </w:r>
      <w:r w:rsidRPr="00E30740">
        <w:rPr>
          <w:rFonts w:ascii="Times New Roman" w:hAnsi="Times New Roman"/>
          <w:sz w:val="24"/>
          <w:szCs w:val="24"/>
          <w:lang w:val="nl-NL"/>
        </w:rPr>
        <w:t>đề khó khăn hơn là nhu cầu tín dụng, khi các ngân hàng đối mặt với tình trạng tiến thoái lưỡng nan: (1) Người tiêu dùng và doanh nghiệp cảm thấy nền kinh tế không</w:t>
      </w:r>
      <w:r>
        <w:rPr>
          <w:rFonts w:ascii="Times New Roman" w:hAnsi="Times New Roman"/>
          <w:sz w:val="24"/>
          <w:szCs w:val="24"/>
          <w:lang w:val="nl-NL"/>
        </w:rPr>
        <w:t xml:space="preserve"> </w:t>
      </w:r>
      <w:r w:rsidRPr="00E30740">
        <w:rPr>
          <w:rFonts w:ascii="Times New Roman" w:hAnsi="Times New Roman"/>
          <w:sz w:val="24"/>
          <w:szCs w:val="24"/>
          <w:lang w:val="nl-NL"/>
        </w:rPr>
        <w:t>đủ mạnh để đảm bảo các khoản vay mới dành cho tiêu dùng và đầu tư; (2) Các ngân hàng thương mại chịu áp lực từ nợ xấu gia tăng, khiến việc nới lỏng điều kiện cho</w:t>
      </w:r>
      <w:r>
        <w:rPr>
          <w:rFonts w:ascii="Times New Roman" w:hAnsi="Times New Roman"/>
          <w:sz w:val="24"/>
          <w:szCs w:val="24"/>
          <w:lang w:val="nl-NL"/>
        </w:rPr>
        <w:t xml:space="preserve"> </w:t>
      </w:r>
      <w:r w:rsidRPr="00E30740">
        <w:rPr>
          <w:rFonts w:ascii="Times New Roman" w:hAnsi="Times New Roman"/>
          <w:sz w:val="24"/>
          <w:szCs w:val="24"/>
          <w:lang w:val="nl-NL"/>
        </w:rPr>
        <w:t xml:space="preserve">vay trở nên khó khăn. Tuy nhiên, chúng tôi dự kiến tăng trưởng tín dụng sẽ </w:t>
      </w:r>
      <w:r>
        <w:rPr>
          <w:rFonts w:ascii="Times New Roman" w:hAnsi="Times New Roman"/>
          <w:sz w:val="24"/>
          <w:szCs w:val="24"/>
          <w:lang w:val="nl-NL"/>
        </w:rPr>
        <w:t>cải thiện</w:t>
      </w:r>
      <w:r w:rsidRPr="00E30740">
        <w:rPr>
          <w:rFonts w:ascii="Times New Roman" w:hAnsi="Times New Roman"/>
          <w:sz w:val="24"/>
          <w:szCs w:val="24"/>
          <w:lang w:val="nl-NL"/>
        </w:rPr>
        <w:t xml:space="preserve"> trong nửa cuối năm 2024 và điều này sẽ được thúc đẩy bởi</w:t>
      </w:r>
      <w:r>
        <w:rPr>
          <w:rFonts w:ascii="Times New Roman" w:hAnsi="Times New Roman"/>
          <w:sz w:val="24"/>
          <w:szCs w:val="24"/>
          <w:lang w:val="nl-NL"/>
        </w:rPr>
        <w:t xml:space="preserve"> sự</w:t>
      </w:r>
      <w:r w:rsidRPr="00E30740">
        <w:rPr>
          <w:rFonts w:ascii="Times New Roman" w:hAnsi="Times New Roman"/>
          <w:sz w:val="24"/>
          <w:szCs w:val="24"/>
          <w:lang w:val="nl-NL"/>
        </w:rPr>
        <w:t xml:space="preserve"> phục hồi</w:t>
      </w:r>
      <w:r>
        <w:rPr>
          <w:rFonts w:ascii="Times New Roman" w:hAnsi="Times New Roman"/>
          <w:sz w:val="24"/>
          <w:szCs w:val="24"/>
          <w:lang w:val="nl-NL"/>
        </w:rPr>
        <w:t xml:space="preserve"> </w:t>
      </w:r>
      <w:r w:rsidRPr="00E30740">
        <w:rPr>
          <w:rFonts w:ascii="Times New Roman" w:hAnsi="Times New Roman"/>
          <w:sz w:val="24"/>
          <w:szCs w:val="24"/>
          <w:lang w:val="nl-NL"/>
        </w:rPr>
        <w:t>trong ngành sản xuất, thể hiện qua việc tăng nhập khẩu nguyên liệu đầu vào từ tháng 5</w:t>
      </w:r>
      <w:r>
        <w:rPr>
          <w:rFonts w:ascii="Times New Roman" w:hAnsi="Times New Roman"/>
          <w:sz w:val="24"/>
          <w:szCs w:val="24"/>
          <w:lang w:val="nl-NL"/>
        </w:rPr>
        <w:t xml:space="preserve"> và số</w:t>
      </w:r>
      <w:r w:rsidRPr="00E30740">
        <w:rPr>
          <w:rFonts w:ascii="Times New Roman" w:hAnsi="Times New Roman"/>
          <w:sz w:val="24"/>
          <w:szCs w:val="24"/>
          <w:lang w:val="nl-NL"/>
        </w:rPr>
        <w:t xml:space="preserve"> </w:t>
      </w:r>
      <w:r>
        <w:rPr>
          <w:rFonts w:ascii="Times New Roman" w:hAnsi="Times New Roman"/>
          <w:sz w:val="24"/>
          <w:szCs w:val="24"/>
          <w:lang w:val="nl-NL"/>
        </w:rPr>
        <w:t>đơn hàng cũng gia tăng trở lại.</w:t>
      </w:r>
    </w:p>
    <w:p w14:paraId="4FB3EAD2" w14:textId="10FB78DC" w:rsidR="004275CE" w:rsidRPr="0072442B" w:rsidRDefault="006943AD" w:rsidP="006943AD">
      <w:pPr>
        <w:shd w:val="clear" w:color="auto" w:fill="FFFFFF" w:themeFill="background1"/>
        <w:spacing w:before="120"/>
        <w:jc w:val="both"/>
        <w:rPr>
          <w:rFonts w:ascii="Times New Roman" w:hAnsi="Times New Roman"/>
          <w:sz w:val="24"/>
          <w:szCs w:val="24"/>
          <w:lang w:val="nl-NL"/>
        </w:rPr>
      </w:pPr>
      <w:r w:rsidRPr="00A34F54">
        <w:rPr>
          <w:rFonts w:ascii="Times New Roman" w:hAnsi="Times New Roman"/>
          <w:sz w:val="24"/>
          <w:szCs w:val="24"/>
          <w:lang w:val="nl-NL"/>
        </w:rPr>
        <w:t>Từ các phân tích thị trường, Quỹ CBPF sẽ tiếp tục tận dụng các cơ hội từ thị trường sơ cấp cũng như thứ cấp để gia tăng lợi suất đầu tư tuy nhiên vẫn duy trì sự cẩn trọng trong quản trị rủi ro của từng khoản đầu cũng như của toàn bộ danh mục.</w:t>
      </w:r>
    </w:p>
    <w:p w14:paraId="44445B9F" w14:textId="77777777" w:rsidR="001C4468" w:rsidRPr="00E93BC5" w:rsidRDefault="001C4468" w:rsidP="00DE5A22">
      <w:pPr>
        <w:shd w:val="clear" w:color="auto" w:fill="FFFFFF"/>
        <w:tabs>
          <w:tab w:val="left" w:pos="540"/>
          <w:tab w:val="right" w:pos="990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VI. </w:t>
      </w:r>
      <w:r w:rsidR="004B07B4" w:rsidRPr="00E93BC5">
        <w:rPr>
          <w:rFonts w:ascii="Times New Roman" w:hAnsi="Times New Roman"/>
          <w:b/>
          <w:sz w:val="24"/>
          <w:szCs w:val="24"/>
          <w:lang w:val="nl-NL"/>
        </w:rPr>
        <w:tab/>
      </w:r>
      <w:r w:rsidRPr="00E93BC5">
        <w:rPr>
          <w:rFonts w:ascii="Times New Roman" w:hAnsi="Times New Roman"/>
          <w:b/>
          <w:sz w:val="24"/>
          <w:szCs w:val="24"/>
          <w:lang w:val="nl-NL"/>
        </w:rPr>
        <w:t>T</w:t>
      </w:r>
      <w:r w:rsidR="004B07B4" w:rsidRPr="00E93BC5">
        <w:rPr>
          <w:rFonts w:ascii="Times New Roman" w:hAnsi="Times New Roman"/>
          <w:b/>
          <w:sz w:val="24"/>
          <w:szCs w:val="24"/>
          <w:lang w:val="nl-NL"/>
        </w:rPr>
        <w:t>HÔNG TIN KHÁC</w:t>
      </w:r>
      <w:r w:rsidR="003E0DEE" w:rsidRPr="00E93BC5">
        <w:rPr>
          <w:rFonts w:ascii="Times New Roman" w:hAnsi="Times New Roman"/>
          <w:b/>
          <w:sz w:val="24"/>
          <w:szCs w:val="24"/>
          <w:lang w:val="nl-NL"/>
        </w:rPr>
        <w:tab/>
      </w:r>
    </w:p>
    <w:p w14:paraId="06D504F3" w14:textId="11E01B90" w:rsidR="001E511A" w:rsidRPr="00E93BC5" w:rsidRDefault="00C23979" w:rsidP="00925163">
      <w:pPr>
        <w:shd w:val="clear" w:color="auto" w:fill="FFFFFF"/>
        <w:tabs>
          <w:tab w:val="left" w:pos="540"/>
        </w:tabs>
        <w:spacing w:before="120" w:after="0"/>
        <w:jc w:val="both"/>
        <w:rPr>
          <w:rFonts w:ascii="Times New Roman" w:hAnsi="Times New Roman"/>
          <w:sz w:val="24"/>
          <w:szCs w:val="24"/>
          <w:lang w:val="nl-NL"/>
        </w:rPr>
      </w:pPr>
      <w:r w:rsidRPr="00E93BC5">
        <w:rPr>
          <w:rFonts w:ascii="Times New Roman" w:hAnsi="Times New Roman"/>
          <w:sz w:val="24"/>
          <w:szCs w:val="24"/>
          <w:lang w:val="nl-NL"/>
        </w:rPr>
        <w:t>Quỹ không có nhân viên và được quản lý bởi Công ty T</w:t>
      </w:r>
      <w:r w:rsidR="004B07B4" w:rsidRPr="00E93BC5">
        <w:rPr>
          <w:rFonts w:ascii="Times New Roman" w:hAnsi="Times New Roman"/>
          <w:sz w:val="24"/>
          <w:szCs w:val="24"/>
          <w:lang w:val="nl-NL"/>
        </w:rPr>
        <w:t>rách Nhiệm Hữu Hạn Một Thành Viên</w:t>
      </w:r>
      <w:r w:rsidRPr="00E93BC5">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E93BC5">
        <w:rPr>
          <w:rFonts w:ascii="Times New Roman" w:hAnsi="Times New Roman"/>
          <w:sz w:val="24"/>
          <w:szCs w:val="24"/>
          <w:lang w:val="nl-NL"/>
        </w:rPr>
        <w:t>.</w:t>
      </w:r>
    </w:p>
    <w:p w14:paraId="5EB754D9" w14:textId="576D62AC" w:rsidR="003E0DEE"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Nhân sự Ban điều hành công ty Quản lý quỹ gồm có:</w:t>
      </w:r>
    </w:p>
    <w:p w14:paraId="46C248F6" w14:textId="77777777" w:rsidR="002B3684" w:rsidRPr="00E93BC5" w:rsidRDefault="002B3684" w:rsidP="00B3750F">
      <w:pPr>
        <w:shd w:val="clear" w:color="auto" w:fill="FFFFFF"/>
        <w:tabs>
          <w:tab w:val="left" w:pos="540"/>
        </w:tabs>
        <w:spacing w:before="120" w:after="0" w:line="240" w:lineRule="auto"/>
        <w:jc w:val="both"/>
        <w:rPr>
          <w:rFonts w:ascii="Times New Roman" w:hAnsi="Times New Roman"/>
          <w:b/>
          <w:sz w:val="24"/>
          <w:szCs w:val="24"/>
          <w:lang w:val="nl-NL"/>
        </w:rPr>
      </w:pPr>
    </w:p>
    <w:tbl>
      <w:tblPr>
        <w:tblW w:w="10256" w:type="dxa"/>
        <w:tblInd w:w="108" w:type="dxa"/>
        <w:tblLook w:val="04A0" w:firstRow="1" w:lastRow="0" w:firstColumn="1" w:lastColumn="0" w:noHBand="0" w:noVBand="1"/>
      </w:tblPr>
      <w:tblGrid>
        <w:gridCol w:w="1709"/>
        <w:gridCol w:w="1252"/>
        <w:gridCol w:w="1252"/>
        <w:gridCol w:w="6043"/>
      </w:tblGrid>
      <w:tr w:rsidR="005C4036" w:rsidRPr="00E93BC5" w14:paraId="4FEA7A80" w14:textId="77777777" w:rsidTr="001929F3">
        <w:trPr>
          <w:trHeight w:val="552"/>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E055"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Họ và tên</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132BE3FD"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15D622DA"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6043" w:type="dxa"/>
            <w:tcBorders>
              <w:top w:val="single" w:sz="4" w:space="0" w:color="auto"/>
              <w:left w:val="nil"/>
              <w:bottom w:val="single" w:sz="4" w:space="0" w:color="auto"/>
              <w:right w:val="single" w:sz="4" w:space="0" w:color="auto"/>
            </w:tcBorders>
            <w:shd w:val="clear" w:color="auto" w:fill="auto"/>
            <w:noWrap/>
            <w:vAlign w:val="center"/>
            <w:hideMark/>
          </w:tcPr>
          <w:p w14:paraId="5303B2AD"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BF72B0" w:rsidRPr="004D5515" w14:paraId="30FE364B" w14:textId="77777777" w:rsidTr="00523E5B">
        <w:trPr>
          <w:trHeight w:val="3745"/>
        </w:trPr>
        <w:tc>
          <w:tcPr>
            <w:tcW w:w="1709" w:type="dxa"/>
            <w:tcBorders>
              <w:top w:val="nil"/>
              <w:left w:val="single" w:sz="4" w:space="0" w:color="auto"/>
              <w:bottom w:val="single" w:sz="4" w:space="0" w:color="auto"/>
              <w:right w:val="single" w:sz="4" w:space="0" w:color="auto"/>
            </w:tcBorders>
            <w:shd w:val="clear" w:color="auto" w:fill="auto"/>
            <w:vAlign w:val="center"/>
            <w:hideMark/>
          </w:tcPr>
          <w:p w14:paraId="31F738C5" w14:textId="74BF035D" w:rsidR="00BF72B0" w:rsidRPr="00E93BC5" w:rsidRDefault="00BF72B0" w:rsidP="00BF72B0">
            <w:pPr>
              <w:jc w:val="center"/>
              <w:rPr>
                <w:rFonts w:ascii="Times New Roman" w:hAnsi="Times New Roman"/>
                <w:sz w:val="24"/>
                <w:szCs w:val="24"/>
                <w:lang w:val="nl-NL"/>
              </w:rPr>
            </w:pPr>
            <w:r w:rsidRPr="00845946">
              <w:rPr>
                <w:rFonts w:ascii="Times New Roman" w:hAnsi="Times New Roman"/>
                <w:sz w:val="24"/>
                <w:szCs w:val="24"/>
                <w:lang w:val="nl-NL"/>
              </w:rPr>
              <w:t>Nguyễn Hồng Sơn</w:t>
            </w:r>
          </w:p>
        </w:tc>
        <w:tc>
          <w:tcPr>
            <w:tcW w:w="1252" w:type="dxa"/>
            <w:tcBorders>
              <w:top w:val="nil"/>
              <w:left w:val="nil"/>
              <w:bottom w:val="single" w:sz="4" w:space="0" w:color="auto"/>
              <w:right w:val="single" w:sz="4" w:space="0" w:color="auto"/>
            </w:tcBorders>
            <w:shd w:val="clear" w:color="auto" w:fill="auto"/>
            <w:vAlign w:val="center"/>
            <w:hideMark/>
          </w:tcPr>
          <w:p w14:paraId="7449BAA0" w14:textId="5C44B0A8" w:rsidR="00BF72B0" w:rsidRPr="00E93BC5" w:rsidRDefault="00BF72B0" w:rsidP="00BF72B0">
            <w:pPr>
              <w:jc w:val="center"/>
              <w:rPr>
                <w:rFonts w:ascii="Times New Roman" w:hAnsi="Times New Roman"/>
                <w:sz w:val="24"/>
                <w:szCs w:val="24"/>
                <w:lang w:val="nl-NL"/>
              </w:rPr>
            </w:pPr>
            <w:r w:rsidRPr="00845946">
              <w:rPr>
                <w:rFonts w:ascii="Times New Roman" w:hAnsi="Times New Roman"/>
                <w:sz w:val="24"/>
                <w:szCs w:val="24"/>
                <w:lang w:val="nl-NL"/>
              </w:rPr>
              <w:t>Chủ tịch Công ty</w:t>
            </w:r>
          </w:p>
        </w:tc>
        <w:tc>
          <w:tcPr>
            <w:tcW w:w="1252" w:type="dxa"/>
            <w:tcBorders>
              <w:top w:val="nil"/>
              <w:left w:val="nil"/>
              <w:bottom w:val="single" w:sz="4" w:space="0" w:color="auto"/>
              <w:right w:val="single" w:sz="4" w:space="0" w:color="auto"/>
            </w:tcBorders>
            <w:shd w:val="clear" w:color="auto" w:fill="auto"/>
            <w:vAlign w:val="center"/>
            <w:hideMark/>
          </w:tcPr>
          <w:p w14:paraId="4B897CE4" w14:textId="18B18D4B" w:rsidR="00BF72B0" w:rsidRPr="00E93BC5" w:rsidRDefault="00BF72B0" w:rsidP="00BF72B0">
            <w:pPr>
              <w:jc w:val="center"/>
              <w:rPr>
                <w:rFonts w:ascii="Times New Roman" w:hAnsi="Times New Roman"/>
                <w:sz w:val="24"/>
                <w:szCs w:val="24"/>
                <w:lang w:val="nl-NL"/>
              </w:rPr>
            </w:pPr>
            <w:r w:rsidRPr="00845946">
              <w:rPr>
                <w:rFonts w:ascii="Times New Roman" w:hAnsi="Times New Roman"/>
                <w:sz w:val="24"/>
                <w:szCs w:val="24"/>
                <w:lang w:val="nl-NL"/>
              </w:rPr>
              <w:t>CPA</w:t>
            </w:r>
          </w:p>
        </w:tc>
        <w:tc>
          <w:tcPr>
            <w:tcW w:w="6043" w:type="dxa"/>
            <w:tcBorders>
              <w:top w:val="nil"/>
              <w:left w:val="nil"/>
              <w:bottom w:val="single" w:sz="4" w:space="0" w:color="auto"/>
              <w:right w:val="single" w:sz="4" w:space="0" w:color="auto"/>
            </w:tcBorders>
            <w:shd w:val="clear" w:color="auto" w:fill="auto"/>
            <w:vAlign w:val="center"/>
            <w:hideMark/>
          </w:tcPr>
          <w:p w14:paraId="2D9C3D21" w14:textId="77777777" w:rsidR="00BF72B0" w:rsidRPr="00845946" w:rsidRDefault="00BF72B0" w:rsidP="00BF72B0">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1991 - 1992: </w:t>
            </w:r>
            <w:proofErr w:type="spellStart"/>
            <w:r w:rsidRPr="00845946">
              <w:rPr>
                <w:rFonts w:ascii="Times New Roman" w:hAnsi="Times New Roman"/>
                <w:sz w:val="24"/>
                <w:szCs w:val="24"/>
              </w:rPr>
              <w:t>Kế</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toán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tổng</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hợp</w:t>
            </w:r>
            <w:proofErr w:type="spellEnd"/>
            <w:r w:rsidRPr="00845946">
              <w:rPr>
                <w:rFonts w:ascii="Times New Roman" w:hAnsi="Times New Roman"/>
                <w:sz w:val="24"/>
                <w:szCs w:val="24"/>
              </w:rPr>
              <w:t xml:space="preserve"> - </w:t>
            </w:r>
            <w:proofErr w:type="spellStart"/>
            <w:r w:rsidRPr="00845946">
              <w:rPr>
                <w:rFonts w:ascii="Times New Roman" w:hAnsi="Times New Roman"/>
                <w:sz w:val="24"/>
                <w:szCs w:val="24"/>
              </w:rPr>
              <w:t>Xí</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nghiệp</w:t>
            </w:r>
            <w:proofErr w:type="spellEnd"/>
            <w:r w:rsidRPr="00845946">
              <w:rPr>
                <w:rFonts w:ascii="Times New Roman" w:hAnsi="Times New Roman"/>
                <w:sz w:val="24"/>
                <w:szCs w:val="24"/>
              </w:rPr>
              <w:t xml:space="preserve"> Quốc doanh In </w:t>
            </w:r>
            <w:proofErr w:type="spellStart"/>
            <w:r w:rsidRPr="00845946">
              <w:rPr>
                <w:rFonts w:ascii="Times New Roman" w:hAnsi="Times New Roman"/>
                <w:sz w:val="24"/>
                <w:szCs w:val="24"/>
              </w:rPr>
              <w:t>số</w:t>
            </w:r>
            <w:proofErr w:type="spellEnd"/>
            <w:r w:rsidRPr="00845946">
              <w:rPr>
                <w:rFonts w:ascii="Times New Roman" w:hAnsi="Times New Roman"/>
                <w:sz w:val="24"/>
                <w:szCs w:val="24"/>
              </w:rPr>
              <w:t xml:space="preserve"> 2</w:t>
            </w:r>
          </w:p>
          <w:p w14:paraId="5DE1DE59" w14:textId="77777777" w:rsidR="00BF72B0" w:rsidRPr="00845946" w:rsidRDefault="00BF72B0" w:rsidP="00BF72B0">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1992 - 1993: </w:t>
            </w:r>
            <w:proofErr w:type="spellStart"/>
            <w:r w:rsidRPr="00845946">
              <w:rPr>
                <w:rFonts w:ascii="Times New Roman" w:hAnsi="Times New Roman"/>
                <w:sz w:val="24"/>
                <w:szCs w:val="24"/>
              </w:rPr>
              <w:t>Quản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lý</w:t>
            </w:r>
            <w:proofErr w:type="spellEnd"/>
            <w:r w:rsidRPr="00845946">
              <w:rPr>
                <w:rFonts w:ascii="Times New Roman" w:hAnsi="Times New Roman"/>
                <w:sz w:val="24"/>
                <w:szCs w:val="24"/>
              </w:rPr>
              <w:t xml:space="preserve"> Kho</w:t>
            </w:r>
            <w:r w:rsidRPr="00845946">
              <w:rPr>
                <w:rFonts w:ascii="Times New Roman" w:hAnsi="Times New Roman"/>
                <w:sz w:val="24"/>
                <w:szCs w:val="24"/>
                <w:lang w:val="nl-NL" w:eastAsia="en-SG"/>
              </w:rPr>
              <w:t xml:space="preserve"> - </w:t>
            </w:r>
            <w:r w:rsidRPr="00845946">
              <w:rPr>
                <w:rFonts w:ascii="Times New Roman" w:hAnsi="Times New Roman"/>
                <w:sz w:val="24"/>
                <w:szCs w:val="24"/>
              </w:rPr>
              <w:t>Công ty Ajinomoto Việt Nam</w:t>
            </w:r>
          </w:p>
          <w:p w14:paraId="3D1BE17C" w14:textId="77777777" w:rsidR="00BF72B0" w:rsidRPr="00845946" w:rsidRDefault="00BF72B0" w:rsidP="00BF72B0">
            <w:pPr>
              <w:spacing w:after="0"/>
              <w:jc w:val="both"/>
              <w:rPr>
                <w:rFonts w:ascii="Times New Roman" w:hAnsi="Times New Roman"/>
                <w:sz w:val="24"/>
                <w:szCs w:val="24"/>
                <w:lang w:val="nl-NL" w:eastAsia="en-SG"/>
              </w:rPr>
            </w:pPr>
            <w:r w:rsidRPr="00845946">
              <w:rPr>
                <w:rFonts w:ascii="Times New Roman" w:hAnsi="Times New Roman"/>
                <w:sz w:val="24"/>
                <w:szCs w:val="24"/>
                <w:lang w:val="nl-NL" w:eastAsia="en-SG"/>
              </w:rPr>
              <w:t xml:space="preserve">Từ 1993 - 1998: </w:t>
            </w:r>
            <w:proofErr w:type="spellStart"/>
            <w:r w:rsidRPr="00845946">
              <w:rPr>
                <w:rFonts w:ascii="Times New Roman" w:hAnsi="Times New Roman"/>
                <w:sz w:val="24"/>
                <w:szCs w:val="24"/>
              </w:rPr>
              <w:t>Kiểm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toán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viên</w:t>
            </w:r>
            <w:proofErr w:type="spellEnd"/>
            <w:r w:rsidRPr="00845946">
              <w:rPr>
                <w:rFonts w:ascii="Times New Roman" w:hAnsi="Times New Roman"/>
                <w:sz w:val="24"/>
                <w:szCs w:val="24"/>
              </w:rPr>
              <w:t xml:space="preserve"> - Công ty TNHH KPMG Việt Nam</w:t>
            </w:r>
          </w:p>
          <w:p w14:paraId="71A63420" w14:textId="77777777" w:rsidR="00BF72B0" w:rsidRPr="00845946" w:rsidRDefault="00BF72B0" w:rsidP="00BF72B0">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1998 - 2000: </w:t>
            </w:r>
            <w:proofErr w:type="spellStart"/>
            <w:r w:rsidRPr="00845946">
              <w:rPr>
                <w:rFonts w:ascii="Times New Roman" w:hAnsi="Times New Roman"/>
                <w:sz w:val="24"/>
                <w:szCs w:val="24"/>
              </w:rPr>
              <w:t>Kiểm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toán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viên</w:t>
            </w:r>
            <w:proofErr w:type="spellEnd"/>
            <w:r w:rsidRPr="00845946">
              <w:rPr>
                <w:rFonts w:ascii="Times New Roman" w:hAnsi="Times New Roman"/>
                <w:sz w:val="24"/>
                <w:szCs w:val="24"/>
              </w:rPr>
              <w:t xml:space="preserve"> - Công ty KPMG Peat Marwick</w:t>
            </w:r>
          </w:p>
          <w:p w14:paraId="102AA6EA" w14:textId="77777777" w:rsidR="00BF72B0" w:rsidRPr="00845946" w:rsidRDefault="00BF72B0" w:rsidP="00BF72B0">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2000 - 2003: </w:t>
            </w:r>
            <w:proofErr w:type="spellStart"/>
            <w:r w:rsidRPr="00845946">
              <w:rPr>
                <w:rFonts w:ascii="Times New Roman" w:hAnsi="Times New Roman"/>
                <w:sz w:val="24"/>
                <w:szCs w:val="24"/>
              </w:rPr>
              <w:t>Kiểm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toán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viên</w:t>
            </w:r>
            <w:proofErr w:type="spellEnd"/>
            <w:r w:rsidRPr="00845946">
              <w:rPr>
                <w:rFonts w:ascii="Times New Roman" w:hAnsi="Times New Roman"/>
                <w:sz w:val="24"/>
                <w:szCs w:val="24"/>
              </w:rPr>
              <w:t xml:space="preserve"> - Công ty TNHH KPMG Việt Nam</w:t>
            </w:r>
          </w:p>
          <w:p w14:paraId="4F521914" w14:textId="77777777" w:rsidR="00BF72B0" w:rsidRPr="00845946" w:rsidRDefault="00BF72B0" w:rsidP="00BF72B0">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2003 - 2005: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Tài</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chính</w:t>
            </w:r>
            <w:proofErr w:type="spellEnd"/>
            <w:r w:rsidRPr="00845946">
              <w:rPr>
                <w:rFonts w:ascii="Times New Roman" w:hAnsi="Times New Roman"/>
                <w:sz w:val="24"/>
                <w:szCs w:val="24"/>
              </w:rPr>
              <w:t xml:space="preserve"> - Công ty TNHH Cargill Việt Nam</w:t>
            </w:r>
          </w:p>
          <w:p w14:paraId="1B98E557" w14:textId="77777777" w:rsidR="00BF72B0" w:rsidRPr="00845946" w:rsidRDefault="00BF72B0" w:rsidP="00BF72B0">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 xml:space="preserve">Từ 2005 - 2014: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Tài</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chính</w:t>
            </w:r>
            <w:proofErr w:type="spellEnd"/>
            <w:r w:rsidRPr="00845946">
              <w:rPr>
                <w:rFonts w:ascii="Times New Roman" w:hAnsi="Times New Roman"/>
                <w:sz w:val="24"/>
                <w:szCs w:val="24"/>
              </w:rPr>
              <w:t xml:space="preserve"> - Công ty TNHH Bảo </w:t>
            </w:r>
            <w:proofErr w:type="spellStart"/>
            <w:r w:rsidRPr="00845946">
              <w:rPr>
                <w:rFonts w:ascii="Times New Roman" w:hAnsi="Times New Roman"/>
                <w:sz w:val="24"/>
                <w:szCs w:val="24"/>
              </w:rPr>
              <w:t>hiểm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Nhân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thọ</w:t>
            </w:r>
            <w:proofErr w:type="spellEnd"/>
            <w:r w:rsidRPr="00845946">
              <w:rPr>
                <w:rFonts w:ascii="Times New Roman" w:hAnsi="Times New Roman"/>
                <w:sz w:val="24"/>
                <w:szCs w:val="24"/>
              </w:rPr>
              <w:t xml:space="preserve"> Chubb Việt Nam</w:t>
            </w:r>
          </w:p>
          <w:p w14:paraId="53A3029C" w14:textId="77777777" w:rsidR="00BF72B0" w:rsidRPr="00845946" w:rsidRDefault="00BF72B0" w:rsidP="00BF72B0">
            <w:pPr>
              <w:spacing w:after="0"/>
              <w:jc w:val="both"/>
              <w:rPr>
                <w:rFonts w:ascii="Times New Roman" w:hAnsi="Times New Roman"/>
                <w:sz w:val="24"/>
                <w:szCs w:val="24"/>
                <w:lang w:val="nl-NL"/>
              </w:rPr>
            </w:pPr>
            <w:r w:rsidRPr="00845946">
              <w:rPr>
                <w:rFonts w:ascii="Times New Roman" w:hAnsi="Times New Roman"/>
                <w:sz w:val="24"/>
                <w:szCs w:val="24"/>
                <w:lang w:val="nl-NL"/>
              </w:rPr>
              <w:t xml:space="preserve">Từ 2013 - 2019: Phó Chủ tịch </w:t>
            </w:r>
            <w:r w:rsidRPr="00845946">
              <w:rPr>
                <w:rFonts w:ascii="Times New Roman" w:hAnsi="Times New Roman"/>
                <w:color w:val="000000"/>
                <w:sz w:val="24"/>
                <w:szCs w:val="24"/>
                <w:lang w:val="nl-NL" w:eastAsia="en-SG"/>
              </w:rPr>
              <w:t xml:space="preserve">- </w:t>
            </w:r>
            <w:r w:rsidRPr="00845946">
              <w:rPr>
                <w:rFonts w:ascii="Times New Roman" w:hAnsi="Times New Roman"/>
                <w:sz w:val="24"/>
                <w:szCs w:val="24"/>
                <w:lang w:val="nl-NL"/>
              </w:rPr>
              <w:t>Công ty TNHH MTV Quản lý Quỹ Chubb Life</w:t>
            </w:r>
          </w:p>
          <w:p w14:paraId="2FA809DE" w14:textId="77777777" w:rsidR="00BF72B0" w:rsidRPr="00845946" w:rsidRDefault="00BF72B0" w:rsidP="00BF72B0">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 xml:space="preserve">Từ 2014 - 2019: </w:t>
            </w:r>
            <w:proofErr w:type="spellStart"/>
            <w:r w:rsidRPr="00845946">
              <w:rPr>
                <w:rFonts w:ascii="Times New Roman" w:hAnsi="Times New Roman"/>
                <w:sz w:val="24"/>
                <w:szCs w:val="24"/>
              </w:rPr>
              <w:t>Phó</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Tổng</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Phụ</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trách</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Tài</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chính</w:t>
            </w:r>
            <w:proofErr w:type="spellEnd"/>
            <w:r w:rsidRPr="00845946">
              <w:rPr>
                <w:rFonts w:ascii="Times New Roman" w:hAnsi="Times New Roman"/>
                <w:sz w:val="24"/>
                <w:szCs w:val="24"/>
              </w:rPr>
              <w:t xml:space="preserve"> - Công ty TNHH Bảo </w:t>
            </w:r>
            <w:proofErr w:type="spellStart"/>
            <w:r w:rsidRPr="00845946">
              <w:rPr>
                <w:rFonts w:ascii="Times New Roman" w:hAnsi="Times New Roman"/>
                <w:sz w:val="24"/>
                <w:szCs w:val="24"/>
              </w:rPr>
              <w:t>hiểm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Nhân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thọ</w:t>
            </w:r>
            <w:proofErr w:type="spellEnd"/>
            <w:r w:rsidRPr="00845946">
              <w:rPr>
                <w:rFonts w:ascii="Times New Roman" w:hAnsi="Times New Roman"/>
                <w:sz w:val="24"/>
                <w:szCs w:val="24"/>
              </w:rPr>
              <w:t xml:space="preserve"> Chubb Việt Nam</w:t>
            </w:r>
          </w:p>
          <w:p w14:paraId="5C8F5267" w14:textId="77777777" w:rsidR="00BF72B0" w:rsidRPr="00845946" w:rsidRDefault="00BF72B0" w:rsidP="00BF72B0">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 xml:space="preserve">Từ 2019 - 2021: Tổng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 Công ty Chubb Life Insurance Myanmar Limited</w:t>
            </w:r>
          </w:p>
          <w:p w14:paraId="01592193" w14:textId="77777777" w:rsidR="00BF72B0" w:rsidRPr="00845946" w:rsidRDefault="00BF72B0" w:rsidP="00BF72B0">
            <w:pPr>
              <w:spacing w:after="0"/>
              <w:jc w:val="both"/>
              <w:rPr>
                <w:rFonts w:ascii="Times New Roman" w:hAnsi="Times New Roman"/>
                <w:sz w:val="24"/>
                <w:szCs w:val="24"/>
              </w:rPr>
            </w:pPr>
            <w:r w:rsidRPr="00845946">
              <w:rPr>
                <w:rFonts w:ascii="Times New Roman" w:hAnsi="Times New Roman"/>
                <w:color w:val="000000"/>
                <w:sz w:val="24"/>
                <w:szCs w:val="24"/>
                <w:lang w:val="nl-NL" w:eastAsia="en-SG"/>
              </w:rPr>
              <w:t xml:space="preserve">Từ 2021 - nay: Tổng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 Công ty TNHH Bảo </w:t>
            </w:r>
            <w:proofErr w:type="spellStart"/>
            <w:r w:rsidRPr="00845946">
              <w:rPr>
                <w:rFonts w:ascii="Times New Roman" w:hAnsi="Times New Roman"/>
                <w:sz w:val="24"/>
                <w:szCs w:val="24"/>
              </w:rPr>
              <w:t>hiểm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Nhân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thọ</w:t>
            </w:r>
            <w:proofErr w:type="spellEnd"/>
            <w:r w:rsidRPr="00845946">
              <w:rPr>
                <w:rFonts w:ascii="Times New Roman" w:hAnsi="Times New Roman"/>
                <w:sz w:val="24"/>
                <w:szCs w:val="24"/>
              </w:rPr>
              <w:t xml:space="preserve"> Chubb Việt Nam</w:t>
            </w:r>
          </w:p>
          <w:p w14:paraId="639D9F89" w14:textId="5369A3F2" w:rsidR="00BF72B0" w:rsidRPr="00E93BC5" w:rsidRDefault="00BF72B0" w:rsidP="00BF72B0">
            <w:pPr>
              <w:spacing w:after="0"/>
              <w:jc w:val="both"/>
              <w:rPr>
                <w:rFonts w:ascii="Times New Roman" w:eastAsiaTheme="minorHAnsi" w:hAnsi="Times New Roman"/>
                <w:sz w:val="24"/>
                <w:szCs w:val="24"/>
                <w:lang w:val="nl-NL" w:eastAsia="en-SG"/>
              </w:rPr>
            </w:pPr>
            <w:r w:rsidRPr="00845946">
              <w:rPr>
                <w:rFonts w:ascii="Times New Roman" w:hAnsi="Times New Roman"/>
                <w:color w:val="000000"/>
                <w:sz w:val="24"/>
                <w:szCs w:val="24"/>
                <w:lang w:val="nl-NL" w:eastAsia="en-SG"/>
              </w:rPr>
              <w:t xml:space="preserve">Từ 2024 - nay: </w:t>
            </w:r>
            <w:r w:rsidRPr="00845946">
              <w:rPr>
                <w:rFonts w:ascii="Times New Roman" w:hAnsi="Times New Roman"/>
                <w:sz w:val="24"/>
                <w:szCs w:val="24"/>
                <w:lang w:val="nl-NL"/>
              </w:rPr>
              <w:t xml:space="preserve">Chủ tịch </w:t>
            </w:r>
            <w:r w:rsidRPr="00845946">
              <w:rPr>
                <w:rFonts w:ascii="Times New Roman" w:hAnsi="Times New Roman"/>
                <w:color w:val="000000"/>
                <w:sz w:val="24"/>
                <w:szCs w:val="24"/>
                <w:lang w:val="nl-NL" w:eastAsia="en-SG"/>
              </w:rPr>
              <w:t xml:space="preserve">- </w:t>
            </w:r>
            <w:r w:rsidRPr="00845946">
              <w:rPr>
                <w:rFonts w:ascii="Times New Roman" w:hAnsi="Times New Roman"/>
                <w:sz w:val="24"/>
                <w:szCs w:val="24"/>
                <w:lang w:val="nl-NL"/>
              </w:rPr>
              <w:t>Công ty TNHH MTV Quản lý Quỹ Chubb Life</w:t>
            </w:r>
          </w:p>
        </w:tc>
      </w:tr>
      <w:tr w:rsidR="00B3549C" w:rsidRPr="004D5515" w14:paraId="489541D5" w14:textId="77777777" w:rsidTr="00523E5B">
        <w:trPr>
          <w:trHeight w:val="3230"/>
        </w:trPr>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36656192" w14:textId="2442FFE5" w:rsidR="00B3549C" w:rsidRPr="00845946" w:rsidRDefault="00B3549C" w:rsidP="00B3549C">
            <w:pPr>
              <w:jc w:val="center"/>
              <w:rPr>
                <w:rFonts w:ascii="Times New Roman" w:hAnsi="Times New Roman"/>
                <w:sz w:val="24"/>
                <w:szCs w:val="24"/>
                <w:lang w:val="nl-NL"/>
              </w:rPr>
            </w:pPr>
            <w:r>
              <w:rPr>
                <w:rFonts w:ascii="Times New Roman" w:hAnsi="Times New Roman"/>
                <w:sz w:val="24"/>
                <w:szCs w:val="24"/>
                <w:lang w:val="nl-NL"/>
              </w:rPr>
              <w:lastRenderedPageBreak/>
              <w:t>Nguyễn Trọng Nghĩa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A5CE8AA" w14:textId="395FCB2F" w:rsidR="00B3549C" w:rsidRPr="00845946" w:rsidRDefault="00B3549C" w:rsidP="00B3549C">
            <w:pPr>
              <w:jc w:val="center"/>
              <w:rPr>
                <w:rFonts w:ascii="Times New Roman" w:hAnsi="Times New Roman"/>
                <w:sz w:val="24"/>
                <w:szCs w:val="24"/>
                <w:lang w:val="nl-NL"/>
              </w:rPr>
            </w:pPr>
            <w:r>
              <w:rPr>
                <w:rFonts w:ascii="Times New Roman" w:hAnsi="Times New Roman"/>
                <w:sz w:val="24"/>
                <w:szCs w:val="24"/>
                <w:lang w:val="nl-NL"/>
              </w:rPr>
              <w:t>Phó Chủ tịch Công ty</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B029F7E" w14:textId="77777777" w:rsidR="00B3549C" w:rsidRDefault="00B3549C" w:rsidP="00B3549C">
            <w:pPr>
              <w:jc w:val="center"/>
              <w:rPr>
                <w:rFonts w:ascii="Times New Roman" w:hAnsi="Times New Roman"/>
                <w:sz w:val="24"/>
                <w:szCs w:val="24"/>
                <w:lang w:val="nl-NL"/>
              </w:rPr>
            </w:pPr>
            <w:r>
              <w:rPr>
                <w:rFonts w:ascii="Times New Roman" w:hAnsi="Times New Roman"/>
                <w:sz w:val="24"/>
                <w:szCs w:val="24"/>
                <w:lang w:val="nl-NL"/>
              </w:rPr>
              <w:t>Đại học Chuyên ngành Toán Tin – Đại Học Khoa học Tự nhiên.</w:t>
            </w:r>
          </w:p>
          <w:p w14:paraId="0956BEAB" w14:textId="1EAD8150" w:rsidR="00B3549C" w:rsidRPr="00845946" w:rsidRDefault="00B3549C" w:rsidP="00B3549C">
            <w:pPr>
              <w:jc w:val="center"/>
              <w:rPr>
                <w:rFonts w:ascii="Times New Roman" w:hAnsi="Times New Roman"/>
                <w:sz w:val="24"/>
                <w:szCs w:val="24"/>
                <w:lang w:val="nl-NL"/>
              </w:rPr>
            </w:pPr>
            <w:r>
              <w:rPr>
                <w:rFonts w:ascii="Times New Roman" w:hAnsi="Times New Roman"/>
                <w:sz w:val="24"/>
                <w:szCs w:val="24"/>
                <w:lang w:val="nl-NL"/>
              </w:rPr>
              <w:t>Thành viên hiệp hội định phí Hoa Kỳ</w:t>
            </w:r>
          </w:p>
        </w:tc>
        <w:tc>
          <w:tcPr>
            <w:tcW w:w="6043" w:type="dxa"/>
            <w:tcBorders>
              <w:top w:val="single" w:sz="4" w:space="0" w:color="auto"/>
              <w:left w:val="single" w:sz="4" w:space="0" w:color="auto"/>
              <w:bottom w:val="single" w:sz="4" w:space="0" w:color="auto"/>
              <w:right w:val="single" w:sz="4" w:space="0" w:color="auto"/>
            </w:tcBorders>
            <w:shd w:val="clear" w:color="auto" w:fill="auto"/>
            <w:vAlign w:val="center"/>
          </w:tcPr>
          <w:p w14:paraId="01469A0E" w14:textId="77777777" w:rsidR="00B3549C" w:rsidRDefault="00B3549C" w:rsidP="00523E5B">
            <w:pPr>
              <w:spacing w:after="0"/>
              <w:jc w:val="both"/>
              <w:rPr>
                <w:rFonts w:ascii="Times New Roman" w:hAnsi="Times New Roman"/>
                <w:sz w:val="24"/>
                <w:szCs w:val="24"/>
                <w:lang w:val="nl-NL"/>
              </w:rPr>
            </w:pPr>
            <w:r>
              <w:rPr>
                <w:rFonts w:ascii="Times New Roman" w:hAnsi="Times New Roman"/>
                <w:sz w:val="24"/>
                <w:szCs w:val="24"/>
                <w:lang w:val="nl-NL"/>
              </w:rPr>
              <w:t>Từ 6/2008 đến 6/2014: Phó Trưởng phòng – Công ty TNHH Bảo Hiểm Nhân Thọ Chubb Việt Nam</w:t>
            </w:r>
          </w:p>
          <w:p w14:paraId="0C90C336" w14:textId="77777777" w:rsidR="00B3549C" w:rsidRPr="00523E5B" w:rsidRDefault="00B3549C" w:rsidP="00523E5B">
            <w:pPr>
              <w:spacing w:after="0"/>
              <w:jc w:val="both"/>
              <w:rPr>
                <w:rFonts w:ascii="Times New Roman" w:hAnsi="Times New Roman"/>
                <w:sz w:val="24"/>
                <w:szCs w:val="24"/>
                <w:lang w:val="nl-NL"/>
              </w:rPr>
            </w:pPr>
            <w:r w:rsidRPr="00523E5B">
              <w:rPr>
                <w:rFonts w:ascii="Times New Roman" w:hAnsi="Times New Roman"/>
                <w:sz w:val="24"/>
                <w:szCs w:val="24"/>
                <w:lang w:val="nl-NL"/>
              </w:rPr>
              <w:t>Từ 7/2014 đến 4/2019: Giám đốc – Công ty TNHH Manulife Việt Nam</w:t>
            </w:r>
          </w:p>
          <w:p w14:paraId="289DA3F8" w14:textId="77777777" w:rsidR="00B3549C" w:rsidRPr="00523E5B" w:rsidRDefault="00B3549C" w:rsidP="00523E5B">
            <w:pPr>
              <w:spacing w:after="0"/>
              <w:jc w:val="both"/>
              <w:rPr>
                <w:rFonts w:ascii="Times New Roman" w:hAnsi="Times New Roman"/>
                <w:sz w:val="24"/>
                <w:szCs w:val="24"/>
                <w:lang w:val="nl-NL"/>
              </w:rPr>
            </w:pPr>
            <w:r w:rsidRPr="00523E5B">
              <w:rPr>
                <w:rFonts w:ascii="Times New Roman" w:hAnsi="Times New Roman"/>
                <w:sz w:val="24"/>
                <w:szCs w:val="24"/>
                <w:lang w:val="nl-NL"/>
              </w:rPr>
              <w:t>Từ 5/2019 đến 4/2020: Phó Chủ tịch – Công ty Bảo hiểm Allianz Ayudhya</w:t>
            </w:r>
          </w:p>
          <w:p w14:paraId="42A82CA9" w14:textId="77777777" w:rsidR="00B3549C" w:rsidRPr="00523E5B" w:rsidRDefault="00B3549C" w:rsidP="00523E5B">
            <w:pPr>
              <w:spacing w:after="0"/>
              <w:jc w:val="both"/>
              <w:rPr>
                <w:rFonts w:ascii="Times New Roman" w:hAnsi="Times New Roman"/>
                <w:sz w:val="24"/>
                <w:szCs w:val="24"/>
                <w:lang w:val="nl-NL"/>
              </w:rPr>
            </w:pPr>
            <w:r w:rsidRPr="00523E5B">
              <w:rPr>
                <w:rFonts w:ascii="Times New Roman" w:hAnsi="Times New Roman"/>
                <w:sz w:val="24"/>
                <w:szCs w:val="24"/>
                <w:lang w:val="nl-NL"/>
              </w:rPr>
              <w:t>Từ 5/2020 – 6/2023: Phó Tổng Giám đốc – Công ty Bảo Hiểm Nhân Thọ Generali Việt Nam</w:t>
            </w:r>
          </w:p>
          <w:p w14:paraId="48C61D22" w14:textId="77777777" w:rsidR="00B3549C" w:rsidRPr="00523E5B" w:rsidRDefault="00B3549C" w:rsidP="00523E5B">
            <w:pPr>
              <w:spacing w:after="0"/>
              <w:jc w:val="both"/>
              <w:rPr>
                <w:rFonts w:ascii="Times New Roman" w:hAnsi="Times New Roman"/>
                <w:sz w:val="24"/>
                <w:szCs w:val="24"/>
                <w:lang w:val="nl-NL"/>
              </w:rPr>
            </w:pPr>
            <w:r w:rsidRPr="00523E5B">
              <w:rPr>
                <w:rFonts w:ascii="Times New Roman" w:hAnsi="Times New Roman"/>
                <w:sz w:val="24"/>
                <w:szCs w:val="24"/>
                <w:lang w:val="nl-NL"/>
              </w:rPr>
              <w:t xml:space="preserve">Từ 7/2023 - nay: Phó Tổng Giám đốc - </w:t>
            </w:r>
            <w:r>
              <w:rPr>
                <w:rFonts w:ascii="Times New Roman" w:hAnsi="Times New Roman"/>
                <w:sz w:val="24"/>
                <w:szCs w:val="24"/>
                <w:lang w:val="nl-NL"/>
              </w:rPr>
              <w:t>Công ty TNHH Bảo Hiểm Nhân Thọ Chubb Việt Nam</w:t>
            </w:r>
          </w:p>
          <w:p w14:paraId="5FDD51BA" w14:textId="73587951" w:rsidR="00B3549C" w:rsidRPr="00845946" w:rsidRDefault="00B3549C" w:rsidP="00523E5B">
            <w:pPr>
              <w:spacing w:after="0"/>
              <w:jc w:val="both"/>
              <w:rPr>
                <w:rFonts w:ascii="Times New Roman" w:hAnsi="Times New Roman"/>
                <w:sz w:val="24"/>
                <w:szCs w:val="24"/>
                <w:lang w:val="nl-NL" w:eastAsia="en-SG"/>
              </w:rPr>
            </w:pPr>
            <w:r w:rsidRPr="00523E5B">
              <w:rPr>
                <w:rFonts w:ascii="Times New Roman" w:hAnsi="Times New Roman"/>
                <w:sz w:val="24"/>
                <w:szCs w:val="24"/>
                <w:lang w:val="nl-NL"/>
              </w:rPr>
              <w:t xml:space="preserve">Từ 6/2024 - nay: Phó </w:t>
            </w:r>
            <w:r>
              <w:rPr>
                <w:rFonts w:ascii="Times New Roman" w:hAnsi="Times New Roman"/>
                <w:sz w:val="24"/>
                <w:szCs w:val="24"/>
                <w:lang w:val="nl-NL"/>
              </w:rPr>
              <w:t xml:space="preserve">Chủ tịch </w:t>
            </w:r>
            <w:r w:rsidRPr="00523E5B">
              <w:rPr>
                <w:rFonts w:ascii="Times New Roman" w:hAnsi="Times New Roman"/>
                <w:sz w:val="24"/>
                <w:szCs w:val="24"/>
                <w:lang w:val="nl-NL"/>
              </w:rPr>
              <w:t xml:space="preserve">- </w:t>
            </w:r>
            <w:r>
              <w:rPr>
                <w:rFonts w:ascii="Times New Roman" w:hAnsi="Times New Roman"/>
                <w:sz w:val="24"/>
                <w:szCs w:val="24"/>
                <w:lang w:val="nl-NL"/>
              </w:rPr>
              <w:t>Công ty TNHH MTV Quản lý Quỹ Chubb Life</w:t>
            </w:r>
          </w:p>
        </w:tc>
      </w:tr>
      <w:tr w:rsidR="005C4036" w:rsidRPr="004D5515" w14:paraId="488E7BCC" w14:textId="77777777" w:rsidTr="00523E5B">
        <w:trPr>
          <w:trHeight w:val="2593"/>
        </w:trPr>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5A7D3" w14:textId="77777777" w:rsidR="00202172" w:rsidRPr="00E93BC5" w:rsidRDefault="000F3682" w:rsidP="00444BF6">
            <w:pPr>
              <w:jc w:val="center"/>
              <w:rPr>
                <w:rFonts w:ascii="Times New Roman" w:hAnsi="Times New Roman"/>
                <w:sz w:val="24"/>
                <w:szCs w:val="24"/>
                <w:lang w:val="nl-NL"/>
              </w:rPr>
            </w:pPr>
            <w:r w:rsidRPr="00E93BC5">
              <w:rPr>
                <w:rFonts w:ascii="Times New Roman" w:hAnsi="Times New Roman"/>
                <w:sz w:val="24"/>
                <w:szCs w:val="24"/>
                <w:lang w:val="nl-NL"/>
              </w:rPr>
              <w:t>Đặng Thị Hồng Loan</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73B4158D"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Giám đốc Công ty</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5EABC280"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CFA</w:t>
            </w:r>
          </w:p>
        </w:tc>
        <w:tc>
          <w:tcPr>
            <w:tcW w:w="6043" w:type="dxa"/>
            <w:tcBorders>
              <w:top w:val="single" w:sz="4" w:space="0" w:color="auto"/>
              <w:left w:val="nil"/>
              <w:bottom w:val="single" w:sz="4" w:space="0" w:color="auto"/>
              <w:right w:val="single" w:sz="4" w:space="0" w:color="auto"/>
            </w:tcBorders>
            <w:shd w:val="clear" w:color="auto" w:fill="auto"/>
            <w:vAlign w:val="center"/>
            <w:hideMark/>
          </w:tcPr>
          <w:p w14:paraId="7E518123" w14:textId="6279CDD1" w:rsidR="005C4036" w:rsidRPr="00E93BC5" w:rsidRDefault="00202172" w:rsidP="00444BF6">
            <w:pPr>
              <w:spacing w:after="0"/>
              <w:jc w:val="both"/>
              <w:rPr>
                <w:rFonts w:ascii="Times New Roman" w:hAnsi="Times New Roman"/>
                <w:sz w:val="24"/>
                <w:szCs w:val="24"/>
                <w:lang w:val="nl-NL"/>
              </w:rPr>
            </w:pPr>
            <w:r w:rsidRPr="00E93BC5">
              <w:rPr>
                <w:rFonts w:ascii="Times New Roman" w:hAnsi="Times New Roman"/>
                <w:sz w:val="24"/>
                <w:szCs w:val="24"/>
                <w:lang w:val="nl-NL"/>
              </w:rPr>
              <w:t>Từ 20</w:t>
            </w:r>
            <w:r w:rsidR="00841CF8" w:rsidRPr="00E93BC5">
              <w:rPr>
                <w:rFonts w:ascii="Times New Roman" w:hAnsi="Times New Roman"/>
                <w:sz w:val="24"/>
                <w:szCs w:val="24"/>
                <w:lang w:val="nl-NL"/>
              </w:rPr>
              <w:t>10</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w:t>
            </w:r>
            <w:r w:rsidR="00841CF8" w:rsidRPr="00E93BC5">
              <w:rPr>
                <w:rFonts w:ascii="Times New Roman" w:hAnsi="Times New Roman"/>
                <w:sz w:val="24"/>
                <w:szCs w:val="24"/>
                <w:lang w:val="nl-NL"/>
              </w:rPr>
              <w:t>16</w:t>
            </w:r>
            <w:r w:rsidRPr="00E93BC5">
              <w:rPr>
                <w:rFonts w:ascii="Times New Roman" w:hAnsi="Times New Roman"/>
                <w:sz w:val="24"/>
                <w:szCs w:val="24"/>
                <w:lang w:val="nl-NL"/>
              </w:rPr>
              <w:t xml:space="preserve">: </w:t>
            </w:r>
            <w:r w:rsidR="00841CF8" w:rsidRPr="00E93BC5">
              <w:rPr>
                <w:rFonts w:ascii="Times New Roman" w:hAnsi="Times New Roman"/>
                <w:sz w:val="24"/>
                <w:szCs w:val="24"/>
                <w:lang w:val="nl-NL"/>
              </w:rPr>
              <w:t xml:space="preserve">Trưởng </w:t>
            </w:r>
            <w:r w:rsidR="00E0737C" w:rsidRPr="00E93BC5">
              <w:rPr>
                <w:rFonts w:ascii="Times New Roman" w:hAnsi="Times New Roman"/>
                <w:sz w:val="24"/>
                <w:szCs w:val="24"/>
                <w:lang w:val="nl-NL"/>
              </w:rPr>
              <w:t>phòng cấp cao</w:t>
            </w:r>
            <w:r w:rsidR="00841CF8" w:rsidRPr="00E93BC5">
              <w:rPr>
                <w:rFonts w:ascii="Times New Roman" w:hAnsi="Times New Roman"/>
                <w:sz w:val="24"/>
                <w:szCs w:val="24"/>
                <w:lang w:val="nl-NL"/>
              </w:rPr>
              <w:t xml:space="preserve"> Đầu tư và Ngân Quỹ Công ty Bảo hiểm nhân thọ Prudential Việt </w:t>
            </w:r>
            <w:r w:rsidR="00704BC3">
              <w:rPr>
                <w:rFonts w:ascii="Times New Roman" w:hAnsi="Times New Roman"/>
                <w:sz w:val="24"/>
                <w:szCs w:val="24"/>
                <w:lang w:val="nl-NL"/>
              </w:rPr>
              <w:t>N</w:t>
            </w:r>
            <w:r w:rsidR="00841CF8" w:rsidRPr="00E93BC5">
              <w:rPr>
                <w:rFonts w:ascii="Times New Roman" w:hAnsi="Times New Roman"/>
                <w:sz w:val="24"/>
                <w:szCs w:val="24"/>
                <w:lang w:val="nl-NL"/>
              </w:rPr>
              <w:t>am</w:t>
            </w:r>
          </w:p>
          <w:p w14:paraId="17D41759" w14:textId="77777777" w:rsidR="00BD0161" w:rsidRPr="00E93BC5" w:rsidRDefault="00202172" w:rsidP="00841CF8">
            <w:pPr>
              <w:spacing w:after="0"/>
              <w:jc w:val="both"/>
              <w:rPr>
                <w:rFonts w:ascii="Times New Roman" w:hAnsi="Times New Roman"/>
                <w:sz w:val="24"/>
                <w:szCs w:val="24"/>
                <w:lang w:val="nl-NL"/>
              </w:rPr>
            </w:pPr>
            <w:r w:rsidRPr="00E93BC5">
              <w:rPr>
                <w:rFonts w:ascii="Times New Roman" w:hAnsi="Times New Roman"/>
                <w:sz w:val="24"/>
                <w:szCs w:val="24"/>
                <w:lang w:val="nl-NL"/>
              </w:rPr>
              <w:t>Từ 201</w:t>
            </w:r>
            <w:r w:rsidR="00841CF8" w:rsidRPr="00E93BC5">
              <w:rPr>
                <w:rFonts w:ascii="Times New Roman" w:hAnsi="Times New Roman"/>
                <w:sz w:val="24"/>
                <w:szCs w:val="24"/>
                <w:lang w:val="nl-NL"/>
              </w:rPr>
              <w:t>6</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201</w:t>
            </w:r>
            <w:r w:rsidR="00841CF8" w:rsidRPr="00E93BC5">
              <w:rPr>
                <w:rFonts w:ascii="Times New Roman" w:hAnsi="Times New Roman"/>
                <w:sz w:val="24"/>
                <w:szCs w:val="24"/>
                <w:lang w:val="nl-NL"/>
              </w:rPr>
              <w:t>9</w:t>
            </w:r>
            <w:r w:rsidRPr="00E93BC5">
              <w:rPr>
                <w:rFonts w:ascii="Times New Roman" w:hAnsi="Times New Roman"/>
                <w:sz w:val="24"/>
                <w:szCs w:val="24"/>
                <w:lang w:val="nl-NL"/>
              </w:rPr>
              <w:t xml:space="preserve">: </w:t>
            </w:r>
            <w:r w:rsidR="00841CF8" w:rsidRPr="00E93BC5">
              <w:rPr>
                <w:rFonts w:ascii="Times New Roman" w:hAnsi="Times New Roman"/>
                <w:sz w:val="24"/>
                <w:szCs w:val="24"/>
                <w:lang w:val="nl-NL"/>
              </w:rPr>
              <w:t>Phó Giám đốc bộ phận chiến lược xây dựng và phân tích Kế hoạch tài chính Công ty tài chính Prudential Việt Nam</w:t>
            </w:r>
          </w:p>
          <w:p w14:paraId="3E908015" w14:textId="16C366D1" w:rsidR="00202172" w:rsidRPr="00E93BC5" w:rsidRDefault="00202172" w:rsidP="00CE2F8B">
            <w:pPr>
              <w:spacing w:after="0"/>
              <w:jc w:val="both"/>
              <w:rPr>
                <w:rFonts w:ascii="Times New Roman" w:hAnsi="Times New Roman"/>
                <w:sz w:val="24"/>
                <w:szCs w:val="24"/>
                <w:lang w:val="nl-NL"/>
              </w:rPr>
            </w:pPr>
            <w:r w:rsidRPr="00E93BC5">
              <w:rPr>
                <w:rFonts w:ascii="Times New Roman" w:hAnsi="Times New Roman"/>
                <w:sz w:val="24"/>
                <w:szCs w:val="24"/>
                <w:lang w:val="nl-NL"/>
              </w:rPr>
              <w:t>Từ</w:t>
            </w:r>
            <w:r w:rsidR="00841CF8" w:rsidRPr="00E93BC5">
              <w:rPr>
                <w:rFonts w:ascii="Times New Roman" w:hAnsi="Times New Roman"/>
                <w:sz w:val="24"/>
                <w:szCs w:val="24"/>
                <w:lang w:val="nl-NL"/>
              </w:rPr>
              <w:t xml:space="preserve"> 12/2019</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nay: Giám đốc</w:t>
            </w:r>
            <w:r w:rsidR="00EC3E69">
              <w:rPr>
                <w:rFonts w:ascii="Times New Roman" w:hAnsi="Times New Roman"/>
                <w:sz w:val="24"/>
                <w:szCs w:val="24"/>
                <w:lang w:val="nl-NL"/>
              </w:rPr>
              <w:t xml:space="preserve"> </w:t>
            </w:r>
            <w:r w:rsidRPr="00E93BC5">
              <w:rPr>
                <w:rFonts w:ascii="Times New Roman" w:hAnsi="Times New Roman"/>
                <w:sz w:val="24"/>
                <w:szCs w:val="24"/>
                <w:lang w:val="nl-NL"/>
              </w:rPr>
              <w:t xml:space="preserve">- Công ty TNHH MTV Quản </w:t>
            </w:r>
            <w:r w:rsidR="00CE2F8B" w:rsidRPr="00E93BC5">
              <w:rPr>
                <w:rFonts w:ascii="Times New Roman" w:hAnsi="Times New Roman"/>
                <w:sz w:val="24"/>
                <w:szCs w:val="24"/>
                <w:lang w:val="nl-NL"/>
              </w:rPr>
              <w:t>l</w:t>
            </w:r>
            <w:r w:rsidRPr="00E93BC5">
              <w:rPr>
                <w:rFonts w:ascii="Times New Roman" w:hAnsi="Times New Roman"/>
                <w:sz w:val="24"/>
                <w:szCs w:val="24"/>
                <w:lang w:val="nl-NL"/>
              </w:rPr>
              <w:t>ý Quỹ Chubb Life</w:t>
            </w:r>
          </w:p>
        </w:tc>
      </w:tr>
    </w:tbl>
    <w:p w14:paraId="36340584" w14:textId="77777777" w:rsidR="001929F3" w:rsidRDefault="001929F3" w:rsidP="00B3750F">
      <w:pPr>
        <w:tabs>
          <w:tab w:val="left" w:pos="720"/>
        </w:tabs>
        <w:jc w:val="both"/>
        <w:rPr>
          <w:rFonts w:ascii="Times New Roman" w:hAnsi="Times New Roman"/>
          <w:b/>
          <w:sz w:val="24"/>
          <w:szCs w:val="24"/>
          <w:lang w:val="nl-NL"/>
        </w:rPr>
      </w:pPr>
    </w:p>
    <w:p w14:paraId="5CF69104" w14:textId="4899252D" w:rsidR="00444BF6" w:rsidRPr="00E93BC5" w:rsidRDefault="00444BF6" w:rsidP="00B3750F">
      <w:pPr>
        <w:tabs>
          <w:tab w:val="left" w:pos="720"/>
        </w:tabs>
        <w:jc w:val="both"/>
        <w:rPr>
          <w:rFonts w:ascii="Times New Roman" w:hAnsi="Times New Roman"/>
          <w:sz w:val="24"/>
          <w:szCs w:val="24"/>
          <w:lang w:val="nl-NL"/>
        </w:rPr>
      </w:pPr>
      <w:r w:rsidRPr="00E93BC5">
        <w:rPr>
          <w:rFonts w:ascii="Times New Roman" w:hAnsi="Times New Roman"/>
          <w:b/>
          <w:sz w:val="24"/>
          <w:szCs w:val="24"/>
          <w:lang w:val="nl-NL"/>
        </w:rPr>
        <w:t>Ban đại diện quỹ gồm có:</w:t>
      </w:r>
    </w:p>
    <w:tbl>
      <w:tblPr>
        <w:tblW w:w="10237" w:type="dxa"/>
        <w:tblInd w:w="108" w:type="dxa"/>
        <w:tblLook w:val="04A0" w:firstRow="1" w:lastRow="0" w:firstColumn="1" w:lastColumn="0" w:noHBand="0" w:noVBand="1"/>
      </w:tblPr>
      <w:tblGrid>
        <w:gridCol w:w="1597"/>
        <w:gridCol w:w="1170"/>
        <w:gridCol w:w="1170"/>
        <w:gridCol w:w="6300"/>
      </w:tblGrid>
      <w:tr w:rsidR="00202172" w:rsidRPr="00E93BC5" w14:paraId="3AC90EF6" w14:textId="77777777" w:rsidTr="001E511A">
        <w:trPr>
          <w:trHeight w:val="541"/>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32CC" w14:textId="77777777" w:rsidR="00202172" w:rsidRPr="00E93BC5" w:rsidRDefault="00202172" w:rsidP="00444BF6">
            <w:pPr>
              <w:jc w:val="center"/>
              <w:rPr>
                <w:rFonts w:ascii="Times New Roman" w:hAnsi="Times New Roman"/>
                <w:b/>
                <w:sz w:val="24"/>
                <w:szCs w:val="24"/>
                <w:lang w:val="nl-NL"/>
              </w:rPr>
            </w:pPr>
            <w:bookmarkStart w:id="2" w:name="_Hlk14188218"/>
            <w:r w:rsidRPr="00E93BC5">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677AEFA"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88071D4"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29BB705"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202172" w:rsidRPr="004D5515" w14:paraId="288397A6" w14:textId="77777777" w:rsidTr="001E511A">
        <w:trPr>
          <w:trHeight w:val="1070"/>
        </w:trPr>
        <w:tc>
          <w:tcPr>
            <w:tcW w:w="1597" w:type="dxa"/>
            <w:tcBorders>
              <w:top w:val="nil"/>
              <w:left w:val="single" w:sz="4" w:space="0" w:color="auto"/>
              <w:bottom w:val="single" w:sz="4" w:space="0" w:color="auto"/>
              <w:right w:val="single" w:sz="4" w:space="0" w:color="auto"/>
            </w:tcBorders>
            <w:shd w:val="clear" w:color="auto" w:fill="auto"/>
            <w:vAlign w:val="center"/>
            <w:hideMark/>
          </w:tcPr>
          <w:p w14:paraId="4E4FCC88" w14:textId="77777777" w:rsidR="00202172" w:rsidRPr="00E93BC5" w:rsidRDefault="00202172" w:rsidP="001929F3">
            <w:pPr>
              <w:jc w:val="center"/>
              <w:rPr>
                <w:rFonts w:ascii="Times New Roman" w:hAnsi="Times New Roman"/>
                <w:sz w:val="24"/>
                <w:szCs w:val="24"/>
                <w:lang w:val="nl-NL"/>
              </w:rPr>
            </w:pPr>
            <w:r w:rsidRPr="00E93BC5">
              <w:rPr>
                <w:rFonts w:ascii="Times New Roman" w:hAnsi="Times New Roman"/>
                <w:sz w:val="24"/>
                <w:szCs w:val="24"/>
                <w:lang w:val="nl-NL"/>
              </w:rPr>
              <w:t>Trịnh Thanh Cần</w:t>
            </w:r>
          </w:p>
        </w:tc>
        <w:tc>
          <w:tcPr>
            <w:tcW w:w="1170" w:type="dxa"/>
            <w:tcBorders>
              <w:top w:val="nil"/>
              <w:left w:val="nil"/>
              <w:bottom w:val="single" w:sz="4" w:space="0" w:color="auto"/>
              <w:right w:val="single" w:sz="4" w:space="0" w:color="auto"/>
            </w:tcBorders>
            <w:shd w:val="clear" w:color="auto" w:fill="auto"/>
            <w:vAlign w:val="center"/>
            <w:hideMark/>
          </w:tcPr>
          <w:p w14:paraId="66665D16"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 xml:space="preserve">Chủ tịch </w:t>
            </w:r>
          </w:p>
        </w:tc>
        <w:tc>
          <w:tcPr>
            <w:tcW w:w="1170" w:type="dxa"/>
            <w:tcBorders>
              <w:top w:val="nil"/>
              <w:left w:val="nil"/>
              <w:bottom w:val="single" w:sz="4" w:space="0" w:color="auto"/>
              <w:right w:val="single" w:sz="4" w:space="0" w:color="auto"/>
            </w:tcBorders>
            <w:shd w:val="clear" w:color="auto" w:fill="auto"/>
            <w:vAlign w:val="center"/>
            <w:hideMark/>
          </w:tcPr>
          <w:p w14:paraId="000E137A"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6419CFB7" w14:textId="77777777" w:rsidR="00202172" w:rsidRDefault="00202172" w:rsidP="0026726B">
            <w:pPr>
              <w:spacing w:after="0" w:line="240" w:lineRule="auto"/>
              <w:rPr>
                <w:rFonts w:ascii="Times New Roman" w:hAnsi="Times New Roman"/>
                <w:sz w:val="24"/>
                <w:szCs w:val="24"/>
                <w:lang w:val="nl-NL"/>
              </w:rPr>
            </w:pPr>
            <w:r w:rsidRPr="00E93BC5">
              <w:rPr>
                <w:rFonts w:ascii="Times New Roman" w:hAnsi="Times New Roman"/>
                <w:sz w:val="24"/>
                <w:szCs w:val="24"/>
                <w:lang w:val="nl-NL"/>
              </w:rPr>
              <w:t>Từ 2000</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2002: Trợ lý nghiên cứu -Công ty Quản lý quỹ Tower Mỹ</w:t>
            </w:r>
            <w:r w:rsidRPr="00E93BC5">
              <w:rPr>
                <w:rFonts w:ascii="Times New Roman" w:hAnsi="Times New Roman"/>
                <w:sz w:val="24"/>
                <w:szCs w:val="24"/>
                <w:lang w:val="nl-NL"/>
              </w:rPr>
              <w:br/>
              <w:t>Từ 2002</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2003: Chuyên viên - Ngân hàng Downey Savings</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Mỹ</w:t>
            </w:r>
            <w:r w:rsidRPr="00E93BC5">
              <w:rPr>
                <w:rFonts w:ascii="Times New Roman" w:hAnsi="Times New Roman"/>
                <w:sz w:val="24"/>
                <w:szCs w:val="24"/>
                <w:lang w:val="nl-NL"/>
              </w:rPr>
              <w:br/>
              <w:t>Từ 2003</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2005: Chuyên viên đầu tư - Công ty </w:t>
            </w:r>
            <w:r w:rsidR="00CE2F8B" w:rsidRPr="00E93BC5">
              <w:rPr>
                <w:rFonts w:ascii="Times New Roman" w:hAnsi="Times New Roman"/>
                <w:sz w:val="24"/>
                <w:szCs w:val="24"/>
                <w:lang w:val="nl-NL"/>
              </w:rPr>
              <w:t>Quản lý Quỹ</w:t>
            </w:r>
            <w:r w:rsidR="00D75CED" w:rsidRPr="00E93BC5">
              <w:rPr>
                <w:rFonts w:ascii="Times New Roman" w:hAnsi="Times New Roman"/>
                <w:sz w:val="24"/>
                <w:szCs w:val="24"/>
                <w:lang w:val="nl-NL"/>
              </w:rPr>
              <w:t xml:space="preserve"> V</w:t>
            </w:r>
            <w:r w:rsidRPr="00E93BC5">
              <w:rPr>
                <w:rFonts w:ascii="Times New Roman" w:hAnsi="Times New Roman"/>
                <w:sz w:val="24"/>
                <w:szCs w:val="24"/>
                <w:lang w:val="nl-NL"/>
              </w:rPr>
              <w:t>inacapital Việt Nam</w:t>
            </w:r>
            <w:r w:rsidRPr="00E93BC5">
              <w:rPr>
                <w:rFonts w:ascii="Times New Roman" w:hAnsi="Times New Roman"/>
                <w:sz w:val="24"/>
                <w:szCs w:val="24"/>
                <w:lang w:val="nl-NL"/>
              </w:rPr>
              <w:br/>
              <w:t>Từ 2005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2006: Giám đốc Quan hệ KH - Ngân hàng HSBC Việ</w:t>
            </w:r>
            <w:r w:rsidR="00D75CED" w:rsidRPr="00E93BC5">
              <w:rPr>
                <w:rFonts w:ascii="Times New Roman" w:hAnsi="Times New Roman"/>
                <w:sz w:val="24"/>
                <w:szCs w:val="24"/>
                <w:lang w:val="nl-NL"/>
              </w:rPr>
              <w:t xml:space="preserve">t </w:t>
            </w:r>
            <w:r w:rsidRPr="00E93BC5">
              <w:rPr>
                <w:rFonts w:ascii="Times New Roman" w:hAnsi="Times New Roman"/>
                <w:sz w:val="24"/>
                <w:szCs w:val="24"/>
                <w:lang w:val="nl-NL"/>
              </w:rPr>
              <w:t>Nam</w:t>
            </w:r>
            <w:r w:rsidRPr="00E93BC5">
              <w:rPr>
                <w:rFonts w:ascii="Times New Roman" w:hAnsi="Times New Roman"/>
                <w:sz w:val="24"/>
                <w:szCs w:val="24"/>
                <w:lang w:val="nl-NL"/>
              </w:rPr>
              <w:br/>
              <w:t>Từ 2006</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2007: Giám đốc đầu tư - Công ty </w:t>
            </w:r>
            <w:r w:rsidR="00CE2F8B" w:rsidRPr="00E93BC5">
              <w:rPr>
                <w:rFonts w:ascii="Times New Roman" w:hAnsi="Times New Roman"/>
                <w:sz w:val="24"/>
                <w:szCs w:val="24"/>
                <w:lang w:val="nl-NL"/>
              </w:rPr>
              <w:t>Quản lý Quỹ</w:t>
            </w:r>
            <w:r w:rsidRPr="00E93BC5">
              <w:rPr>
                <w:rFonts w:ascii="Times New Roman" w:hAnsi="Times New Roman"/>
                <w:sz w:val="24"/>
                <w:szCs w:val="24"/>
                <w:lang w:val="nl-NL"/>
              </w:rPr>
              <w:t xml:space="preserve"> Bản Việt</w:t>
            </w:r>
            <w:r w:rsidRPr="00E93BC5">
              <w:rPr>
                <w:rFonts w:ascii="Times New Roman" w:hAnsi="Times New Roman"/>
                <w:sz w:val="24"/>
                <w:szCs w:val="24"/>
                <w:lang w:val="nl-NL"/>
              </w:rPr>
              <w:br/>
              <w:t>Từ 2007</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2011: Giám đốc phân tích -</w:t>
            </w:r>
            <w:r w:rsidR="00444BF6"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Công ty </w:t>
            </w:r>
            <w:r w:rsidR="00F14D5B" w:rsidRPr="00E93BC5">
              <w:rPr>
                <w:rFonts w:ascii="Times New Roman" w:hAnsi="Times New Roman"/>
                <w:sz w:val="24"/>
                <w:szCs w:val="24"/>
                <w:lang w:val="nl-NL"/>
              </w:rPr>
              <w:t>Chứng khoán</w:t>
            </w:r>
            <w:r w:rsidRPr="00E93BC5">
              <w:rPr>
                <w:rFonts w:ascii="Times New Roman" w:hAnsi="Times New Roman"/>
                <w:sz w:val="24"/>
                <w:szCs w:val="24"/>
                <w:lang w:val="nl-NL"/>
              </w:rPr>
              <w:t xml:space="preserve"> Bản Việt</w:t>
            </w:r>
            <w:r w:rsidRPr="00E93BC5">
              <w:rPr>
                <w:rFonts w:ascii="Times New Roman" w:hAnsi="Times New Roman"/>
                <w:sz w:val="24"/>
                <w:szCs w:val="24"/>
                <w:lang w:val="nl-NL"/>
              </w:rPr>
              <w:br/>
              <w:t>Từ 2011</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2015: Giám đốc điều hành khối Tư vấn tài chính D</w:t>
            </w:r>
            <w:r w:rsidR="00CE2F8B" w:rsidRPr="00E93BC5">
              <w:rPr>
                <w:rFonts w:ascii="Times New Roman" w:hAnsi="Times New Roman"/>
                <w:sz w:val="24"/>
                <w:szCs w:val="24"/>
                <w:lang w:val="nl-NL"/>
              </w:rPr>
              <w:t>oanh nghiệp</w:t>
            </w:r>
            <w:r w:rsidR="00444BF6"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 Công ty </w:t>
            </w:r>
            <w:r w:rsidR="00CE2F8B" w:rsidRPr="00E93BC5">
              <w:rPr>
                <w:rFonts w:ascii="Times New Roman" w:hAnsi="Times New Roman"/>
                <w:sz w:val="24"/>
                <w:szCs w:val="24"/>
                <w:lang w:val="nl-NL"/>
              </w:rPr>
              <w:t>C</w:t>
            </w:r>
            <w:r w:rsidRPr="00E93BC5">
              <w:rPr>
                <w:rFonts w:ascii="Times New Roman" w:hAnsi="Times New Roman"/>
                <w:sz w:val="24"/>
                <w:szCs w:val="24"/>
                <w:lang w:val="nl-NL"/>
              </w:rPr>
              <w:t>hứng khoán HSC</w:t>
            </w:r>
            <w:r w:rsidRPr="00E93BC5">
              <w:rPr>
                <w:rFonts w:ascii="Times New Roman" w:hAnsi="Times New Roman"/>
                <w:sz w:val="24"/>
                <w:szCs w:val="24"/>
                <w:lang w:val="nl-NL"/>
              </w:rPr>
              <w:br/>
              <w:t>Từ 2015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0026726B">
              <w:rPr>
                <w:rFonts w:ascii="Times New Roman" w:hAnsi="Times New Roman"/>
                <w:sz w:val="24"/>
                <w:szCs w:val="24"/>
                <w:lang w:val="nl-NL"/>
              </w:rPr>
              <w:t>2022</w:t>
            </w:r>
            <w:r w:rsidRPr="00E93BC5">
              <w:rPr>
                <w:rFonts w:ascii="Times New Roman" w:hAnsi="Times New Roman"/>
                <w:sz w:val="24"/>
                <w:szCs w:val="24"/>
                <w:lang w:val="nl-NL"/>
              </w:rPr>
              <w:t>: Tổng giám đốc -</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Công ty TNHH Chứng khoán ACB</w:t>
            </w:r>
          </w:p>
          <w:p w14:paraId="370DD3D0" w14:textId="4D428D66" w:rsidR="0026726B" w:rsidRPr="00E93BC5" w:rsidRDefault="0026726B" w:rsidP="0026726B">
            <w:pPr>
              <w:spacing w:after="0" w:line="240" w:lineRule="auto"/>
              <w:rPr>
                <w:rFonts w:ascii="Times New Roman" w:hAnsi="Times New Roman"/>
                <w:sz w:val="24"/>
                <w:szCs w:val="24"/>
                <w:lang w:val="nl-NL"/>
              </w:rPr>
            </w:pPr>
            <w:r>
              <w:rPr>
                <w:rFonts w:ascii="Times New Roman" w:hAnsi="Times New Roman"/>
                <w:sz w:val="24"/>
                <w:szCs w:val="24"/>
                <w:lang w:val="nl-NL"/>
              </w:rPr>
              <w:t xml:space="preserve">Từ 4/2022 – nay: </w:t>
            </w:r>
            <w:r w:rsidRPr="00E35E84">
              <w:rPr>
                <w:rFonts w:ascii="Times New Roman" w:hAnsi="Times New Roman"/>
                <w:sz w:val="24"/>
                <w:szCs w:val="24"/>
                <w:lang w:val="nl-NL"/>
              </w:rPr>
              <w:t xml:space="preserve">Tổng giám đốc - Công ty </w:t>
            </w:r>
            <w:r>
              <w:rPr>
                <w:rFonts w:ascii="Times New Roman" w:hAnsi="Times New Roman"/>
                <w:sz w:val="24"/>
                <w:szCs w:val="24"/>
                <w:lang w:val="nl-NL"/>
              </w:rPr>
              <w:t>CP</w:t>
            </w:r>
            <w:r w:rsidRPr="00E35E84">
              <w:rPr>
                <w:rFonts w:ascii="Times New Roman" w:hAnsi="Times New Roman"/>
                <w:sz w:val="24"/>
                <w:szCs w:val="24"/>
                <w:lang w:val="nl-NL"/>
              </w:rPr>
              <w:t xml:space="preserve"> Chứng khoán </w:t>
            </w:r>
            <w:r>
              <w:rPr>
                <w:rFonts w:ascii="Times New Roman" w:hAnsi="Times New Roman"/>
                <w:sz w:val="24"/>
                <w:szCs w:val="24"/>
                <w:lang w:val="nl-NL"/>
              </w:rPr>
              <w:t>KAFI</w:t>
            </w:r>
          </w:p>
        </w:tc>
      </w:tr>
      <w:tr w:rsidR="00202172" w:rsidRPr="004D5515" w14:paraId="0D85347F" w14:textId="77777777" w:rsidTr="001E511A">
        <w:trPr>
          <w:trHeight w:val="8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5B5D8E8C" w14:textId="77777777" w:rsidR="00202172" w:rsidRPr="00E93BC5" w:rsidRDefault="00202172" w:rsidP="001929F3">
            <w:pPr>
              <w:jc w:val="center"/>
              <w:rPr>
                <w:rFonts w:ascii="Times New Roman" w:hAnsi="Times New Roman"/>
                <w:sz w:val="24"/>
                <w:szCs w:val="24"/>
                <w:lang w:val="nl-NL"/>
              </w:rPr>
            </w:pPr>
            <w:r w:rsidRPr="00E93BC5">
              <w:rPr>
                <w:rFonts w:ascii="Times New Roman" w:hAnsi="Times New Roman"/>
                <w:sz w:val="24"/>
                <w:szCs w:val="24"/>
                <w:lang w:val="nl-NL"/>
              </w:rPr>
              <w:lastRenderedPageBreak/>
              <w:t>Nguyễn Trọng Đức</w:t>
            </w:r>
          </w:p>
        </w:tc>
        <w:tc>
          <w:tcPr>
            <w:tcW w:w="1170" w:type="dxa"/>
            <w:tcBorders>
              <w:top w:val="nil"/>
              <w:left w:val="nil"/>
              <w:bottom w:val="single" w:sz="4" w:space="0" w:color="auto"/>
              <w:right w:val="single" w:sz="4" w:space="0" w:color="auto"/>
            </w:tcBorders>
            <w:shd w:val="clear" w:color="auto" w:fill="auto"/>
            <w:noWrap/>
            <w:vAlign w:val="center"/>
            <w:hideMark/>
          </w:tcPr>
          <w:p w14:paraId="2F32897F"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 xml:space="preserve">Thành viên </w:t>
            </w:r>
          </w:p>
        </w:tc>
        <w:tc>
          <w:tcPr>
            <w:tcW w:w="1170" w:type="dxa"/>
            <w:tcBorders>
              <w:top w:val="nil"/>
              <w:left w:val="nil"/>
              <w:bottom w:val="single" w:sz="4" w:space="0" w:color="auto"/>
              <w:right w:val="single" w:sz="4" w:space="0" w:color="auto"/>
            </w:tcBorders>
            <w:shd w:val="clear" w:color="auto" w:fill="auto"/>
            <w:noWrap/>
            <w:vAlign w:val="center"/>
            <w:hideMark/>
          </w:tcPr>
          <w:p w14:paraId="40D1918C"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Thạc sỹ</w:t>
            </w:r>
          </w:p>
        </w:tc>
        <w:tc>
          <w:tcPr>
            <w:tcW w:w="6300" w:type="dxa"/>
            <w:tcBorders>
              <w:top w:val="nil"/>
              <w:left w:val="nil"/>
              <w:bottom w:val="single" w:sz="4" w:space="0" w:color="auto"/>
              <w:right w:val="single" w:sz="4" w:space="0" w:color="auto"/>
            </w:tcBorders>
            <w:shd w:val="clear" w:color="auto" w:fill="auto"/>
            <w:vAlign w:val="bottom"/>
            <w:hideMark/>
          </w:tcPr>
          <w:p w14:paraId="42C97B7B" w14:textId="77777777" w:rsidR="00202172" w:rsidRPr="00E93BC5" w:rsidRDefault="00202172" w:rsidP="00444BF6">
            <w:pPr>
              <w:spacing w:after="0"/>
              <w:rPr>
                <w:rFonts w:ascii="Times New Roman" w:hAnsi="Times New Roman"/>
                <w:sz w:val="24"/>
                <w:szCs w:val="24"/>
                <w:lang w:val="nl-NL"/>
              </w:rPr>
            </w:pPr>
            <w:r w:rsidRPr="00E93BC5">
              <w:rPr>
                <w:rFonts w:ascii="Times New Roman" w:hAnsi="Times New Roman"/>
                <w:sz w:val="24"/>
                <w:szCs w:val="24"/>
                <w:lang w:val="nl-NL"/>
              </w:rPr>
              <w:t>Từ 1995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1999: Kiểm toán viên - Công ty Kiểm toán KPMG</w:t>
            </w:r>
            <w:r w:rsidRPr="00E93BC5">
              <w:rPr>
                <w:rFonts w:ascii="Times New Roman" w:hAnsi="Times New Roman"/>
                <w:sz w:val="24"/>
                <w:szCs w:val="24"/>
                <w:lang w:val="nl-NL"/>
              </w:rPr>
              <w:br/>
              <w:t>Từ 1999</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2000: Trưởng phòng KTNB - Công ty Victoria Việt Nam Group</w:t>
            </w:r>
            <w:r w:rsidRPr="00E93BC5">
              <w:rPr>
                <w:rFonts w:ascii="Times New Roman" w:hAnsi="Times New Roman"/>
                <w:sz w:val="24"/>
                <w:szCs w:val="24"/>
                <w:lang w:val="nl-NL"/>
              </w:rPr>
              <w:br/>
              <w:t>Từ 2000</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2002: Giám đốc tài chính tập đoàn - Công ty Victoria Việt Nam Group</w:t>
            </w:r>
            <w:r w:rsidRPr="00E93BC5">
              <w:rPr>
                <w:rFonts w:ascii="Times New Roman" w:hAnsi="Times New Roman"/>
                <w:sz w:val="24"/>
                <w:szCs w:val="24"/>
                <w:lang w:val="nl-NL"/>
              </w:rPr>
              <w:br/>
              <w:t>Từ 2002</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2004: Giám đốc tài chính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Philips Electronics Việt nam</w:t>
            </w:r>
            <w:r w:rsidR="00B85125" w:rsidRPr="00E93BC5">
              <w:rPr>
                <w:rFonts w:ascii="Times New Roman" w:hAnsi="Times New Roman"/>
                <w:sz w:val="24"/>
                <w:szCs w:val="24"/>
                <w:lang w:val="nl-NL"/>
              </w:rPr>
              <w:t>.</w:t>
            </w:r>
            <w:r w:rsidRPr="00E93BC5">
              <w:rPr>
                <w:rFonts w:ascii="Times New Roman" w:hAnsi="Times New Roman"/>
                <w:sz w:val="24"/>
                <w:szCs w:val="24"/>
                <w:lang w:val="nl-NL"/>
              </w:rPr>
              <w:br/>
              <w:t>Từ</w:t>
            </w:r>
            <w:r w:rsidR="005C4036" w:rsidRPr="00E93BC5">
              <w:rPr>
                <w:rFonts w:ascii="Times New Roman" w:hAnsi="Times New Roman"/>
                <w:sz w:val="24"/>
                <w:szCs w:val="24"/>
                <w:lang w:val="nl-NL"/>
              </w:rPr>
              <w:t xml:space="preserve"> 2004</w:t>
            </w:r>
            <w:r w:rsidR="00B85125" w:rsidRPr="00E93BC5">
              <w:rPr>
                <w:rFonts w:ascii="Times New Roman" w:hAnsi="Times New Roman"/>
                <w:sz w:val="24"/>
                <w:szCs w:val="24"/>
                <w:lang w:val="nl-NL"/>
              </w:rPr>
              <w:t xml:space="preserve"> </w:t>
            </w:r>
            <w:r w:rsidR="005C4036" w:rsidRPr="00E93BC5">
              <w:rPr>
                <w:rFonts w:ascii="Times New Roman" w:hAnsi="Times New Roman"/>
                <w:sz w:val="24"/>
                <w:szCs w:val="24"/>
                <w:lang w:val="nl-NL"/>
              </w:rPr>
              <w:t xml:space="preserve">- 2015: </w:t>
            </w:r>
            <w:r w:rsidRPr="00E93BC5">
              <w:rPr>
                <w:rFonts w:ascii="Times New Roman" w:hAnsi="Times New Roman"/>
                <w:sz w:val="24"/>
                <w:szCs w:val="24"/>
                <w:lang w:val="nl-NL"/>
              </w:rPr>
              <w:t>Giám đốc tài chính</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Ogilvy &amp; Mather Việt Nam</w:t>
            </w:r>
            <w:r w:rsidR="00B85125" w:rsidRPr="00E93BC5">
              <w:rPr>
                <w:rFonts w:ascii="Times New Roman" w:hAnsi="Times New Roman"/>
                <w:sz w:val="24"/>
                <w:szCs w:val="24"/>
                <w:lang w:val="nl-NL"/>
              </w:rPr>
              <w:t>.</w:t>
            </w:r>
            <w:r w:rsidRPr="00E93BC5">
              <w:rPr>
                <w:rFonts w:ascii="Times New Roman" w:hAnsi="Times New Roman"/>
                <w:sz w:val="24"/>
                <w:szCs w:val="24"/>
                <w:lang w:val="nl-NL"/>
              </w:rPr>
              <w:t xml:space="preserve"> </w:t>
            </w:r>
          </w:p>
          <w:p w14:paraId="4692EC6F" w14:textId="77777777" w:rsidR="00497DBF" w:rsidRPr="00E93BC5" w:rsidRDefault="00202172" w:rsidP="00497DBF">
            <w:pPr>
              <w:spacing w:after="0"/>
              <w:rPr>
                <w:rFonts w:ascii="Times New Roman" w:hAnsi="Times New Roman"/>
                <w:sz w:val="24"/>
                <w:szCs w:val="24"/>
                <w:lang w:val="nl-NL"/>
              </w:rPr>
            </w:pPr>
            <w:r w:rsidRPr="00E93BC5">
              <w:rPr>
                <w:rFonts w:ascii="Times New Roman" w:hAnsi="Times New Roman"/>
                <w:sz w:val="24"/>
                <w:szCs w:val="24"/>
                <w:lang w:val="nl-NL"/>
              </w:rPr>
              <w:t>Từ 2015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- 2018</w:t>
            </w:r>
            <w:r w:rsidR="005C4036" w:rsidRPr="00E93BC5">
              <w:rPr>
                <w:rFonts w:ascii="Times New Roman" w:hAnsi="Times New Roman"/>
                <w:sz w:val="24"/>
                <w:szCs w:val="24"/>
                <w:lang w:val="nl-NL"/>
              </w:rPr>
              <w:t xml:space="preserve">: </w:t>
            </w:r>
            <w:r w:rsidRPr="00E93BC5">
              <w:rPr>
                <w:rFonts w:ascii="Times New Roman" w:hAnsi="Times New Roman"/>
                <w:sz w:val="24"/>
                <w:szCs w:val="24"/>
                <w:lang w:val="nl-NL"/>
              </w:rPr>
              <w:t>Giám đốc điều hành hoạt động/Giám đốc tài chính</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Công ty Ogilvy &amp; Mather Việt Nam</w:t>
            </w:r>
            <w:r w:rsidRPr="00E93BC5">
              <w:rPr>
                <w:rFonts w:ascii="Times New Roman" w:hAnsi="Times New Roman"/>
                <w:sz w:val="24"/>
                <w:szCs w:val="24"/>
                <w:lang w:val="nl-NL"/>
              </w:rPr>
              <w:br/>
              <w:t>Từ 6/2018</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 </w:t>
            </w:r>
            <w:r w:rsidR="00E16A0D" w:rsidRPr="00E93BC5">
              <w:rPr>
                <w:rFonts w:ascii="Times New Roman" w:hAnsi="Times New Roman"/>
                <w:sz w:val="24"/>
                <w:szCs w:val="24"/>
                <w:lang w:val="nl-NL"/>
              </w:rPr>
              <w:t>2019</w:t>
            </w:r>
            <w:r w:rsidRPr="00E93BC5">
              <w:rPr>
                <w:rFonts w:ascii="Times New Roman" w:hAnsi="Times New Roman"/>
                <w:sz w:val="24"/>
                <w:szCs w:val="24"/>
                <w:lang w:val="nl-NL"/>
              </w:rPr>
              <w:t>: Tổng giám đốc -</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Công ty Ogilvy &amp; Mather Việt Nam</w:t>
            </w:r>
            <w:r w:rsidR="00B85125" w:rsidRPr="00E93BC5">
              <w:rPr>
                <w:rFonts w:ascii="Times New Roman" w:hAnsi="Times New Roman"/>
                <w:sz w:val="24"/>
                <w:szCs w:val="24"/>
                <w:lang w:val="nl-NL"/>
              </w:rPr>
              <w:t>.</w:t>
            </w:r>
          </w:p>
        </w:tc>
      </w:tr>
      <w:tr w:rsidR="00202172" w:rsidRPr="004D5515" w14:paraId="31EBDD58" w14:textId="77777777" w:rsidTr="001E511A">
        <w:trPr>
          <w:trHeight w:val="1340"/>
        </w:trPr>
        <w:tc>
          <w:tcPr>
            <w:tcW w:w="1597"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3B9B44" w14:textId="77777777" w:rsidR="00202172" w:rsidRPr="00E93BC5" w:rsidRDefault="00202172" w:rsidP="001929F3">
            <w:pPr>
              <w:jc w:val="center"/>
              <w:rPr>
                <w:rFonts w:ascii="Times New Roman" w:hAnsi="Times New Roman"/>
                <w:sz w:val="24"/>
                <w:szCs w:val="24"/>
                <w:lang w:val="nl-NL"/>
              </w:rPr>
            </w:pPr>
            <w:r w:rsidRPr="00E93BC5">
              <w:rPr>
                <w:rFonts w:ascii="Times New Roman" w:hAnsi="Times New Roman"/>
                <w:sz w:val="24"/>
                <w:szCs w:val="24"/>
                <w:lang w:val="nl-NL"/>
              </w:rPr>
              <w:t>Trần Việt Hương</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6BC06335"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Thành viên</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4EAACA7C"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Luật sư</w:t>
            </w:r>
          </w:p>
        </w:tc>
        <w:tc>
          <w:tcPr>
            <w:tcW w:w="6300" w:type="dxa"/>
            <w:tcBorders>
              <w:top w:val="single" w:sz="4" w:space="0" w:color="000000"/>
              <w:left w:val="nil"/>
              <w:bottom w:val="single" w:sz="4" w:space="0" w:color="auto"/>
              <w:right w:val="single" w:sz="4" w:space="0" w:color="auto"/>
            </w:tcBorders>
            <w:shd w:val="clear" w:color="auto" w:fill="auto"/>
            <w:vAlign w:val="bottom"/>
            <w:hideMark/>
          </w:tcPr>
          <w:p w14:paraId="0926D5FC" w14:textId="77777777" w:rsidR="00202172" w:rsidRPr="00E93BC5" w:rsidRDefault="00202172" w:rsidP="00444BF6">
            <w:pPr>
              <w:rPr>
                <w:rFonts w:ascii="Times New Roman" w:hAnsi="Times New Roman"/>
                <w:sz w:val="24"/>
                <w:szCs w:val="24"/>
                <w:lang w:val="nl-NL"/>
              </w:rPr>
            </w:pPr>
            <w:r w:rsidRPr="00E93BC5">
              <w:rPr>
                <w:rFonts w:ascii="Times New Roman" w:hAnsi="Times New Roman"/>
                <w:sz w:val="24"/>
                <w:szCs w:val="24"/>
                <w:lang w:val="nl-NL"/>
              </w:rPr>
              <w:t>Từ 1995</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1997: Tư vấn thuế &amp; Đầu tư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kiểm toán và tư vấn Cooper &amp; Lybrand – AISC</w:t>
            </w:r>
            <w:r w:rsidRPr="00E93BC5">
              <w:rPr>
                <w:rFonts w:ascii="Times New Roman" w:hAnsi="Times New Roman"/>
                <w:sz w:val="24"/>
                <w:szCs w:val="24"/>
                <w:lang w:val="nl-NL"/>
              </w:rPr>
              <w:br/>
              <w:t>Từ 1998</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2000: Tư vấn thuế &amp; Đầu tư</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 Công ty Kiểm toán KPMG</w:t>
            </w:r>
            <w:r w:rsidRPr="00E93BC5">
              <w:rPr>
                <w:rFonts w:ascii="Times New Roman" w:hAnsi="Times New Roman"/>
                <w:sz w:val="24"/>
                <w:szCs w:val="24"/>
                <w:lang w:val="nl-NL"/>
              </w:rPr>
              <w:br/>
              <w:t>Từ 2000</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2003: Phó trưởng Đại diện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VPĐD Pacific Rim Enterprises, LLC</w:t>
            </w:r>
            <w:r w:rsidRPr="00E93BC5">
              <w:rPr>
                <w:rFonts w:ascii="Times New Roman" w:hAnsi="Times New Roman"/>
                <w:sz w:val="24"/>
                <w:szCs w:val="24"/>
                <w:lang w:val="nl-NL"/>
              </w:rPr>
              <w:br/>
              <w:t>Từ 2003</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2006: Phó giám đốc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TNHH Nhiệt Đới</w:t>
            </w:r>
            <w:r w:rsidRPr="00E93BC5">
              <w:rPr>
                <w:rFonts w:ascii="Times New Roman" w:hAnsi="Times New Roman"/>
                <w:sz w:val="24"/>
                <w:szCs w:val="24"/>
                <w:lang w:val="nl-NL"/>
              </w:rPr>
              <w:br/>
              <w:t>Từ 2006</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2008: Phó Tổng giám đốc</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 Công ty CP An Gia</w:t>
            </w:r>
            <w:r w:rsidRPr="00E93BC5">
              <w:rPr>
                <w:rFonts w:ascii="Times New Roman" w:hAnsi="Times New Roman"/>
                <w:sz w:val="24"/>
                <w:szCs w:val="24"/>
                <w:lang w:val="nl-NL"/>
              </w:rPr>
              <w:br/>
              <w:t>Từ 2011</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nay: Luật sư thành viên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luật Avenir</w:t>
            </w:r>
            <w:r w:rsidRPr="00E93BC5">
              <w:rPr>
                <w:rFonts w:ascii="Times New Roman" w:hAnsi="Times New Roman"/>
                <w:sz w:val="24"/>
                <w:szCs w:val="24"/>
                <w:lang w:val="nl-NL"/>
              </w:rPr>
              <w:br/>
              <w:t>Từ 2010</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00B80B17" w:rsidRPr="00E93BC5">
              <w:rPr>
                <w:rFonts w:ascii="Times New Roman" w:hAnsi="Times New Roman"/>
                <w:sz w:val="24"/>
                <w:szCs w:val="24"/>
                <w:lang w:val="nl-NL"/>
              </w:rPr>
              <w:t>nay</w:t>
            </w:r>
            <w:r w:rsidRPr="00E93BC5">
              <w:rPr>
                <w:rFonts w:ascii="Times New Roman" w:hAnsi="Times New Roman"/>
                <w:sz w:val="24"/>
                <w:szCs w:val="24"/>
                <w:lang w:val="nl-NL"/>
              </w:rPr>
              <w:t>: Giám đốc Điều hành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TNHH Mễ Tân</w:t>
            </w:r>
          </w:p>
        </w:tc>
      </w:tr>
      <w:bookmarkEnd w:id="2"/>
    </w:tbl>
    <w:p w14:paraId="0AB7CF52" w14:textId="77777777" w:rsidR="001929F3" w:rsidRDefault="001929F3" w:rsidP="00444BF6">
      <w:pPr>
        <w:jc w:val="both"/>
        <w:rPr>
          <w:rFonts w:ascii="Times New Roman" w:hAnsi="Times New Roman"/>
          <w:b/>
          <w:sz w:val="24"/>
          <w:szCs w:val="24"/>
          <w:lang w:val="nl-NL"/>
        </w:rPr>
      </w:pPr>
    </w:p>
    <w:p w14:paraId="067EF5D3" w14:textId="08AEDA76" w:rsidR="00202172" w:rsidRPr="00E93BC5" w:rsidRDefault="00202172" w:rsidP="00444BF6">
      <w:pPr>
        <w:jc w:val="both"/>
        <w:rPr>
          <w:rFonts w:ascii="Times New Roman" w:hAnsi="Times New Roman"/>
          <w:b/>
          <w:sz w:val="24"/>
          <w:szCs w:val="24"/>
          <w:lang w:val="nl-NL"/>
        </w:rPr>
      </w:pPr>
      <w:r w:rsidRPr="00E93BC5">
        <w:rPr>
          <w:rFonts w:ascii="Times New Roman" w:hAnsi="Times New Roman"/>
          <w:b/>
          <w:sz w:val="24"/>
          <w:szCs w:val="24"/>
          <w:lang w:val="nl-NL"/>
        </w:rPr>
        <w:t>Nhân sự điều hành Quỹ gồm có:</w:t>
      </w:r>
    </w:p>
    <w:tbl>
      <w:tblPr>
        <w:tblW w:w="10237" w:type="dxa"/>
        <w:tblInd w:w="108" w:type="dxa"/>
        <w:tblLook w:val="04A0" w:firstRow="1" w:lastRow="0" w:firstColumn="1" w:lastColumn="0" w:noHBand="0" w:noVBand="1"/>
      </w:tblPr>
      <w:tblGrid>
        <w:gridCol w:w="1507"/>
        <w:gridCol w:w="1260"/>
        <w:gridCol w:w="1170"/>
        <w:gridCol w:w="6300"/>
      </w:tblGrid>
      <w:tr w:rsidR="00202172" w:rsidRPr="00E93BC5" w14:paraId="044BB571" w14:textId="77777777" w:rsidTr="001929F3">
        <w:trPr>
          <w:trHeight w:val="524"/>
        </w:trPr>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9621D" w14:textId="77777777" w:rsidR="00202172" w:rsidRPr="00E93BC5" w:rsidRDefault="00202172" w:rsidP="00444BF6">
            <w:pPr>
              <w:jc w:val="center"/>
              <w:rPr>
                <w:rFonts w:ascii="Times New Roman" w:hAnsi="Times New Roman"/>
                <w:b/>
                <w:sz w:val="24"/>
                <w:szCs w:val="24"/>
                <w:lang w:val="nl-NL"/>
              </w:rPr>
            </w:pPr>
            <w:bookmarkStart w:id="3" w:name="_Hlk14191481"/>
            <w:r w:rsidRPr="00E93BC5">
              <w:rPr>
                <w:rFonts w:ascii="Times New Roman" w:hAnsi="Times New Roman"/>
                <w:b/>
                <w:sz w:val="24"/>
                <w:szCs w:val="24"/>
                <w:lang w:val="nl-NL"/>
              </w:rPr>
              <w:t>Họ và tên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025D0CC"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5C7E8EB"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13F4BCC"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202172" w:rsidRPr="004D5515" w14:paraId="55B43F99" w14:textId="77777777" w:rsidTr="001929F3">
        <w:trPr>
          <w:trHeight w:val="80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677C6BD7" w14:textId="77777777" w:rsidR="00202172" w:rsidRPr="00E93BC5" w:rsidRDefault="00FE2E33" w:rsidP="00444BF6">
            <w:pPr>
              <w:jc w:val="center"/>
              <w:rPr>
                <w:rFonts w:ascii="Times New Roman" w:hAnsi="Times New Roman"/>
                <w:sz w:val="24"/>
                <w:szCs w:val="24"/>
                <w:lang w:val="nl-NL"/>
              </w:rPr>
            </w:pPr>
            <w:r w:rsidRPr="00E93BC5">
              <w:rPr>
                <w:rFonts w:ascii="Times New Roman" w:hAnsi="Times New Roman"/>
                <w:sz w:val="24"/>
                <w:szCs w:val="24"/>
                <w:lang w:val="nl-NL"/>
              </w:rPr>
              <w:t>Nguyễn Thị Bích Ngọc</w:t>
            </w:r>
          </w:p>
        </w:tc>
        <w:tc>
          <w:tcPr>
            <w:tcW w:w="1260" w:type="dxa"/>
            <w:tcBorders>
              <w:top w:val="nil"/>
              <w:left w:val="nil"/>
              <w:bottom w:val="single" w:sz="4" w:space="0" w:color="auto"/>
              <w:right w:val="single" w:sz="4" w:space="0" w:color="auto"/>
            </w:tcBorders>
            <w:shd w:val="clear" w:color="auto" w:fill="auto"/>
            <w:noWrap/>
            <w:vAlign w:val="center"/>
            <w:hideMark/>
          </w:tcPr>
          <w:p w14:paraId="2B42155C"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213A46BC" w14:textId="77777777" w:rsidR="00202172" w:rsidRPr="00E93BC5" w:rsidRDefault="00FE2E33" w:rsidP="00444BF6">
            <w:pPr>
              <w:jc w:val="center"/>
              <w:rPr>
                <w:rFonts w:ascii="Times New Roman" w:hAnsi="Times New Roman"/>
                <w:sz w:val="24"/>
                <w:szCs w:val="24"/>
                <w:lang w:val="nl-NL"/>
              </w:rPr>
            </w:pPr>
            <w:r w:rsidRPr="00E93BC5">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53B86BBE" w14:textId="77777777" w:rsidR="00EF077C" w:rsidRPr="00E93BC5" w:rsidRDefault="00202172" w:rsidP="009C0EF7">
            <w:pPr>
              <w:spacing w:after="0"/>
              <w:rPr>
                <w:rFonts w:ascii="Times New Roman" w:hAnsi="Times New Roman"/>
                <w:sz w:val="24"/>
                <w:szCs w:val="24"/>
                <w:lang w:val="nl-NL"/>
              </w:rPr>
            </w:pPr>
            <w:r w:rsidRPr="00E93BC5">
              <w:rPr>
                <w:rFonts w:ascii="Times New Roman" w:hAnsi="Times New Roman"/>
                <w:sz w:val="24"/>
                <w:szCs w:val="24"/>
                <w:lang w:val="nl-NL"/>
              </w:rPr>
              <w:t>Từ 20</w:t>
            </w:r>
            <w:r w:rsidR="00D51B72" w:rsidRPr="00E93BC5">
              <w:rPr>
                <w:rFonts w:ascii="Times New Roman" w:hAnsi="Times New Roman"/>
                <w:sz w:val="24"/>
                <w:szCs w:val="24"/>
                <w:lang w:val="nl-NL"/>
              </w:rPr>
              <w:t>03</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w:t>
            </w:r>
            <w:r w:rsidR="00D51B72" w:rsidRPr="00E93BC5">
              <w:rPr>
                <w:rFonts w:ascii="Times New Roman" w:hAnsi="Times New Roman"/>
                <w:sz w:val="24"/>
                <w:szCs w:val="24"/>
                <w:lang w:val="nl-NL"/>
              </w:rPr>
              <w:t>06</w:t>
            </w:r>
            <w:r w:rsidRPr="00E93BC5">
              <w:rPr>
                <w:rFonts w:ascii="Times New Roman" w:hAnsi="Times New Roman"/>
                <w:sz w:val="24"/>
                <w:szCs w:val="24"/>
                <w:lang w:val="nl-NL"/>
              </w:rPr>
              <w:t xml:space="preserve">: </w:t>
            </w:r>
            <w:r w:rsidR="00D51B72" w:rsidRPr="00E93BC5">
              <w:rPr>
                <w:rFonts w:ascii="Times New Roman" w:hAnsi="Times New Roman"/>
                <w:sz w:val="24"/>
                <w:szCs w:val="24"/>
                <w:lang w:val="nl-NL"/>
              </w:rPr>
              <w:t>Nhân viên giao dịch – Cty Cổ phần Chứng Khoán Mê K</w:t>
            </w:r>
            <w:r w:rsidR="00142DBD" w:rsidRPr="00E93BC5">
              <w:rPr>
                <w:rFonts w:ascii="Times New Roman" w:hAnsi="Times New Roman"/>
                <w:sz w:val="24"/>
                <w:szCs w:val="24"/>
                <w:lang w:val="nl-NL"/>
              </w:rPr>
              <w:t>ô</w:t>
            </w:r>
            <w:r w:rsidR="00D51B72" w:rsidRPr="00E93BC5">
              <w:rPr>
                <w:rFonts w:ascii="Times New Roman" w:hAnsi="Times New Roman"/>
                <w:sz w:val="24"/>
                <w:szCs w:val="24"/>
                <w:lang w:val="nl-NL"/>
              </w:rPr>
              <w:t>ng</w:t>
            </w:r>
            <w:r w:rsidR="00142DBD" w:rsidRPr="00E93BC5">
              <w:rPr>
                <w:rFonts w:ascii="Times New Roman" w:hAnsi="Times New Roman"/>
                <w:sz w:val="24"/>
                <w:szCs w:val="24"/>
                <w:lang w:val="nl-NL"/>
              </w:rPr>
              <w:t>.</w:t>
            </w:r>
            <w:r w:rsidRPr="00E93BC5">
              <w:rPr>
                <w:rFonts w:ascii="Times New Roman" w:hAnsi="Times New Roman"/>
                <w:sz w:val="24"/>
                <w:szCs w:val="24"/>
                <w:lang w:val="nl-NL"/>
              </w:rPr>
              <w:br/>
              <w:t>Từ 20</w:t>
            </w:r>
            <w:r w:rsidR="00D51B72" w:rsidRPr="00E93BC5">
              <w:rPr>
                <w:rFonts w:ascii="Times New Roman" w:hAnsi="Times New Roman"/>
                <w:sz w:val="24"/>
                <w:szCs w:val="24"/>
                <w:lang w:val="nl-NL"/>
              </w:rPr>
              <w:t>07</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w:t>
            </w:r>
            <w:r w:rsidR="00D51B72" w:rsidRPr="00E93BC5">
              <w:rPr>
                <w:rFonts w:ascii="Times New Roman" w:hAnsi="Times New Roman"/>
                <w:sz w:val="24"/>
                <w:szCs w:val="24"/>
                <w:lang w:val="nl-NL"/>
              </w:rPr>
              <w:t>11</w:t>
            </w:r>
            <w:r w:rsidRPr="00E93BC5">
              <w:rPr>
                <w:rFonts w:ascii="Times New Roman" w:hAnsi="Times New Roman"/>
                <w:sz w:val="24"/>
                <w:szCs w:val="24"/>
                <w:lang w:val="nl-NL"/>
              </w:rPr>
              <w:t xml:space="preserve">: </w:t>
            </w:r>
            <w:r w:rsidR="00D51B72" w:rsidRPr="00E93BC5">
              <w:rPr>
                <w:rFonts w:ascii="Times New Roman" w:hAnsi="Times New Roman"/>
                <w:sz w:val="24"/>
                <w:szCs w:val="24"/>
                <w:lang w:val="nl-NL"/>
              </w:rPr>
              <w:t>Trưởng phòng DVKH – Công ty CP Chứng khoán Quốc tế Việt Nam</w:t>
            </w:r>
            <w:r w:rsidR="00142DBD" w:rsidRPr="00E93BC5">
              <w:rPr>
                <w:rFonts w:ascii="Times New Roman" w:hAnsi="Times New Roman"/>
                <w:sz w:val="24"/>
                <w:szCs w:val="24"/>
                <w:lang w:val="nl-NL"/>
              </w:rPr>
              <w:t>.</w:t>
            </w:r>
            <w:r w:rsidRPr="00E93BC5">
              <w:rPr>
                <w:rFonts w:ascii="Times New Roman" w:hAnsi="Times New Roman"/>
                <w:sz w:val="24"/>
                <w:szCs w:val="24"/>
                <w:lang w:val="nl-NL"/>
              </w:rPr>
              <w:br/>
              <w:t>Từ 201</w:t>
            </w:r>
            <w:r w:rsidR="00142DBD" w:rsidRPr="00E93BC5">
              <w:rPr>
                <w:rFonts w:ascii="Times New Roman" w:hAnsi="Times New Roman"/>
                <w:sz w:val="24"/>
                <w:szCs w:val="24"/>
                <w:lang w:val="nl-NL"/>
              </w:rPr>
              <w:t>1</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201</w:t>
            </w:r>
            <w:r w:rsidR="00142DBD" w:rsidRPr="00E93BC5">
              <w:rPr>
                <w:rFonts w:ascii="Times New Roman" w:hAnsi="Times New Roman"/>
                <w:sz w:val="24"/>
                <w:szCs w:val="24"/>
                <w:lang w:val="nl-NL"/>
              </w:rPr>
              <w:t>2</w:t>
            </w:r>
            <w:r w:rsidRPr="00E93BC5">
              <w:rPr>
                <w:rFonts w:ascii="Times New Roman" w:hAnsi="Times New Roman"/>
                <w:sz w:val="24"/>
                <w:szCs w:val="24"/>
                <w:lang w:val="nl-NL"/>
              </w:rPr>
              <w:t xml:space="preserve">: </w:t>
            </w:r>
            <w:r w:rsidR="00142DBD" w:rsidRPr="00E93BC5">
              <w:rPr>
                <w:rFonts w:ascii="Times New Roman" w:hAnsi="Times New Roman"/>
                <w:sz w:val="24"/>
                <w:szCs w:val="24"/>
                <w:lang w:val="nl-NL"/>
              </w:rPr>
              <w:t>Trưởng phòng Môi giới – Cty CP Chứng khoán Golden Bridge.</w:t>
            </w:r>
            <w:r w:rsidRPr="00E93BC5">
              <w:rPr>
                <w:rFonts w:ascii="Times New Roman" w:hAnsi="Times New Roman"/>
                <w:sz w:val="24"/>
                <w:szCs w:val="24"/>
                <w:lang w:val="nl-NL"/>
              </w:rPr>
              <w:br/>
              <w:t>Từ 2013</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00142DBD" w:rsidRPr="00E93BC5">
              <w:rPr>
                <w:rFonts w:ascii="Times New Roman" w:hAnsi="Times New Roman"/>
                <w:sz w:val="24"/>
                <w:szCs w:val="24"/>
                <w:lang w:val="nl-NL"/>
              </w:rPr>
              <w:t>2015</w:t>
            </w:r>
            <w:r w:rsidRPr="00E93BC5">
              <w:rPr>
                <w:rFonts w:ascii="Times New Roman" w:hAnsi="Times New Roman"/>
                <w:sz w:val="24"/>
                <w:szCs w:val="24"/>
                <w:lang w:val="nl-NL"/>
              </w:rPr>
              <w:t xml:space="preserve">: </w:t>
            </w:r>
            <w:r w:rsidR="00142DBD" w:rsidRPr="00E93BC5">
              <w:rPr>
                <w:rFonts w:ascii="Times New Roman" w:hAnsi="Times New Roman"/>
                <w:sz w:val="24"/>
                <w:szCs w:val="24"/>
                <w:lang w:val="nl-NL"/>
              </w:rPr>
              <w:t>Phụ trách phòng Phát triển khách hàng – Công ty CP Chứng khoán MB.</w:t>
            </w:r>
          </w:p>
          <w:p w14:paraId="650A42DF" w14:textId="1DB3BA2E" w:rsidR="00142DBD" w:rsidRPr="00E93BC5" w:rsidRDefault="00142DBD" w:rsidP="009C0EF7">
            <w:pPr>
              <w:spacing w:after="0"/>
              <w:rPr>
                <w:rFonts w:ascii="Times New Roman" w:hAnsi="Times New Roman"/>
                <w:sz w:val="24"/>
                <w:szCs w:val="24"/>
                <w:lang w:val="nl-NL"/>
              </w:rPr>
            </w:pPr>
            <w:r w:rsidRPr="00E93BC5">
              <w:rPr>
                <w:rFonts w:ascii="Times New Roman" w:hAnsi="Times New Roman"/>
                <w:sz w:val="24"/>
                <w:szCs w:val="24"/>
                <w:lang w:val="nl-NL"/>
              </w:rPr>
              <w:t>Từ 201</w:t>
            </w:r>
            <w:r w:rsidR="00EF077C" w:rsidRPr="00E93BC5">
              <w:rPr>
                <w:rFonts w:ascii="Times New Roman" w:hAnsi="Times New Roman"/>
                <w:sz w:val="24"/>
                <w:szCs w:val="24"/>
                <w:lang w:val="nl-NL"/>
              </w:rPr>
              <w:t>5</w:t>
            </w:r>
            <w:r w:rsidRPr="00E93BC5">
              <w:rPr>
                <w:rFonts w:ascii="Times New Roman" w:hAnsi="Times New Roman"/>
                <w:sz w:val="24"/>
                <w:szCs w:val="24"/>
                <w:lang w:val="nl-NL"/>
              </w:rPr>
              <w:t xml:space="preserve"> – </w:t>
            </w:r>
            <w:r w:rsidR="00D0386E" w:rsidRPr="00E93BC5">
              <w:rPr>
                <w:rFonts w:ascii="Times New Roman" w:hAnsi="Times New Roman"/>
                <w:sz w:val="24"/>
                <w:szCs w:val="24"/>
                <w:lang w:val="nl-NL"/>
              </w:rPr>
              <w:t>nay</w:t>
            </w:r>
            <w:r w:rsidRPr="00E93BC5">
              <w:rPr>
                <w:rFonts w:ascii="Times New Roman" w:hAnsi="Times New Roman"/>
                <w:sz w:val="24"/>
                <w:szCs w:val="24"/>
                <w:lang w:val="nl-NL"/>
              </w:rPr>
              <w:t xml:space="preserve">: </w:t>
            </w:r>
            <w:r w:rsidR="00BF72B0">
              <w:rPr>
                <w:rFonts w:ascii="Times New Roman" w:hAnsi="Times New Roman"/>
                <w:sz w:val="24"/>
                <w:szCs w:val="24"/>
                <w:lang w:val="nl-NL"/>
              </w:rPr>
              <w:t>Trưởng</w:t>
            </w:r>
            <w:r w:rsidRPr="00E93BC5">
              <w:rPr>
                <w:rFonts w:ascii="Times New Roman" w:hAnsi="Times New Roman"/>
                <w:sz w:val="24"/>
                <w:szCs w:val="24"/>
                <w:lang w:val="nl-NL"/>
              </w:rPr>
              <w:t xml:space="preserve"> phòng Công ty TNHH MTV Quản </w:t>
            </w:r>
            <w:r w:rsidR="00D0386E" w:rsidRPr="00E93BC5">
              <w:rPr>
                <w:rFonts w:ascii="Times New Roman" w:hAnsi="Times New Roman"/>
                <w:sz w:val="24"/>
                <w:szCs w:val="24"/>
                <w:lang w:val="nl-NL"/>
              </w:rPr>
              <w:t xml:space="preserve">lý </w:t>
            </w:r>
            <w:r w:rsidRPr="00E93BC5">
              <w:rPr>
                <w:rFonts w:ascii="Times New Roman" w:hAnsi="Times New Roman"/>
                <w:sz w:val="24"/>
                <w:szCs w:val="24"/>
                <w:lang w:val="nl-NL"/>
              </w:rPr>
              <w:t>Quỹ Chubb Life.</w:t>
            </w:r>
          </w:p>
        </w:tc>
      </w:tr>
      <w:tr w:rsidR="00202172" w:rsidRPr="004D5515" w14:paraId="67D343EE" w14:textId="77777777" w:rsidTr="001929F3">
        <w:trPr>
          <w:trHeight w:val="1907"/>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7EF8C192"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lastRenderedPageBreak/>
              <w:t xml:space="preserve">Đinh Thị Hồng </w:t>
            </w:r>
            <w:r w:rsidR="000A231C" w:rsidRPr="00E93BC5">
              <w:rPr>
                <w:rFonts w:ascii="Times New Roman" w:hAnsi="Times New Roman"/>
                <w:sz w:val="24"/>
                <w:szCs w:val="24"/>
                <w:lang w:val="nl-NL"/>
              </w:rPr>
              <w:t>Vân</w:t>
            </w:r>
          </w:p>
        </w:tc>
        <w:tc>
          <w:tcPr>
            <w:tcW w:w="1260" w:type="dxa"/>
            <w:tcBorders>
              <w:top w:val="nil"/>
              <w:left w:val="nil"/>
              <w:bottom w:val="single" w:sz="4" w:space="0" w:color="auto"/>
              <w:right w:val="single" w:sz="4" w:space="0" w:color="auto"/>
            </w:tcBorders>
            <w:shd w:val="clear" w:color="auto" w:fill="auto"/>
            <w:noWrap/>
            <w:vAlign w:val="center"/>
            <w:hideMark/>
          </w:tcPr>
          <w:p w14:paraId="2826FAF2"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7A75E7F5" w14:textId="77777777" w:rsidR="00202172" w:rsidRPr="00E93BC5" w:rsidRDefault="000A231C" w:rsidP="00444BF6">
            <w:pPr>
              <w:jc w:val="center"/>
              <w:rPr>
                <w:rFonts w:ascii="Times New Roman" w:hAnsi="Times New Roman"/>
                <w:sz w:val="24"/>
                <w:szCs w:val="24"/>
                <w:lang w:val="nl-NL"/>
              </w:rPr>
            </w:pPr>
            <w:r w:rsidRPr="00E93BC5">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67F73A49" w14:textId="77777777" w:rsidR="00FC5AAA" w:rsidRPr="00E93BC5" w:rsidRDefault="00D032C7" w:rsidP="00FC5AAA">
            <w:pPr>
              <w:spacing w:after="0"/>
              <w:rPr>
                <w:rFonts w:ascii="Times New Roman" w:hAnsi="Times New Roman"/>
                <w:sz w:val="24"/>
                <w:szCs w:val="24"/>
                <w:lang w:val="nl-NL"/>
              </w:rPr>
            </w:pPr>
            <w:r w:rsidRPr="00E93BC5">
              <w:rPr>
                <w:rFonts w:ascii="Times New Roman" w:hAnsi="Times New Roman"/>
                <w:sz w:val="24"/>
                <w:szCs w:val="24"/>
                <w:lang w:val="nl-NL"/>
              </w:rPr>
              <w:t>Từ 09/2011-12/2011: Nhân viên phân tích tài chính – Công ty CP Đầu tư Long Quân.</w:t>
            </w:r>
            <w:r w:rsidRPr="00E93BC5">
              <w:rPr>
                <w:rFonts w:ascii="Times New Roman" w:hAnsi="Times New Roman"/>
                <w:sz w:val="24"/>
                <w:szCs w:val="24"/>
                <w:lang w:val="nl-NL"/>
              </w:rPr>
              <w:br/>
              <w:t>Từ 01/2012-01/2020: Nhân viên phân tích đầu tư - Công ty CP Quản lý quỹ Đầu tư chứng khoán Việt Long.</w:t>
            </w:r>
            <w:r w:rsidRPr="00E93BC5">
              <w:rPr>
                <w:rFonts w:ascii="Times New Roman" w:hAnsi="Times New Roman"/>
                <w:sz w:val="24"/>
                <w:szCs w:val="24"/>
                <w:lang w:val="nl-NL"/>
              </w:rPr>
              <w:br/>
              <w:t xml:space="preserve">Từ 02/2020 – 09/2020: Phó Giám đốc Tài chính – Kế hoạch Tổng Công ty Bến Thành TNHH MTV </w:t>
            </w:r>
          </w:p>
          <w:p w14:paraId="18509E3D" w14:textId="375B26DF" w:rsidR="00202172" w:rsidRPr="00E93BC5" w:rsidRDefault="00D032C7" w:rsidP="00FC5AAA">
            <w:pPr>
              <w:spacing w:after="0"/>
              <w:rPr>
                <w:rFonts w:ascii="Times New Roman" w:hAnsi="Times New Roman"/>
                <w:sz w:val="24"/>
                <w:szCs w:val="24"/>
                <w:lang w:val="nl-NL"/>
              </w:rPr>
            </w:pPr>
            <w:r w:rsidRPr="00E93BC5">
              <w:rPr>
                <w:rFonts w:ascii="Times New Roman" w:hAnsi="Times New Roman"/>
                <w:sz w:val="24"/>
                <w:szCs w:val="24"/>
                <w:lang w:val="nl-NL"/>
              </w:rPr>
              <w:t>Từ 09/2020 đến nay: Giám sát</w:t>
            </w:r>
            <w:r w:rsidR="0026726B">
              <w:rPr>
                <w:rFonts w:ascii="Times New Roman" w:hAnsi="Times New Roman"/>
                <w:sz w:val="24"/>
                <w:szCs w:val="24"/>
                <w:lang w:val="nl-NL"/>
              </w:rPr>
              <w:t xml:space="preserve"> cấp </w:t>
            </w:r>
            <w:r w:rsidR="00BF72B0">
              <w:rPr>
                <w:rFonts w:ascii="Times New Roman" w:hAnsi="Times New Roman"/>
                <w:sz w:val="24"/>
                <w:szCs w:val="24"/>
                <w:lang w:val="nl-NL"/>
              </w:rPr>
              <w:t>cao</w:t>
            </w:r>
            <w:r w:rsidRPr="00E93BC5">
              <w:rPr>
                <w:rFonts w:ascii="Times New Roman" w:hAnsi="Times New Roman"/>
                <w:sz w:val="24"/>
                <w:szCs w:val="24"/>
                <w:lang w:val="nl-NL"/>
              </w:rPr>
              <w:t xml:space="preserve"> - Công ty TNHH MTV Quản lý Quỹ Chubb Life.</w:t>
            </w:r>
          </w:p>
        </w:tc>
      </w:tr>
      <w:bookmarkEnd w:id="3"/>
    </w:tbl>
    <w:tbl>
      <w:tblPr>
        <w:tblStyle w:val="TableGrid"/>
        <w:tblW w:w="0" w:type="auto"/>
        <w:tblLook w:val="04A0" w:firstRow="1" w:lastRow="0" w:firstColumn="1" w:lastColumn="0" w:noHBand="0" w:noVBand="1"/>
      </w:tblPr>
      <w:tblGrid>
        <w:gridCol w:w="4943"/>
        <w:gridCol w:w="4957"/>
      </w:tblGrid>
      <w:tr w:rsidR="00150086" w:rsidRPr="004D5515" w14:paraId="3BDA13B7" w14:textId="77777777" w:rsidTr="00E15901">
        <w:trPr>
          <w:trHeight w:val="1700"/>
        </w:trPr>
        <w:tc>
          <w:tcPr>
            <w:tcW w:w="5027" w:type="dxa"/>
            <w:tcBorders>
              <w:top w:val="nil"/>
              <w:left w:val="nil"/>
              <w:bottom w:val="nil"/>
              <w:right w:val="nil"/>
            </w:tcBorders>
          </w:tcPr>
          <w:p w14:paraId="2EE1DD06" w14:textId="77777777" w:rsidR="00150086" w:rsidRPr="00E93BC5" w:rsidRDefault="00150086" w:rsidP="00B3750F">
            <w:pPr>
              <w:jc w:val="both"/>
              <w:rPr>
                <w:rFonts w:ascii="Times New Roman" w:hAnsi="Times New Roman"/>
                <w:sz w:val="24"/>
                <w:szCs w:val="24"/>
                <w:lang w:val="nl-NL"/>
              </w:rPr>
            </w:pPr>
          </w:p>
        </w:tc>
        <w:tc>
          <w:tcPr>
            <w:tcW w:w="5027" w:type="dxa"/>
            <w:tcBorders>
              <w:top w:val="nil"/>
              <w:left w:val="nil"/>
              <w:bottom w:val="nil"/>
              <w:right w:val="nil"/>
            </w:tcBorders>
          </w:tcPr>
          <w:p w14:paraId="29E907AC" w14:textId="77777777" w:rsidR="000C3D77" w:rsidRPr="00E93BC5" w:rsidRDefault="000C3D77" w:rsidP="00E15901">
            <w:pPr>
              <w:jc w:val="center"/>
              <w:rPr>
                <w:rFonts w:ascii="Times New Roman" w:hAnsi="Times New Roman"/>
                <w:b/>
                <w:sz w:val="24"/>
                <w:szCs w:val="24"/>
                <w:lang w:val="nl-NL"/>
              </w:rPr>
            </w:pPr>
          </w:p>
          <w:p w14:paraId="6BD818D0" w14:textId="77777777" w:rsidR="00150086" w:rsidRPr="00E93BC5" w:rsidRDefault="00E15901" w:rsidP="00E15901">
            <w:pPr>
              <w:jc w:val="center"/>
              <w:rPr>
                <w:rFonts w:ascii="Times New Roman" w:hAnsi="Times New Roman"/>
                <w:b/>
                <w:sz w:val="24"/>
                <w:szCs w:val="24"/>
                <w:lang w:val="nl-NL"/>
              </w:rPr>
            </w:pPr>
            <w:r w:rsidRPr="00E93BC5">
              <w:rPr>
                <w:rFonts w:ascii="Times New Roman" w:hAnsi="Times New Roman"/>
                <w:b/>
                <w:sz w:val="24"/>
                <w:szCs w:val="24"/>
                <w:lang w:val="nl-NL"/>
              </w:rPr>
              <w:t>ĐẠI DIỆN CÔNG TY QLQ CHUBB LIFE</w:t>
            </w:r>
          </w:p>
          <w:p w14:paraId="5C3CE0C4" w14:textId="16BB5CA8" w:rsidR="00E15901" w:rsidRPr="00E93BC5" w:rsidRDefault="000F44DE" w:rsidP="00E15901">
            <w:pPr>
              <w:jc w:val="center"/>
              <w:rPr>
                <w:rFonts w:ascii="Times New Roman" w:hAnsi="Times New Roman"/>
                <w:b/>
                <w:sz w:val="24"/>
                <w:szCs w:val="24"/>
                <w:lang w:val="nl-NL"/>
              </w:rPr>
            </w:pPr>
            <w:r w:rsidRPr="00E93BC5">
              <w:rPr>
                <w:rFonts w:ascii="Times New Roman" w:hAnsi="Times New Roman"/>
                <w:b/>
                <w:sz w:val="24"/>
                <w:szCs w:val="24"/>
                <w:lang w:val="nl-NL"/>
              </w:rPr>
              <w:t>Chủ tịch Công ty</w:t>
            </w:r>
          </w:p>
          <w:p w14:paraId="2687AD20" w14:textId="77777777" w:rsidR="006377D3" w:rsidRPr="00E93BC5" w:rsidRDefault="006377D3" w:rsidP="007A0A23">
            <w:pPr>
              <w:rPr>
                <w:rFonts w:ascii="Times New Roman" w:hAnsi="Times New Roman"/>
                <w:b/>
                <w:sz w:val="24"/>
                <w:szCs w:val="24"/>
                <w:lang w:val="nl-NL"/>
              </w:rPr>
            </w:pPr>
          </w:p>
          <w:p w14:paraId="3E096A02" w14:textId="77777777" w:rsidR="002B3684" w:rsidRPr="00E93BC5" w:rsidRDefault="002B3684" w:rsidP="007A0A23">
            <w:pPr>
              <w:rPr>
                <w:rFonts w:ascii="Times New Roman" w:hAnsi="Times New Roman"/>
                <w:b/>
                <w:sz w:val="24"/>
                <w:szCs w:val="24"/>
                <w:lang w:val="nl-NL"/>
              </w:rPr>
            </w:pPr>
          </w:p>
          <w:p w14:paraId="0A34B036" w14:textId="77777777" w:rsidR="002B3684" w:rsidRPr="00E93BC5" w:rsidRDefault="002B3684" w:rsidP="007A0A23">
            <w:pPr>
              <w:rPr>
                <w:rFonts w:ascii="Times New Roman" w:hAnsi="Times New Roman"/>
                <w:b/>
                <w:sz w:val="24"/>
                <w:szCs w:val="24"/>
                <w:lang w:val="nl-NL"/>
              </w:rPr>
            </w:pPr>
          </w:p>
          <w:p w14:paraId="2258C729" w14:textId="77777777" w:rsidR="002B3684" w:rsidRPr="00E93BC5" w:rsidRDefault="002B3684" w:rsidP="007A0A23">
            <w:pPr>
              <w:rPr>
                <w:rFonts w:ascii="Times New Roman" w:hAnsi="Times New Roman"/>
                <w:b/>
                <w:sz w:val="24"/>
                <w:szCs w:val="24"/>
                <w:lang w:val="nl-NL"/>
              </w:rPr>
            </w:pPr>
          </w:p>
          <w:p w14:paraId="42DD2492" w14:textId="77777777" w:rsidR="002B3684" w:rsidRPr="00E93BC5" w:rsidRDefault="002B3684" w:rsidP="007A0A23">
            <w:pPr>
              <w:rPr>
                <w:rFonts w:ascii="Times New Roman" w:hAnsi="Times New Roman"/>
                <w:b/>
                <w:sz w:val="24"/>
                <w:szCs w:val="24"/>
                <w:lang w:val="nl-NL"/>
              </w:rPr>
            </w:pPr>
          </w:p>
          <w:p w14:paraId="38D0C31D" w14:textId="52A5E5F6" w:rsidR="00E15901" w:rsidRPr="00E93BC5" w:rsidRDefault="00BF72B0" w:rsidP="004D11B4">
            <w:pPr>
              <w:jc w:val="center"/>
              <w:rPr>
                <w:rFonts w:ascii="Times New Roman" w:hAnsi="Times New Roman"/>
                <w:sz w:val="24"/>
                <w:szCs w:val="24"/>
                <w:lang w:val="nl-NL"/>
              </w:rPr>
            </w:pPr>
            <w:r>
              <w:rPr>
                <w:rFonts w:ascii="Times New Roman" w:hAnsi="Times New Roman"/>
                <w:b/>
                <w:sz w:val="24"/>
                <w:szCs w:val="24"/>
                <w:lang w:val="nl-NL"/>
              </w:rPr>
              <w:t>Nguyễn Hồng Sơn</w:t>
            </w:r>
          </w:p>
        </w:tc>
      </w:tr>
    </w:tbl>
    <w:p w14:paraId="383327B3" w14:textId="77777777" w:rsidR="005F0B26" w:rsidRPr="00E93BC5" w:rsidRDefault="005F0B26" w:rsidP="00B3750F">
      <w:pPr>
        <w:jc w:val="both"/>
        <w:rPr>
          <w:rFonts w:ascii="Times New Roman" w:hAnsi="Times New Roman"/>
          <w:sz w:val="24"/>
          <w:szCs w:val="24"/>
          <w:lang w:val="nl-NL"/>
        </w:rPr>
      </w:pPr>
    </w:p>
    <w:sectPr w:rsidR="005F0B26" w:rsidRPr="00E93BC5" w:rsidSect="009078D0">
      <w:headerReference w:type="even" r:id="rId13"/>
      <w:headerReference w:type="default" r:id="rId14"/>
      <w:footerReference w:type="even" r:id="rId15"/>
      <w:footerReference w:type="default" r:id="rId16"/>
      <w:headerReference w:type="first" r:id="rId17"/>
      <w:footerReference w:type="first" r:id="rId18"/>
      <w:pgSz w:w="12240" w:h="15840"/>
      <w:pgMar w:top="630" w:right="900" w:bottom="63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CED8" w14:textId="77777777" w:rsidR="00AF0080" w:rsidRDefault="00AF0080" w:rsidP="00621E6D">
      <w:pPr>
        <w:spacing w:after="0" w:line="240" w:lineRule="auto"/>
      </w:pPr>
      <w:r>
        <w:separator/>
      </w:r>
    </w:p>
  </w:endnote>
  <w:endnote w:type="continuationSeparator" w:id="0">
    <w:p w14:paraId="7236D639" w14:textId="77777777" w:rsidR="00AF0080" w:rsidRDefault="00AF0080"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0A6E" w14:textId="77777777" w:rsidR="00AF0080" w:rsidRDefault="00AF0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53624"/>
      <w:docPartObj>
        <w:docPartGallery w:val="Page Numbers (Bottom of Page)"/>
        <w:docPartUnique/>
      </w:docPartObj>
    </w:sdtPr>
    <w:sdtEndPr>
      <w:rPr>
        <w:noProof/>
      </w:rPr>
    </w:sdtEndPr>
    <w:sdtContent>
      <w:p w14:paraId="0CF239F1" w14:textId="77777777" w:rsidR="00AF0080" w:rsidRDefault="00AF0080">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3A59370" w14:textId="77777777" w:rsidR="00AF0080" w:rsidRDefault="00AF0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199B" w14:textId="77777777" w:rsidR="00AF0080" w:rsidRDefault="00AF0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CEE9" w14:textId="77777777" w:rsidR="00AF0080" w:rsidRDefault="00AF0080" w:rsidP="00621E6D">
      <w:pPr>
        <w:spacing w:after="0" w:line="240" w:lineRule="auto"/>
      </w:pPr>
      <w:r>
        <w:separator/>
      </w:r>
    </w:p>
  </w:footnote>
  <w:footnote w:type="continuationSeparator" w:id="0">
    <w:p w14:paraId="7D126308" w14:textId="77777777" w:rsidR="00AF0080" w:rsidRDefault="00AF0080"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DFEF" w14:textId="77777777" w:rsidR="00AF0080" w:rsidRDefault="00AF0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8D5B" w14:textId="77777777" w:rsidR="00AF0080" w:rsidRDefault="00AF0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8EE6" w14:textId="77777777" w:rsidR="00AF0080" w:rsidRDefault="00AF0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90"/>
    <w:multiLevelType w:val="hybridMultilevel"/>
    <w:tmpl w:val="500C2E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1B949BB"/>
    <w:multiLevelType w:val="hybridMultilevel"/>
    <w:tmpl w:val="7B1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80223"/>
    <w:multiLevelType w:val="hybridMultilevel"/>
    <w:tmpl w:val="6456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07400"/>
    <w:multiLevelType w:val="hybridMultilevel"/>
    <w:tmpl w:val="DD1C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46A3E68"/>
    <w:multiLevelType w:val="hybridMultilevel"/>
    <w:tmpl w:val="D7FE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E83330"/>
    <w:multiLevelType w:val="hybridMultilevel"/>
    <w:tmpl w:val="CE38E9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C855A9B"/>
    <w:multiLevelType w:val="hybridMultilevel"/>
    <w:tmpl w:val="8152AE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6C70562F"/>
    <w:multiLevelType w:val="hybridMultilevel"/>
    <w:tmpl w:val="233882DA"/>
    <w:lvl w:ilvl="0" w:tplc="48090001">
      <w:start w:val="1"/>
      <w:numFmt w:val="bullet"/>
      <w:lvlText w:val=""/>
      <w:lvlJc w:val="left"/>
      <w:pPr>
        <w:ind w:left="1440" w:hanging="360"/>
      </w:pPr>
      <w:rPr>
        <w:rFonts w:ascii="Symbol" w:hAnsi="Symbol" w:hint="default"/>
      </w:r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start w:val="1"/>
      <w:numFmt w:val="decimal"/>
      <w:lvlText w:val="%4."/>
      <w:lvlJc w:val="left"/>
      <w:pPr>
        <w:ind w:left="3600" w:hanging="360"/>
      </w:pPr>
    </w:lvl>
    <w:lvl w:ilvl="4" w:tplc="48090019">
      <w:start w:val="1"/>
      <w:numFmt w:val="lowerLetter"/>
      <w:lvlText w:val="%5."/>
      <w:lvlJc w:val="left"/>
      <w:pPr>
        <w:ind w:left="4320" w:hanging="360"/>
      </w:pPr>
    </w:lvl>
    <w:lvl w:ilvl="5" w:tplc="4809001B">
      <w:start w:val="1"/>
      <w:numFmt w:val="lowerRoman"/>
      <w:lvlText w:val="%6."/>
      <w:lvlJc w:val="right"/>
      <w:pPr>
        <w:ind w:left="5040" w:hanging="180"/>
      </w:pPr>
    </w:lvl>
    <w:lvl w:ilvl="6" w:tplc="4809000F">
      <w:start w:val="1"/>
      <w:numFmt w:val="decimal"/>
      <w:lvlText w:val="%7."/>
      <w:lvlJc w:val="left"/>
      <w:pPr>
        <w:ind w:left="5760" w:hanging="360"/>
      </w:pPr>
    </w:lvl>
    <w:lvl w:ilvl="7" w:tplc="48090019">
      <w:start w:val="1"/>
      <w:numFmt w:val="lowerLetter"/>
      <w:lvlText w:val="%8."/>
      <w:lvlJc w:val="left"/>
      <w:pPr>
        <w:ind w:left="6480" w:hanging="360"/>
      </w:pPr>
    </w:lvl>
    <w:lvl w:ilvl="8" w:tplc="4809001B">
      <w:start w:val="1"/>
      <w:numFmt w:val="lowerRoman"/>
      <w:lvlText w:val="%9."/>
      <w:lvlJc w:val="right"/>
      <w:pPr>
        <w:ind w:left="7200" w:hanging="180"/>
      </w:pPr>
    </w:lvl>
  </w:abstractNum>
  <w:abstractNum w:abstractNumId="14" w15:restartNumberingAfterBreak="0">
    <w:nsid w:val="6E881EF1"/>
    <w:multiLevelType w:val="hybridMultilevel"/>
    <w:tmpl w:val="B058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749A0128"/>
    <w:multiLevelType w:val="hybridMultilevel"/>
    <w:tmpl w:val="966C595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74AE0261"/>
    <w:multiLevelType w:val="hybridMultilevel"/>
    <w:tmpl w:val="0E042128"/>
    <w:lvl w:ilvl="0" w:tplc="B944E788">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60571C8"/>
    <w:multiLevelType w:val="hybridMultilevel"/>
    <w:tmpl w:val="433E2138"/>
    <w:lvl w:ilvl="0" w:tplc="BB785E3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F151E48"/>
    <w:multiLevelType w:val="hybridMultilevel"/>
    <w:tmpl w:val="EF6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242675">
    <w:abstractNumId w:val="7"/>
  </w:num>
  <w:num w:numId="2" w16cid:durableId="736634912">
    <w:abstractNumId w:val="10"/>
  </w:num>
  <w:num w:numId="3" w16cid:durableId="1145468667">
    <w:abstractNumId w:val="6"/>
  </w:num>
  <w:num w:numId="4" w16cid:durableId="741680657">
    <w:abstractNumId w:val="5"/>
  </w:num>
  <w:num w:numId="5" w16cid:durableId="1737313541">
    <w:abstractNumId w:val="1"/>
  </w:num>
  <w:num w:numId="6" w16cid:durableId="558369754">
    <w:abstractNumId w:val="8"/>
  </w:num>
  <w:num w:numId="7" w16cid:durableId="3071703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046874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562060">
    <w:abstractNumId w:val="17"/>
  </w:num>
  <w:num w:numId="10" w16cid:durableId="2057199301">
    <w:abstractNumId w:val="13"/>
  </w:num>
  <w:num w:numId="11" w16cid:durableId="1043479870">
    <w:abstractNumId w:val="0"/>
  </w:num>
  <w:num w:numId="12" w16cid:durableId="559482682">
    <w:abstractNumId w:val="12"/>
  </w:num>
  <w:num w:numId="13" w16cid:durableId="274752514">
    <w:abstractNumId w:val="16"/>
  </w:num>
  <w:num w:numId="14" w16cid:durableId="1595673047">
    <w:abstractNumId w:val="11"/>
  </w:num>
  <w:num w:numId="15" w16cid:durableId="1438788929">
    <w:abstractNumId w:val="18"/>
  </w:num>
  <w:num w:numId="16" w16cid:durableId="1363823575">
    <w:abstractNumId w:val="2"/>
  </w:num>
  <w:num w:numId="17" w16cid:durableId="1668941327">
    <w:abstractNumId w:val="3"/>
  </w:num>
  <w:num w:numId="18" w16cid:durableId="1332295709">
    <w:abstractNumId w:val="19"/>
  </w:num>
  <w:num w:numId="19" w16cid:durableId="948128211">
    <w:abstractNumId w:val="14"/>
  </w:num>
  <w:num w:numId="20" w16cid:durableId="532425734">
    <w:abstractNumId w:val="9"/>
  </w:num>
  <w:num w:numId="21" w16cid:durableId="1073088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68"/>
    <w:rsid w:val="00005875"/>
    <w:rsid w:val="0000760F"/>
    <w:rsid w:val="0000792D"/>
    <w:rsid w:val="00010261"/>
    <w:rsid w:val="0001162F"/>
    <w:rsid w:val="000157FC"/>
    <w:rsid w:val="00020B1A"/>
    <w:rsid w:val="00026369"/>
    <w:rsid w:val="00027D85"/>
    <w:rsid w:val="0003114E"/>
    <w:rsid w:val="0004070C"/>
    <w:rsid w:val="00040FFF"/>
    <w:rsid w:val="00041612"/>
    <w:rsid w:val="00042CBD"/>
    <w:rsid w:val="00045DF3"/>
    <w:rsid w:val="00047792"/>
    <w:rsid w:val="00050A6F"/>
    <w:rsid w:val="00051133"/>
    <w:rsid w:val="0006173F"/>
    <w:rsid w:val="00062E94"/>
    <w:rsid w:val="00070777"/>
    <w:rsid w:val="000710EE"/>
    <w:rsid w:val="000735A3"/>
    <w:rsid w:val="000769A6"/>
    <w:rsid w:val="00077FEE"/>
    <w:rsid w:val="000820B6"/>
    <w:rsid w:val="00086113"/>
    <w:rsid w:val="0009242D"/>
    <w:rsid w:val="00093EA6"/>
    <w:rsid w:val="000A1367"/>
    <w:rsid w:val="000A231C"/>
    <w:rsid w:val="000A2E23"/>
    <w:rsid w:val="000A71FA"/>
    <w:rsid w:val="000B09F7"/>
    <w:rsid w:val="000B1520"/>
    <w:rsid w:val="000B4D3E"/>
    <w:rsid w:val="000C3D77"/>
    <w:rsid w:val="000C4080"/>
    <w:rsid w:val="000D3844"/>
    <w:rsid w:val="000D49A1"/>
    <w:rsid w:val="000D5E12"/>
    <w:rsid w:val="000E01F1"/>
    <w:rsid w:val="000E0608"/>
    <w:rsid w:val="000E3736"/>
    <w:rsid w:val="000E3955"/>
    <w:rsid w:val="000E4B2B"/>
    <w:rsid w:val="000E7ED9"/>
    <w:rsid w:val="000F3682"/>
    <w:rsid w:val="000F44DE"/>
    <w:rsid w:val="000F4B4C"/>
    <w:rsid w:val="00105616"/>
    <w:rsid w:val="00110403"/>
    <w:rsid w:val="00117CF9"/>
    <w:rsid w:val="0012281A"/>
    <w:rsid w:val="0012287F"/>
    <w:rsid w:val="00134BD1"/>
    <w:rsid w:val="00142DBD"/>
    <w:rsid w:val="00146593"/>
    <w:rsid w:val="00150086"/>
    <w:rsid w:val="00152097"/>
    <w:rsid w:val="00153944"/>
    <w:rsid w:val="001672F9"/>
    <w:rsid w:val="001724E2"/>
    <w:rsid w:val="00173F1B"/>
    <w:rsid w:val="001752AD"/>
    <w:rsid w:val="001752CF"/>
    <w:rsid w:val="00186307"/>
    <w:rsid w:val="00186F3A"/>
    <w:rsid w:val="00191B65"/>
    <w:rsid w:val="001929F3"/>
    <w:rsid w:val="001950F7"/>
    <w:rsid w:val="001A5984"/>
    <w:rsid w:val="001B0A91"/>
    <w:rsid w:val="001B0D7B"/>
    <w:rsid w:val="001B0DD1"/>
    <w:rsid w:val="001C1FBF"/>
    <w:rsid w:val="001C4468"/>
    <w:rsid w:val="001C5245"/>
    <w:rsid w:val="001C5CDE"/>
    <w:rsid w:val="001C68EF"/>
    <w:rsid w:val="001C6980"/>
    <w:rsid w:val="001D4521"/>
    <w:rsid w:val="001D508C"/>
    <w:rsid w:val="001E511A"/>
    <w:rsid w:val="001E60C9"/>
    <w:rsid w:val="001F1E38"/>
    <w:rsid w:val="001F3B0D"/>
    <w:rsid w:val="001F4A0D"/>
    <w:rsid w:val="001F4CC2"/>
    <w:rsid w:val="00200BB4"/>
    <w:rsid w:val="00202172"/>
    <w:rsid w:val="002041B3"/>
    <w:rsid w:val="00210639"/>
    <w:rsid w:val="00210D1A"/>
    <w:rsid w:val="00211A04"/>
    <w:rsid w:val="00215E36"/>
    <w:rsid w:val="00227DC9"/>
    <w:rsid w:val="002339E4"/>
    <w:rsid w:val="00234F74"/>
    <w:rsid w:val="0023615B"/>
    <w:rsid w:val="00237688"/>
    <w:rsid w:val="00244FFB"/>
    <w:rsid w:val="002455BF"/>
    <w:rsid w:val="0024670A"/>
    <w:rsid w:val="00250CB9"/>
    <w:rsid w:val="00253744"/>
    <w:rsid w:val="0025507D"/>
    <w:rsid w:val="002618AF"/>
    <w:rsid w:val="00265A74"/>
    <w:rsid w:val="0026726B"/>
    <w:rsid w:val="00276FF6"/>
    <w:rsid w:val="00282584"/>
    <w:rsid w:val="00282639"/>
    <w:rsid w:val="00287AF8"/>
    <w:rsid w:val="002905F1"/>
    <w:rsid w:val="002977FF"/>
    <w:rsid w:val="002A7BA4"/>
    <w:rsid w:val="002B3684"/>
    <w:rsid w:val="002B40F3"/>
    <w:rsid w:val="002B787B"/>
    <w:rsid w:val="002C20E9"/>
    <w:rsid w:val="002C5193"/>
    <w:rsid w:val="002C6230"/>
    <w:rsid w:val="002D4620"/>
    <w:rsid w:val="002D492D"/>
    <w:rsid w:val="002D54C8"/>
    <w:rsid w:val="002D6606"/>
    <w:rsid w:val="002E503E"/>
    <w:rsid w:val="002F09D5"/>
    <w:rsid w:val="002F139D"/>
    <w:rsid w:val="002F6FB5"/>
    <w:rsid w:val="003001EE"/>
    <w:rsid w:val="0030198D"/>
    <w:rsid w:val="00305AB9"/>
    <w:rsid w:val="003063B2"/>
    <w:rsid w:val="00307271"/>
    <w:rsid w:val="00312040"/>
    <w:rsid w:val="00321C3D"/>
    <w:rsid w:val="00325388"/>
    <w:rsid w:val="00326421"/>
    <w:rsid w:val="003271F8"/>
    <w:rsid w:val="00332909"/>
    <w:rsid w:val="0034115C"/>
    <w:rsid w:val="003426F4"/>
    <w:rsid w:val="003464D6"/>
    <w:rsid w:val="003510B0"/>
    <w:rsid w:val="00357840"/>
    <w:rsid w:val="00363061"/>
    <w:rsid w:val="0037324A"/>
    <w:rsid w:val="0037624C"/>
    <w:rsid w:val="00382AD3"/>
    <w:rsid w:val="0038459F"/>
    <w:rsid w:val="00385214"/>
    <w:rsid w:val="00387807"/>
    <w:rsid w:val="003A2BDE"/>
    <w:rsid w:val="003A408C"/>
    <w:rsid w:val="003A426C"/>
    <w:rsid w:val="003A4957"/>
    <w:rsid w:val="003A70A6"/>
    <w:rsid w:val="003C2D8C"/>
    <w:rsid w:val="003D65DF"/>
    <w:rsid w:val="003D7C0D"/>
    <w:rsid w:val="003E0DEE"/>
    <w:rsid w:val="003E1BCB"/>
    <w:rsid w:val="003E41E5"/>
    <w:rsid w:val="003E47A2"/>
    <w:rsid w:val="003E4AD7"/>
    <w:rsid w:val="003F1AFC"/>
    <w:rsid w:val="003F1FA0"/>
    <w:rsid w:val="003F393D"/>
    <w:rsid w:val="003F7F46"/>
    <w:rsid w:val="004050F5"/>
    <w:rsid w:val="00406622"/>
    <w:rsid w:val="004115A2"/>
    <w:rsid w:val="004122D4"/>
    <w:rsid w:val="00413B4D"/>
    <w:rsid w:val="00417E92"/>
    <w:rsid w:val="004231A9"/>
    <w:rsid w:val="00426C3F"/>
    <w:rsid w:val="004275CE"/>
    <w:rsid w:val="00427868"/>
    <w:rsid w:val="00430277"/>
    <w:rsid w:val="0043281B"/>
    <w:rsid w:val="004336D0"/>
    <w:rsid w:val="0043581D"/>
    <w:rsid w:val="00436680"/>
    <w:rsid w:val="00444043"/>
    <w:rsid w:val="00444BF6"/>
    <w:rsid w:val="00445F8E"/>
    <w:rsid w:val="0045028F"/>
    <w:rsid w:val="00454E48"/>
    <w:rsid w:val="00460550"/>
    <w:rsid w:val="00461ED9"/>
    <w:rsid w:val="00462F4B"/>
    <w:rsid w:val="004637B7"/>
    <w:rsid w:val="00466083"/>
    <w:rsid w:val="004777E3"/>
    <w:rsid w:val="00480230"/>
    <w:rsid w:val="0048042C"/>
    <w:rsid w:val="00482437"/>
    <w:rsid w:val="0048576D"/>
    <w:rsid w:val="00486F0E"/>
    <w:rsid w:val="00497BB9"/>
    <w:rsid w:val="00497DBF"/>
    <w:rsid w:val="004A3762"/>
    <w:rsid w:val="004A5AA7"/>
    <w:rsid w:val="004B07B4"/>
    <w:rsid w:val="004B1A67"/>
    <w:rsid w:val="004B7853"/>
    <w:rsid w:val="004C0BC6"/>
    <w:rsid w:val="004C4CFE"/>
    <w:rsid w:val="004C4F11"/>
    <w:rsid w:val="004C5DF8"/>
    <w:rsid w:val="004C6768"/>
    <w:rsid w:val="004D11B4"/>
    <w:rsid w:val="004D3B79"/>
    <w:rsid w:val="004D4AB0"/>
    <w:rsid w:val="004D5515"/>
    <w:rsid w:val="004D55F2"/>
    <w:rsid w:val="004E7377"/>
    <w:rsid w:val="004F10F9"/>
    <w:rsid w:val="004F1DF1"/>
    <w:rsid w:val="004F43B7"/>
    <w:rsid w:val="004F5C05"/>
    <w:rsid w:val="005033BF"/>
    <w:rsid w:val="00504A87"/>
    <w:rsid w:val="00505C83"/>
    <w:rsid w:val="00507A5C"/>
    <w:rsid w:val="00512CC4"/>
    <w:rsid w:val="005230DC"/>
    <w:rsid w:val="00523E5B"/>
    <w:rsid w:val="00524184"/>
    <w:rsid w:val="00530319"/>
    <w:rsid w:val="00530A42"/>
    <w:rsid w:val="005426DE"/>
    <w:rsid w:val="00547008"/>
    <w:rsid w:val="005526F1"/>
    <w:rsid w:val="005539C8"/>
    <w:rsid w:val="005579D4"/>
    <w:rsid w:val="00557AE0"/>
    <w:rsid w:val="00560EC0"/>
    <w:rsid w:val="0056426D"/>
    <w:rsid w:val="00565475"/>
    <w:rsid w:val="005676E2"/>
    <w:rsid w:val="005700FF"/>
    <w:rsid w:val="00571CA9"/>
    <w:rsid w:val="00577F49"/>
    <w:rsid w:val="00577FA8"/>
    <w:rsid w:val="0058004F"/>
    <w:rsid w:val="005843B3"/>
    <w:rsid w:val="005877F8"/>
    <w:rsid w:val="005878EA"/>
    <w:rsid w:val="005944D9"/>
    <w:rsid w:val="005A11A2"/>
    <w:rsid w:val="005A1F40"/>
    <w:rsid w:val="005A3A09"/>
    <w:rsid w:val="005A3D85"/>
    <w:rsid w:val="005A6155"/>
    <w:rsid w:val="005A7362"/>
    <w:rsid w:val="005B079D"/>
    <w:rsid w:val="005B2BDA"/>
    <w:rsid w:val="005B3F8C"/>
    <w:rsid w:val="005B4551"/>
    <w:rsid w:val="005C4036"/>
    <w:rsid w:val="005C766A"/>
    <w:rsid w:val="005D0313"/>
    <w:rsid w:val="005D3BEC"/>
    <w:rsid w:val="005E35AC"/>
    <w:rsid w:val="005E577E"/>
    <w:rsid w:val="005E6DD7"/>
    <w:rsid w:val="005F0B26"/>
    <w:rsid w:val="005F58BD"/>
    <w:rsid w:val="00605309"/>
    <w:rsid w:val="006103C2"/>
    <w:rsid w:val="006117A5"/>
    <w:rsid w:val="00621E6D"/>
    <w:rsid w:val="00623046"/>
    <w:rsid w:val="00624F03"/>
    <w:rsid w:val="00625935"/>
    <w:rsid w:val="006334E3"/>
    <w:rsid w:val="00636709"/>
    <w:rsid w:val="006377D3"/>
    <w:rsid w:val="00643099"/>
    <w:rsid w:val="00651A19"/>
    <w:rsid w:val="00652C06"/>
    <w:rsid w:val="0065494C"/>
    <w:rsid w:val="00660D25"/>
    <w:rsid w:val="0067496B"/>
    <w:rsid w:val="00682EA2"/>
    <w:rsid w:val="00683750"/>
    <w:rsid w:val="00683B11"/>
    <w:rsid w:val="00683E09"/>
    <w:rsid w:val="00685F5A"/>
    <w:rsid w:val="00686487"/>
    <w:rsid w:val="00687A29"/>
    <w:rsid w:val="00693430"/>
    <w:rsid w:val="006943AD"/>
    <w:rsid w:val="00697342"/>
    <w:rsid w:val="00697B7E"/>
    <w:rsid w:val="006A40CC"/>
    <w:rsid w:val="006A45A0"/>
    <w:rsid w:val="006A6312"/>
    <w:rsid w:val="006B3050"/>
    <w:rsid w:val="006B5AA7"/>
    <w:rsid w:val="006B6149"/>
    <w:rsid w:val="006C65A3"/>
    <w:rsid w:val="006D079C"/>
    <w:rsid w:val="006D3F57"/>
    <w:rsid w:val="006E06E0"/>
    <w:rsid w:val="006E26E5"/>
    <w:rsid w:val="006E3CFF"/>
    <w:rsid w:val="006E7196"/>
    <w:rsid w:val="006F77D6"/>
    <w:rsid w:val="0070318A"/>
    <w:rsid w:val="00704BC3"/>
    <w:rsid w:val="0070640D"/>
    <w:rsid w:val="00712D7D"/>
    <w:rsid w:val="00716B2D"/>
    <w:rsid w:val="00717BA8"/>
    <w:rsid w:val="0072442B"/>
    <w:rsid w:val="00727607"/>
    <w:rsid w:val="00730E8A"/>
    <w:rsid w:val="0074088D"/>
    <w:rsid w:val="00741A4A"/>
    <w:rsid w:val="0074515D"/>
    <w:rsid w:val="00765898"/>
    <w:rsid w:val="0076774F"/>
    <w:rsid w:val="007732FC"/>
    <w:rsid w:val="00774C82"/>
    <w:rsid w:val="0077578C"/>
    <w:rsid w:val="00777DCC"/>
    <w:rsid w:val="00783896"/>
    <w:rsid w:val="00785B67"/>
    <w:rsid w:val="00785B96"/>
    <w:rsid w:val="00787301"/>
    <w:rsid w:val="00797216"/>
    <w:rsid w:val="007A0A23"/>
    <w:rsid w:val="007A17AC"/>
    <w:rsid w:val="007A5BE4"/>
    <w:rsid w:val="007A5D74"/>
    <w:rsid w:val="007A6EFD"/>
    <w:rsid w:val="007B0090"/>
    <w:rsid w:val="007C2E9E"/>
    <w:rsid w:val="007C3A53"/>
    <w:rsid w:val="007D1DB0"/>
    <w:rsid w:val="007D6CE8"/>
    <w:rsid w:val="007E0B50"/>
    <w:rsid w:val="007E12B4"/>
    <w:rsid w:val="007E57EF"/>
    <w:rsid w:val="007E693D"/>
    <w:rsid w:val="007E6E78"/>
    <w:rsid w:val="007E6F5B"/>
    <w:rsid w:val="007E6FEE"/>
    <w:rsid w:val="007F3703"/>
    <w:rsid w:val="008052ED"/>
    <w:rsid w:val="00813E8D"/>
    <w:rsid w:val="008321C8"/>
    <w:rsid w:val="00833CD6"/>
    <w:rsid w:val="00837006"/>
    <w:rsid w:val="00841CF8"/>
    <w:rsid w:val="008444BA"/>
    <w:rsid w:val="00845573"/>
    <w:rsid w:val="00846481"/>
    <w:rsid w:val="00847786"/>
    <w:rsid w:val="008506DF"/>
    <w:rsid w:val="008575D7"/>
    <w:rsid w:val="00861D99"/>
    <w:rsid w:val="0086257D"/>
    <w:rsid w:val="00864080"/>
    <w:rsid w:val="008650FA"/>
    <w:rsid w:val="00870BC4"/>
    <w:rsid w:val="00871D78"/>
    <w:rsid w:val="008759BF"/>
    <w:rsid w:val="008850AC"/>
    <w:rsid w:val="008971A6"/>
    <w:rsid w:val="008978F2"/>
    <w:rsid w:val="008A1716"/>
    <w:rsid w:val="008A2792"/>
    <w:rsid w:val="008A4832"/>
    <w:rsid w:val="008A4BAD"/>
    <w:rsid w:val="008B22D1"/>
    <w:rsid w:val="008B7453"/>
    <w:rsid w:val="008B78E4"/>
    <w:rsid w:val="008C0AC7"/>
    <w:rsid w:val="008C4FA3"/>
    <w:rsid w:val="008D6682"/>
    <w:rsid w:val="008E0B75"/>
    <w:rsid w:val="008E250F"/>
    <w:rsid w:val="008E3939"/>
    <w:rsid w:val="008F1B52"/>
    <w:rsid w:val="008F390A"/>
    <w:rsid w:val="008F48C6"/>
    <w:rsid w:val="009033D7"/>
    <w:rsid w:val="009078D0"/>
    <w:rsid w:val="00907CE6"/>
    <w:rsid w:val="009203CB"/>
    <w:rsid w:val="00920B56"/>
    <w:rsid w:val="00920E4F"/>
    <w:rsid w:val="00925163"/>
    <w:rsid w:val="009271D9"/>
    <w:rsid w:val="009408B0"/>
    <w:rsid w:val="00940CBC"/>
    <w:rsid w:val="00947C56"/>
    <w:rsid w:val="009535E9"/>
    <w:rsid w:val="009648AF"/>
    <w:rsid w:val="00964A58"/>
    <w:rsid w:val="00966CCA"/>
    <w:rsid w:val="009671DB"/>
    <w:rsid w:val="00967897"/>
    <w:rsid w:val="0097267A"/>
    <w:rsid w:val="00980853"/>
    <w:rsid w:val="009860B3"/>
    <w:rsid w:val="00991BED"/>
    <w:rsid w:val="009959A1"/>
    <w:rsid w:val="009A1490"/>
    <w:rsid w:val="009A353C"/>
    <w:rsid w:val="009A4558"/>
    <w:rsid w:val="009A7470"/>
    <w:rsid w:val="009B0E7F"/>
    <w:rsid w:val="009B3D6D"/>
    <w:rsid w:val="009B5719"/>
    <w:rsid w:val="009B6D55"/>
    <w:rsid w:val="009C0EF7"/>
    <w:rsid w:val="009C24DB"/>
    <w:rsid w:val="009C342F"/>
    <w:rsid w:val="009C5C88"/>
    <w:rsid w:val="009E1ED4"/>
    <w:rsid w:val="009E3A60"/>
    <w:rsid w:val="009E50ED"/>
    <w:rsid w:val="009F0B2B"/>
    <w:rsid w:val="009F251C"/>
    <w:rsid w:val="009F4AB6"/>
    <w:rsid w:val="00A02690"/>
    <w:rsid w:val="00A06FBD"/>
    <w:rsid w:val="00A1471B"/>
    <w:rsid w:val="00A16895"/>
    <w:rsid w:val="00A20189"/>
    <w:rsid w:val="00A20256"/>
    <w:rsid w:val="00A220CA"/>
    <w:rsid w:val="00A22977"/>
    <w:rsid w:val="00A27AF7"/>
    <w:rsid w:val="00A32FB4"/>
    <w:rsid w:val="00A44C3C"/>
    <w:rsid w:val="00A462A3"/>
    <w:rsid w:val="00A46DC4"/>
    <w:rsid w:val="00A631FF"/>
    <w:rsid w:val="00A65D37"/>
    <w:rsid w:val="00A666C4"/>
    <w:rsid w:val="00A67095"/>
    <w:rsid w:val="00A72171"/>
    <w:rsid w:val="00A75631"/>
    <w:rsid w:val="00A7782D"/>
    <w:rsid w:val="00A81C20"/>
    <w:rsid w:val="00A85A22"/>
    <w:rsid w:val="00A86A2B"/>
    <w:rsid w:val="00A926B4"/>
    <w:rsid w:val="00A92B40"/>
    <w:rsid w:val="00A962C0"/>
    <w:rsid w:val="00AA43CC"/>
    <w:rsid w:val="00AA4A7F"/>
    <w:rsid w:val="00AA4AF1"/>
    <w:rsid w:val="00AA4C6A"/>
    <w:rsid w:val="00AB0E9A"/>
    <w:rsid w:val="00AB3B53"/>
    <w:rsid w:val="00AB629C"/>
    <w:rsid w:val="00AB6DCF"/>
    <w:rsid w:val="00AC26AE"/>
    <w:rsid w:val="00AC3F03"/>
    <w:rsid w:val="00AC6473"/>
    <w:rsid w:val="00AD5D01"/>
    <w:rsid w:val="00AE0433"/>
    <w:rsid w:val="00AE1160"/>
    <w:rsid w:val="00AE2EB4"/>
    <w:rsid w:val="00AF0080"/>
    <w:rsid w:val="00B00858"/>
    <w:rsid w:val="00B10A55"/>
    <w:rsid w:val="00B14C08"/>
    <w:rsid w:val="00B25E57"/>
    <w:rsid w:val="00B32608"/>
    <w:rsid w:val="00B3549C"/>
    <w:rsid w:val="00B3750F"/>
    <w:rsid w:val="00B40151"/>
    <w:rsid w:val="00B53B5E"/>
    <w:rsid w:val="00B57D9B"/>
    <w:rsid w:val="00B63D9B"/>
    <w:rsid w:val="00B7015F"/>
    <w:rsid w:val="00B80B17"/>
    <w:rsid w:val="00B8133E"/>
    <w:rsid w:val="00B84DD0"/>
    <w:rsid w:val="00B85125"/>
    <w:rsid w:val="00B94E4D"/>
    <w:rsid w:val="00B953F5"/>
    <w:rsid w:val="00B978B2"/>
    <w:rsid w:val="00BA4FB3"/>
    <w:rsid w:val="00BB27E1"/>
    <w:rsid w:val="00BC34A7"/>
    <w:rsid w:val="00BC5D71"/>
    <w:rsid w:val="00BD0161"/>
    <w:rsid w:val="00BD2872"/>
    <w:rsid w:val="00BD584D"/>
    <w:rsid w:val="00BD670B"/>
    <w:rsid w:val="00BE2769"/>
    <w:rsid w:val="00BF6CD7"/>
    <w:rsid w:val="00BF72B0"/>
    <w:rsid w:val="00C0195A"/>
    <w:rsid w:val="00C02401"/>
    <w:rsid w:val="00C06888"/>
    <w:rsid w:val="00C10644"/>
    <w:rsid w:val="00C10822"/>
    <w:rsid w:val="00C14EF5"/>
    <w:rsid w:val="00C15853"/>
    <w:rsid w:val="00C17D8E"/>
    <w:rsid w:val="00C220A0"/>
    <w:rsid w:val="00C23979"/>
    <w:rsid w:val="00C25079"/>
    <w:rsid w:val="00C272AB"/>
    <w:rsid w:val="00C30443"/>
    <w:rsid w:val="00C31871"/>
    <w:rsid w:val="00C35526"/>
    <w:rsid w:val="00C36875"/>
    <w:rsid w:val="00C40ACD"/>
    <w:rsid w:val="00C40CA8"/>
    <w:rsid w:val="00C44997"/>
    <w:rsid w:val="00C46EC0"/>
    <w:rsid w:val="00C50925"/>
    <w:rsid w:val="00C5289B"/>
    <w:rsid w:val="00C61777"/>
    <w:rsid w:val="00C62A28"/>
    <w:rsid w:val="00C64243"/>
    <w:rsid w:val="00C676CB"/>
    <w:rsid w:val="00C703B2"/>
    <w:rsid w:val="00C7252B"/>
    <w:rsid w:val="00C8028F"/>
    <w:rsid w:val="00C804B5"/>
    <w:rsid w:val="00C805A1"/>
    <w:rsid w:val="00C8278D"/>
    <w:rsid w:val="00C85239"/>
    <w:rsid w:val="00C8682D"/>
    <w:rsid w:val="00C904C9"/>
    <w:rsid w:val="00C90EF4"/>
    <w:rsid w:val="00CA0354"/>
    <w:rsid w:val="00CA1215"/>
    <w:rsid w:val="00CA45A9"/>
    <w:rsid w:val="00CB2B53"/>
    <w:rsid w:val="00CB4886"/>
    <w:rsid w:val="00CB4E70"/>
    <w:rsid w:val="00CC17B3"/>
    <w:rsid w:val="00CC6890"/>
    <w:rsid w:val="00CC754B"/>
    <w:rsid w:val="00CD1E45"/>
    <w:rsid w:val="00CD3913"/>
    <w:rsid w:val="00CD46F4"/>
    <w:rsid w:val="00CD5D53"/>
    <w:rsid w:val="00CE2F8B"/>
    <w:rsid w:val="00CE63DC"/>
    <w:rsid w:val="00CE747A"/>
    <w:rsid w:val="00CE76CB"/>
    <w:rsid w:val="00CE7CE2"/>
    <w:rsid w:val="00CF3330"/>
    <w:rsid w:val="00CF5875"/>
    <w:rsid w:val="00CF750A"/>
    <w:rsid w:val="00D01875"/>
    <w:rsid w:val="00D032C7"/>
    <w:rsid w:val="00D034B8"/>
    <w:rsid w:val="00D0386E"/>
    <w:rsid w:val="00D04E16"/>
    <w:rsid w:val="00D06993"/>
    <w:rsid w:val="00D151FB"/>
    <w:rsid w:val="00D23BA0"/>
    <w:rsid w:val="00D32AA9"/>
    <w:rsid w:val="00D333FE"/>
    <w:rsid w:val="00D35C0A"/>
    <w:rsid w:val="00D375D1"/>
    <w:rsid w:val="00D41C74"/>
    <w:rsid w:val="00D506DC"/>
    <w:rsid w:val="00D51B72"/>
    <w:rsid w:val="00D544CC"/>
    <w:rsid w:val="00D568D3"/>
    <w:rsid w:val="00D57D78"/>
    <w:rsid w:val="00D61065"/>
    <w:rsid w:val="00D6273E"/>
    <w:rsid w:val="00D64737"/>
    <w:rsid w:val="00D66B9B"/>
    <w:rsid w:val="00D672F8"/>
    <w:rsid w:val="00D731EF"/>
    <w:rsid w:val="00D73A31"/>
    <w:rsid w:val="00D75079"/>
    <w:rsid w:val="00D75CED"/>
    <w:rsid w:val="00D86A2D"/>
    <w:rsid w:val="00D873D0"/>
    <w:rsid w:val="00D92B1C"/>
    <w:rsid w:val="00DA597D"/>
    <w:rsid w:val="00DB113E"/>
    <w:rsid w:val="00DB1211"/>
    <w:rsid w:val="00DB4336"/>
    <w:rsid w:val="00DB7A1F"/>
    <w:rsid w:val="00DC0D58"/>
    <w:rsid w:val="00DC1195"/>
    <w:rsid w:val="00DC1ADC"/>
    <w:rsid w:val="00DC27A2"/>
    <w:rsid w:val="00DC48D0"/>
    <w:rsid w:val="00DD002F"/>
    <w:rsid w:val="00DD0266"/>
    <w:rsid w:val="00DD3934"/>
    <w:rsid w:val="00DD465D"/>
    <w:rsid w:val="00DD5549"/>
    <w:rsid w:val="00DE2C29"/>
    <w:rsid w:val="00DE2CF5"/>
    <w:rsid w:val="00DE503B"/>
    <w:rsid w:val="00DE5A22"/>
    <w:rsid w:val="00DE6EBB"/>
    <w:rsid w:val="00DF08BC"/>
    <w:rsid w:val="00E0020F"/>
    <w:rsid w:val="00E01115"/>
    <w:rsid w:val="00E03D82"/>
    <w:rsid w:val="00E05828"/>
    <w:rsid w:val="00E05E12"/>
    <w:rsid w:val="00E0737C"/>
    <w:rsid w:val="00E13B6E"/>
    <w:rsid w:val="00E15901"/>
    <w:rsid w:val="00E16377"/>
    <w:rsid w:val="00E16A0D"/>
    <w:rsid w:val="00E2498B"/>
    <w:rsid w:val="00E25CCB"/>
    <w:rsid w:val="00E2674C"/>
    <w:rsid w:val="00E27DDB"/>
    <w:rsid w:val="00E31237"/>
    <w:rsid w:val="00E41C34"/>
    <w:rsid w:val="00E44384"/>
    <w:rsid w:val="00E46772"/>
    <w:rsid w:val="00E47DAE"/>
    <w:rsid w:val="00E521DF"/>
    <w:rsid w:val="00E54280"/>
    <w:rsid w:val="00E668DD"/>
    <w:rsid w:val="00E8252E"/>
    <w:rsid w:val="00E82988"/>
    <w:rsid w:val="00E93BC5"/>
    <w:rsid w:val="00EA1E3D"/>
    <w:rsid w:val="00EA2990"/>
    <w:rsid w:val="00EA3A3A"/>
    <w:rsid w:val="00EA5751"/>
    <w:rsid w:val="00EB1A5A"/>
    <w:rsid w:val="00EB3B26"/>
    <w:rsid w:val="00EC0BD5"/>
    <w:rsid w:val="00EC3E69"/>
    <w:rsid w:val="00EC617C"/>
    <w:rsid w:val="00EC6196"/>
    <w:rsid w:val="00EC7CC4"/>
    <w:rsid w:val="00ED2EC6"/>
    <w:rsid w:val="00ED7937"/>
    <w:rsid w:val="00EE1167"/>
    <w:rsid w:val="00EE75A6"/>
    <w:rsid w:val="00EF077C"/>
    <w:rsid w:val="00EF17F5"/>
    <w:rsid w:val="00F00CB6"/>
    <w:rsid w:val="00F03C28"/>
    <w:rsid w:val="00F03EB1"/>
    <w:rsid w:val="00F101F4"/>
    <w:rsid w:val="00F134A7"/>
    <w:rsid w:val="00F147F3"/>
    <w:rsid w:val="00F14D5B"/>
    <w:rsid w:val="00F2683A"/>
    <w:rsid w:val="00F3286F"/>
    <w:rsid w:val="00F36437"/>
    <w:rsid w:val="00F4320B"/>
    <w:rsid w:val="00F50B89"/>
    <w:rsid w:val="00F50FB9"/>
    <w:rsid w:val="00F549BA"/>
    <w:rsid w:val="00F555AB"/>
    <w:rsid w:val="00F62198"/>
    <w:rsid w:val="00F63837"/>
    <w:rsid w:val="00F71E06"/>
    <w:rsid w:val="00F725CA"/>
    <w:rsid w:val="00F7398B"/>
    <w:rsid w:val="00F75DB6"/>
    <w:rsid w:val="00F76336"/>
    <w:rsid w:val="00F77408"/>
    <w:rsid w:val="00F77CDE"/>
    <w:rsid w:val="00F962E7"/>
    <w:rsid w:val="00FA3054"/>
    <w:rsid w:val="00FB4AE1"/>
    <w:rsid w:val="00FB5884"/>
    <w:rsid w:val="00FB61DD"/>
    <w:rsid w:val="00FC51DA"/>
    <w:rsid w:val="00FC5AAA"/>
    <w:rsid w:val="00FC7807"/>
    <w:rsid w:val="00FD15FC"/>
    <w:rsid w:val="00FE25F0"/>
    <w:rsid w:val="00FE2E33"/>
    <w:rsid w:val="00FE42DF"/>
    <w:rsid w:val="00FF0364"/>
    <w:rsid w:val="00FF0C62"/>
    <w:rsid w:val="00FF2DDA"/>
    <w:rsid w:val="00FF3A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5BEA2503"/>
  <w15:docId w15:val="{B96B15AA-3BF4-4D41-B677-DEE5CF64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 w:type="paragraph" w:customStyle="1" w:styleId="Default">
    <w:name w:val="Default"/>
    <w:rsid w:val="00B978B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17BA8"/>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C2507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381364150">
      <w:bodyDiv w:val="1"/>
      <w:marLeft w:val="0"/>
      <w:marRight w:val="0"/>
      <w:marTop w:val="0"/>
      <w:marBottom w:val="0"/>
      <w:divBdr>
        <w:top w:val="none" w:sz="0" w:space="0" w:color="auto"/>
        <w:left w:val="none" w:sz="0" w:space="0" w:color="auto"/>
        <w:bottom w:val="none" w:sz="0" w:space="0" w:color="auto"/>
        <w:right w:val="none" w:sz="0" w:space="0" w:color="auto"/>
      </w:divBdr>
    </w:div>
    <w:div w:id="544021127">
      <w:bodyDiv w:val="1"/>
      <w:marLeft w:val="0"/>
      <w:marRight w:val="0"/>
      <w:marTop w:val="0"/>
      <w:marBottom w:val="0"/>
      <w:divBdr>
        <w:top w:val="none" w:sz="0" w:space="0" w:color="auto"/>
        <w:left w:val="none" w:sz="0" w:space="0" w:color="auto"/>
        <w:bottom w:val="none" w:sz="0" w:space="0" w:color="auto"/>
        <w:right w:val="none" w:sz="0" w:space="0" w:color="auto"/>
      </w:divBdr>
    </w:div>
    <w:div w:id="545142073">
      <w:bodyDiv w:val="1"/>
      <w:marLeft w:val="0"/>
      <w:marRight w:val="0"/>
      <w:marTop w:val="0"/>
      <w:marBottom w:val="0"/>
      <w:divBdr>
        <w:top w:val="none" w:sz="0" w:space="0" w:color="auto"/>
        <w:left w:val="none" w:sz="0" w:space="0" w:color="auto"/>
        <w:bottom w:val="none" w:sz="0" w:space="0" w:color="auto"/>
        <w:right w:val="none" w:sz="0" w:space="0" w:color="auto"/>
      </w:divBdr>
    </w:div>
    <w:div w:id="590625092">
      <w:bodyDiv w:val="1"/>
      <w:marLeft w:val="0"/>
      <w:marRight w:val="0"/>
      <w:marTop w:val="0"/>
      <w:marBottom w:val="0"/>
      <w:divBdr>
        <w:top w:val="none" w:sz="0" w:space="0" w:color="auto"/>
        <w:left w:val="none" w:sz="0" w:space="0" w:color="auto"/>
        <w:bottom w:val="none" w:sz="0" w:space="0" w:color="auto"/>
        <w:right w:val="none" w:sz="0" w:space="0" w:color="auto"/>
      </w:divBdr>
    </w:div>
    <w:div w:id="790703838">
      <w:bodyDiv w:val="1"/>
      <w:marLeft w:val="0"/>
      <w:marRight w:val="0"/>
      <w:marTop w:val="0"/>
      <w:marBottom w:val="0"/>
      <w:divBdr>
        <w:top w:val="none" w:sz="0" w:space="0" w:color="auto"/>
        <w:left w:val="none" w:sz="0" w:space="0" w:color="auto"/>
        <w:bottom w:val="none" w:sz="0" w:space="0" w:color="auto"/>
        <w:right w:val="none" w:sz="0" w:space="0" w:color="auto"/>
      </w:divBdr>
    </w:div>
    <w:div w:id="848253094">
      <w:bodyDiv w:val="1"/>
      <w:marLeft w:val="0"/>
      <w:marRight w:val="0"/>
      <w:marTop w:val="0"/>
      <w:marBottom w:val="0"/>
      <w:divBdr>
        <w:top w:val="none" w:sz="0" w:space="0" w:color="auto"/>
        <w:left w:val="none" w:sz="0" w:space="0" w:color="auto"/>
        <w:bottom w:val="none" w:sz="0" w:space="0" w:color="auto"/>
        <w:right w:val="none" w:sz="0" w:space="0" w:color="auto"/>
      </w:divBdr>
    </w:div>
    <w:div w:id="1011756759">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080370806">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206984278">
      <w:bodyDiv w:val="1"/>
      <w:marLeft w:val="0"/>
      <w:marRight w:val="0"/>
      <w:marTop w:val="0"/>
      <w:marBottom w:val="0"/>
      <w:divBdr>
        <w:top w:val="none" w:sz="0" w:space="0" w:color="auto"/>
        <w:left w:val="none" w:sz="0" w:space="0" w:color="auto"/>
        <w:bottom w:val="none" w:sz="0" w:space="0" w:color="auto"/>
        <w:right w:val="none" w:sz="0" w:space="0" w:color="auto"/>
      </w:divBdr>
    </w:div>
    <w:div w:id="1437746917">
      <w:bodyDiv w:val="1"/>
      <w:marLeft w:val="0"/>
      <w:marRight w:val="0"/>
      <w:marTop w:val="0"/>
      <w:marBottom w:val="0"/>
      <w:divBdr>
        <w:top w:val="none" w:sz="0" w:space="0" w:color="auto"/>
        <w:left w:val="none" w:sz="0" w:space="0" w:color="auto"/>
        <w:bottom w:val="none" w:sz="0" w:space="0" w:color="auto"/>
        <w:right w:val="none" w:sz="0" w:space="0" w:color="auto"/>
      </w:divBdr>
    </w:div>
    <w:div w:id="1613782740">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 w:id="2013216005">
      <w:bodyDiv w:val="1"/>
      <w:marLeft w:val="0"/>
      <w:marRight w:val="0"/>
      <w:marTop w:val="0"/>
      <w:marBottom w:val="0"/>
      <w:divBdr>
        <w:top w:val="none" w:sz="0" w:space="0" w:color="auto"/>
        <w:left w:val="none" w:sz="0" w:space="0" w:color="auto"/>
        <w:bottom w:val="none" w:sz="0" w:space="0" w:color="auto"/>
        <w:right w:val="none" w:sz="0" w:space="0" w:color="auto"/>
      </w:divBdr>
    </w:div>
    <w:div w:id="21231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ao%20cao%20ket%20qua%20hoat%20dong%20quy%20-%20PL25\2024\Database%20PL25%20CBPF%20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SG"/>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manualLayout>
          <c:layoutTarget val="inner"/>
          <c:xMode val="edge"/>
          <c:yMode val="edge"/>
          <c:x val="0.12870625546806649"/>
          <c:y val="0.15319444444444447"/>
          <c:w val="0.84073818897637786"/>
          <c:h val="0.68854986876640412"/>
        </c:manualLayout>
      </c:layout>
      <c:lineChart>
        <c:grouping val="standard"/>
        <c:varyColors val="0"/>
        <c:ser>
          <c:idx val="0"/>
          <c:order val="0"/>
          <c:spPr>
            <a:ln w="22225" cap="rnd" cmpd="sng" algn="ctr">
              <a:solidFill>
                <a:schemeClr val="accent1"/>
              </a:solidFill>
              <a:round/>
            </a:ln>
            <a:effectLst/>
          </c:spPr>
          <c:marker>
            <c:symbol val="none"/>
          </c:marker>
          <c:dLbls>
            <c:delete val="1"/>
          </c:dLbls>
          <c:cat>
            <c:strRef>
              <c:f>' NAV'!$B$2:$AA$2</c:f>
              <c:strCache>
                <c:ptCount val="26"/>
                <c:pt idx="0">
                  <c:v>Tuần 1</c:v>
                </c:pt>
                <c:pt idx="1">
                  <c:v>Tuần 2</c:v>
                </c:pt>
                <c:pt idx="2">
                  <c:v>Tuần 3</c:v>
                </c:pt>
                <c:pt idx="3">
                  <c:v>Tuần 4</c:v>
                </c:pt>
                <c:pt idx="4">
                  <c:v>Tuần 5</c:v>
                </c:pt>
                <c:pt idx="5">
                  <c:v>Tuần 6</c:v>
                </c:pt>
                <c:pt idx="6">
                  <c:v>Tuần 7</c:v>
                </c:pt>
                <c:pt idx="7">
                  <c:v>Tuần 8</c:v>
                </c:pt>
                <c:pt idx="8">
                  <c:v>Tuần 9</c:v>
                </c:pt>
                <c:pt idx="9">
                  <c:v>Tuần 10</c:v>
                </c:pt>
                <c:pt idx="10">
                  <c:v>Tuần 11</c:v>
                </c:pt>
                <c:pt idx="11">
                  <c:v>Tuần 12</c:v>
                </c:pt>
                <c:pt idx="12">
                  <c:v>Tuần 13</c:v>
                </c:pt>
                <c:pt idx="13">
                  <c:v>Tuần 14</c:v>
                </c:pt>
                <c:pt idx="14">
                  <c:v>Tuần 15</c:v>
                </c:pt>
                <c:pt idx="15">
                  <c:v>Tuần 16</c:v>
                </c:pt>
                <c:pt idx="16">
                  <c:v>Tuần 17</c:v>
                </c:pt>
                <c:pt idx="17">
                  <c:v>Tuần 18</c:v>
                </c:pt>
                <c:pt idx="18">
                  <c:v>Tuần 19</c:v>
                </c:pt>
                <c:pt idx="19">
                  <c:v>Tuần 20</c:v>
                </c:pt>
                <c:pt idx="20">
                  <c:v>Tuần 21</c:v>
                </c:pt>
                <c:pt idx="21">
                  <c:v>Tuần 22</c:v>
                </c:pt>
                <c:pt idx="22">
                  <c:v>Tuần 23</c:v>
                </c:pt>
                <c:pt idx="23">
                  <c:v>Tuần 24</c:v>
                </c:pt>
                <c:pt idx="24">
                  <c:v>Tuần 25</c:v>
                </c:pt>
                <c:pt idx="25">
                  <c:v>Tuần 26</c:v>
                </c:pt>
              </c:strCache>
            </c:strRef>
          </c:cat>
          <c:val>
            <c:numRef>
              <c:f>' NAV'!$B$3:$AA$3</c:f>
              <c:numCache>
                <c:formatCode>_(* #,##0_);_(* \(#,##0\);_(* "-"??_);_(@_)</c:formatCode>
                <c:ptCount val="26"/>
                <c:pt idx="0">
                  <c:v>12440.94</c:v>
                </c:pt>
                <c:pt idx="1">
                  <c:v>12455.6</c:v>
                </c:pt>
                <c:pt idx="2">
                  <c:v>12469.94</c:v>
                </c:pt>
                <c:pt idx="3">
                  <c:v>12483.83</c:v>
                </c:pt>
                <c:pt idx="4">
                  <c:v>12497.65</c:v>
                </c:pt>
                <c:pt idx="5">
                  <c:v>12511.45</c:v>
                </c:pt>
                <c:pt idx="6">
                  <c:v>12527.2</c:v>
                </c:pt>
                <c:pt idx="7">
                  <c:v>12539.01</c:v>
                </c:pt>
                <c:pt idx="8">
                  <c:v>12552.78</c:v>
                </c:pt>
                <c:pt idx="9">
                  <c:v>12566.65</c:v>
                </c:pt>
                <c:pt idx="10">
                  <c:v>12580.57</c:v>
                </c:pt>
                <c:pt idx="11" formatCode="General">
                  <c:v>12594.5</c:v>
                </c:pt>
                <c:pt idx="12">
                  <c:v>12608.45</c:v>
                </c:pt>
                <c:pt idx="13">
                  <c:v>12622.49</c:v>
                </c:pt>
                <c:pt idx="14">
                  <c:v>12636.49</c:v>
                </c:pt>
                <c:pt idx="15">
                  <c:v>12650.06</c:v>
                </c:pt>
                <c:pt idx="16">
                  <c:v>12663.44</c:v>
                </c:pt>
                <c:pt idx="17">
                  <c:v>12678.92</c:v>
                </c:pt>
                <c:pt idx="18">
                  <c:v>12690.6</c:v>
                </c:pt>
                <c:pt idx="19">
                  <c:v>12703.81</c:v>
                </c:pt>
                <c:pt idx="20">
                  <c:v>12715.86</c:v>
                </c:pt>
                <c:pt idx="21">
                  <c:v>12728.14</c:v>
                </c:pt>
                <c:pt idx="22">
                  <c:v>12741.08</c:v>
                </c:pt>
                <c:pt idx="23">
                  <c:v>12753.98</c:v>
                </c:pt>
                <c:pt idx="24">
                  <c:v>12766.96</c:v>
                </c:pt>
                <c:pt idx="25">
                  <c:v>12780.48</c:v>
                </c:pt>
              </c:numCache>
            </c:numRef>
          </c:val>
          <c:smooth val="0"/>
          <c:extLst>
            <c:ext xmlns:c16="http://schemas.microsoft.com/office/drawing/2014/chart" uri="{C3380CC4-5D6E-409C-BE32-E72D297353CC}">
              <c16:uniqueId val="{00000000-1CDB-43F3-B808-364BD69F8010}"/>
            </c:ext>
          </c:extLst>
        </c:ser>
        <c:dLbls>
          <c:dLblPos val="t"/>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584596136"/>
        <c:axId val="584590888"/>
      </c:lineChart>
      <c:dateAx>
        <c:axId val="584596136"/>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584590888"/>
        <c:crosses val="autoZero"/>
        <c:auto val="0"/>
        <c:lblOffset val="100"/>
        <c:baseTimeUnit val="days"/>
      </c:dateAx>
      <c:valAx>
        <c:axId val="584590888"/>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584596136"/>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p084C8tN/vFi3Rt34HIAyT3IFb3MRZEb9b9cc1TxGUQ=</DigestValue>
    </Reference>
    <Reference Type="http://www.w3.org/2000/09/xmldsig#Object" URI="#idOfficeObject">
      <DigestMethod Algorithm="http://www.w3.org/2001/04/xmlenc#sha256"/>
      <DigestValue>t2KicJ0Y1nMidYOpvG/DE27ITl0BpeGc0RW7IJ9xRUc=</DigestValue>
    </Reference>
    <Reference Type="http://uri.etsi.org/01903#SignedProperties" URI="#idSignedProperties">
      <Transforms>
        <Transform Algorithm="http://www.w3.org/TR/2001/REC-xml-c14n-20010315"/>
      </Transforms>
      <DigestMethod Algorithm="http://www.w3.org/2001/04/xmlenc#sha256"/>
      <DigestValue>Pbg4Av7jXR7qj40NtADqEDRQfA6GmS24v8n6WY5pBw8=</DigestValue>
    </Reference>
  </SignedInfo>
  <SignatureValue>J7hkG9oN3rh7bBkIwc6TimrRNvBAMTCXUMI7aFZFBPEsH1d6MObF24PNipL+Gjv75sWKh9hJ7ivd
aZ0r4WcxvBoGOV/MQZ4Wjpbqt2Y1tsPym5ny+nx8eX1sxq/wnalE8yA1VNdsmPN11Q4z715JiEp2
M+bNbBVMDHqt8aRe2xhbaIMuIHT1NsRtwfYAGVv9tBbo+kVTX9IEFdLGb/OGyi39jisNrHlTkAWm
4l5RUDoMjr/9XEghqiUEFhxD5UGK95nR+Wul/EUFKZdw6OahQ5r4yHres/BjunVv5mAqRgO0jFHI
SJa+GWcE6JCSFBXTleSuufCpiXuAdbEYVAbEIw==</SignatureValue>
  <KeyInfo>
    <X509Data>
      <X509Certificate>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1/04/xmlenc#sha256"/>
        <DigestValue>/38FlgvLA7KX1pjFsnxruitunpQ+hw5JUCxx/QWwEbg=</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1SJ2JBkuI8XNU4n6sQkksxN5NhjWXPf3mLkMlXDvPBM=</DigestValue>
      </Reference>
      <Reference URI="/word/charts/chart1.xml?ContentType=application/vnd.openxmlformats-officedocument.drawingml.chart+xml">
        <DigestMethod Algorithm="http://www.w3.org/2001/04/xmlenc#sha256"/>
        <DigestValue>1866HvXmCGm+aIHncRIWaNOCgLGowpZugQ/pI7SzOto=</DigestValue>
      </Reference>
      <Reference URI="/word/charts/colors1.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8AUSMABVC3wmy2iiSD3Ga6X5Q1CFSIO/d0ROJNvx5jY=</DigestValue>
      </Reference>
      <Reference URI="/word/document.xml?ContentType=application/vnd.openxmlformats-officedocument.wordprocessingml.document.main+xml">
        <DigestMethod Algorithm="http://www.w3.org/2001/04/xmlenc#sha256"/>
        <DigestValue>RsTeE+aPlIlNQUYpq97S8v6aRRlG/RO8McEfD/Gkh5w=</DigestValue>
      </Reference>
      <Reference URI="/word/endnotes.xml?ContentType=application/vnd.openxmlformats-officedocument.wordprocessingml.endnotes+xml">
        <DigestMethod Algorithm="http://www.w3.org/2001/04/xmlenc#sha256"/>
        <DigestValue>dLupjhErkLffrx7xnqQ5nJols+M4tsjXPzS+FeTcZ7w=</DigestValue>
      </Reference>
      <Reference URI="/word/fontTable.xml?ContentType=application/vnd.openxmlformats-officedocument.wordprocessingml.fontTable+xml">
        <DigestMethod Algorithm="http://www.w3.org/2001/04/xmlenc#sha256"/>
        <DigestValue>y316dDpGYD457KwXn8OMQREgqkhVFkIoQParrW/1cX4=</DigestValue>
      </Reference>
      <Reference URI="/word/footer1.xml?ContentType=application/vnd.openxmlformats-officedocument.wordprocessingml.footer+xml">
        <DigestMethod Algorithm="http://www.w3.org/2001/04/xmlenc#sha256"/>
        <DigestValue>isOusJh9OL9nAwPGlIeaHUt2tY/dE+2lDzC9NDOUjKo=</DigestValue>
      </Reference>
      <Reference URI="/word/footer2.xml?ContentType=application/vnd.openxmlformats-officedocument.wordprocessingml.footer+xml">
        <DigestMethod Algorithm="http://www.w3.org/2001/04/xmlenc#sha256"/>
        <DigestValue>NsUepqzkVL5o7YyGrhaMoqdBs6DsbTPKU2opCBWsN2M=</DigestValue>
      </Reference>
      <Reference URI="/word/footer3.xml?ContentType=application/vnd.openxmlformats-officedocument.wordprocessingml.footer+xml">
        <DigestMethod Algorithm="http://www.w3.org/2001/04/xmlenc#sha256"/>
        <DigestValue>JXR7Ox8YonoGJDcGsszJqkamu77r02So5IMWV62keAA=</DigestValue>
      </Reference>
      <Reference URI="/word/footnotes.xml?ContentType=application/vnd.openxmlformats-officedocument.wordprocessingml.footnotes+xml">
        <DigestMethod Algorithm="http://www.w3.org/2001/04/xmlenc#sha256"/>
        <DigestValue>DGysmU5f+skyrh8lai9zXG2RctGIZD5FsvYCrkqOhL8=</DigestValue>
      </Reference>
      <Reference URI="/word/header1.xml?ContentType=application/vnd.openxmlformats-officedocument.wordprocessingml.header+xml">
        <DigestMethod Algorithm="http://www.w3.org/2001/04/xmlenc#sha256"/>
        <DigestValue>dDY4GKgzNpSPnXk5XHoMA9ZPykxyROzhr/1InvOmgEc=</DigestValue>
      </Reference>
      <Reference URI="/word/header2.xml?ContentType=application/vnd.openxmlformats-officedocument.wordprocessingml.header+xml">
        <DigestMethod Algorithm="http://www.w3.org/2001/04/xmlenc#sha256"/>
        <DigestValue>apSKwbS3tTw4mE7sJJLJR2atxvzSWN++XpMLiNModYU=</DigestValue>
      </Reference>
      <Reference URI="/word/header3.xml?ContentType=application/vnd.openxmlformats-officedocument.wordprocessingml.header+xml">
        <DigestMethod Algorithm="http://www.w3.org/2001/04/xmlenc#sha256"/>
        <DigestValue>fVOHB1Xd7f8o8L4333J8GbJASUlVnn3zjs2R13sfFaE=</DigestValue>
      </Reference>
      <Reference URI="/word/media/image1.png?ContentType=image/png">
        <DigestMethod Algorithm="http://www.w3.org/2001/04/xmlenc#sha256"/>
        <DigestValue>5JSnPmsHk22LvoDyxnoxkATSdlBlJ7JK2YrT7/w0Tvk=</DigestValue>
      </Reference>
      <Reference URI="/word/media/image2.png?ContentType=image/png">
        <DigestMethod Algorithm="http://www.w3.org/2001/04/xmlenc#sha256"/>
        <DigestValue>uuR0QqBZxl6seNJTnPFoS3SMn/baOyxPFjp0LxY8YVk=</DigestValue>
      </Reference>
      <Reference URI="/word/media/image3.png?ContentType=image/png">
        <DigestMethod Algorithm="http://www.w3.org/2001/04/xmlenc#sha256"/>
        <DigestValue>+arcdPyy2QsSfeft6FNMvxGGNiKJ5cMpo+NTlSDNHFU=</DigestValue>
      </Reference>
      <Reference URI="/word/media/image4.png?ContentType=image/png">
        <DigestMethod Algorithm="http://www.w3.org/2001/04/xmlenc#sha256"/>
        <DigestValue>xOfUhaaf3LxHhro6ST8Oo7z+qEP4E7WrtSUswWFcubA=</DigestValue>
      </Reference>
      <Reference URI="/word/numbering.xml?ContentType=application/vnd.openxmlformats-officedocument.wordprocessingml.numbering+xml">
        <DigestMethod Algorithm="http://www.w3.org/2001/04/xmlenc#sha256"/>
        <DigestValue>H0t+pnLG9EvuF+5GuTxyc8QQ7JKLsNy+c7Rs0y5mVqw=</DigestValue>
      </Reference>
      <Reference URI="/word/settings.xml?ContentType=application/vnd.openxmlformats-officedocument.wordprocessingml.settings+xml">
        <DigestMethod Algorithm="http://www.w3.org/2001/04/xmlenc#sha256"/>
        <DigestValue>cuPiM6b6YSdNhf8hYcImx/QXZKBAG6ukJrgjySKVrzA=</DigestValue>
      </Reference>
      <Reference URI="/word/styles.xml?ContentType=application/vnd.openxmlformats-officedocument.wordprocessingml.styles+xml">
        <DigestMethod Algorithm="http://www.w3.org/2001/04/xmlenc#sha256"/>
        <DigestValue>l1DfXYEbEJ0meXdHRrLn9yvatrHkmnsOHIBOfidPJAY=</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hHl7w34fQ2pBs15b2tFcu54SVRbkyspo7jCjMFJysIs=</DigestValue>
      </Reference>
    </Manifest>
    <SignatureProperties>
      <SignatureProperty Id="idSignatureTime" Target="#idPackageSignature">
        <mdssi:SignatureTime xmlns:mdssi="http://schemas.openxmlformats.org/package/2006/digital-signature">
          <mdssi:Format>YYYY-MM-DDThh:mm:ssTZD</mdssi:Format>
          <mdssi:Value>2024-08-13T08:57:04Z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16.0.17328/26</OfficeVersion>
          <ApplicationVersion>16.0.17328</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2024-08-13T08:57:04Z</xd:SigningTime>
          <xd:SigningCertificate>
            <xd:Cert>
              <xd:CertDigest>
                <DigestMethod Algorithm="http://www.w3.org/2001/04/xmlenc#sha256"/>
                <DigestValue>I6W2lDPuD8U1UpG439moyNMIHpHRntIW+slt+35uSzU=</DigestValue>
              </xd:CertDigest>
              <xd:IssuerSerial>
                <X509IssuerName>CN=VNPT-CA SHA-256, O=VIETNAM POSTS AND TELECOMMUNICATIONS GROUP, C=VN</X509IssuerName>
                <X509SerialNumber>111660364373122083660361053384384430899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F020-E274-4FB6-803A-9B205899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3884</Words>
  <Characters>22140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Thanh Thuy - CFMC Vietnam</dc:creator>
  <cp:lastModifiedBy>Nguyen, Thi Bich Ngoc</cp:lastModifiedBy>
  <cp:revision>16</cp:revision>
  <cp:lastPrinted>2022-01-19T10:21:00Z</cp:lastPrinted>
  <dcterms:created xsi:type="dcterms:W3CDTF">2023-08-10T10:06:00Z</dcterms:created>
  <dcterms:modified xsi:type="dcterms:W3CDTF">2024-08-12T01:56:00Z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2021-04-15T02:16:22Z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98d88398-352a-4e9b-bd79-a7f441adb190</vt:lpwstr>
  </property>
  <property fmtid="{D5CDD505-2E9C-101B-9397-08002B2CF9AE}" pid="8" name="MSIP_Label_b279a5b4-1824-49e3-a612-20b3893cf696_ContentBits">
    <vt:lpwstr>0</vt:lpwstr>
  </property>
</Properties>
</file>