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5AF69" w14:textId="77777777" w:rsidR="001C4468" w:rsidRPr="00E93BC5" w:rsidRDefault="001C4468" w:rsidP="00406622">
      <w:pPr>
        <w:shd w:val="clear" w:color="auto" w:fill="FFFFFF"/>
        <w:tabs>
          <w:tab w:val="left" w:pos="270"/>
        </w:tabs>
        <w:spacing w:before="120" w:after="0" w:line="240" w:lineRule="auto"/>
        <w:jc w:val="center"/>
        <w:rPr>
          <w:rFonts w:ascii="Times New Roman" w:hAnsi="Times New Roman"/>
          <w:b/>
          <w:sz w:val="24"/>
          <w:szCs w:val="24"/>
          <w:lang w:val="nl-NL"/>
        </w:rPr>
      </w:pPr>
      <w:r w:rsidRPr="00E93BC5">
        <w:rPr>
          <w:rFonts w:ascii="Times New Roman" w:hAnsi="Times New Roman"/>
          <w:b/>
          <w:sz w:val="24"/>
          <w:szCs w:val="24"/>
          <w:lang w:val="nl-NL"/>
        </w:rPr>
        <w:t>BÁO CÁO CỦA CÔNG TY QUẢN LÝ QUỸ</w:t>
      </w:r>
    </w:p>
    <w:p w14:paraId="0E96F330" w14:textId="77777777" w:rsidR="00C17D8E" w:rsidRPr="00E93BC5" w:rsidRDefault="00C17D8E" w:rsidP="00FF0C62">
      <w:pPr>
        <w:shd w:val="clear" w:color="auto" w:fill="FFFFFF"/>
        <w:tabs>
          <w:tab w:val="left" w:pos="540"/>
        </w:tabs>
        <w:spacing w:before="120" w:after="0" w:line="240" w:lineRule="auto"/>
        <w:jc w:val="center"/>
        <w:rPr>
          <w:rFonts w:ascii="Times New Roman" w:hAnsi="Times New Roman"/>
          <w:b/>
          <w:sz w:val="24"/>
          <w:szCs w:val="24"/>
          <w:lang w:val="nl-NL"/>
        </w:rPr>
      </w:pPr>
      <w:r w:rsidRPr="00E93BC5">
        <w:rPr>
          <w:rFonts w:ascii="Times New Roman" w:hAnsi="Times New Roman"/>
          <w:b/>
          <w:sz w:val="24"/>
          <w:szCs w:val="24"/>
          <w:lang w:val="nl-NL"/>
        </w:rPr>
        <w:t>(</w:t>
      </w:r>
      <w:r w:rsidRPr="00E93BC5">
        <w:rPr>
          <w:rFonts w:ascii="Times New Roman" w:hAnsi="Times New Roman"/>
          <w:b/>
          <w:i/>
          <w:sz w:val="24"/>
          <w:szCs w:val="24"/>
          <w:lang w:val="nl-NL"/>
        </w:rPr>
        <w:t>Ban hành kèm theo Thông tư số 181/2015/TT-BTC ngày 13 tháng 11 năm 2015 của Bộ Tài chính)</w:t>
      </w:r>
    </w:p>
    <w:p w14:paraId="4FFC3A13" w14:textId="77777777" w:rsidR="00C17D8E" w:rsidRPr="00E93BC5" w:rsidRDefault="00C17D8E" w:rsidP="00FF0C62">
      <w:pPr>
        <w:shd w:val="clear" w:color="auto" w:fill="FFFFFF"/>
        <w:tabs>
          <w:tab w:val="left" w:pos="540"/>
        </w:tabs>
        <w:spacing w:before="120" w:after="0" w:line="240" w:lineRule="auto"/>
        <w:jc w:val="center"/>
        <w:rPr>
          <w:rFonts w:ascii="Times New Roman" w:hAnsi="Times New Roman"/>
          <w:b/>
          <w:sz w:val="24"/>
          <w:szCs w:val="24"/>
          <w:lang w:val="nl-NL"/>
        </w:rPr>
      </w:pPr>
      <w:r w:rsidRPr="00E93BC5">
        <w:rPr>
          <w:rFonts w:ascii="Times New Roman" w:hAnsi="Times New Roman"/>
          <w:b/>
          <w:sz w:val="24"/>
          <w:szCs w:val="24"/>
          <w:lang w:val="nl-NL"/>
        </w:rPr>
        <w:t>BÁO CÁO CỦA CÔNG TY TNHH MTV QUẢN LÝ QUỸ CHUBB LIFE</w:t>
      </w:r>
    </w:p>
    <w:p w14:paraId="1A4CC93D" w14:textId="06A6FB78" w:rsidR="00C17D8E" w:rsidRPr="00E93BC5" w:rsidRDefault="00C17D8E" w:rsidP="008A4832">
      <w:pPr>
        <w:shd w:val="clear" w:color="auto" w:fill="FFFFFF"/>
        <w:tabs>
          <w:tab w:val="left" w:pos="540"/>
        </w:tabs>
        <w:spacing w:before="120" w:after="240" w:line="240" w:lineRule="auto"/>
        <w:jc w:val="center"/>
        <w:rPr>
          <w:rFonts w:ascii="Times New Roman" w:hAnsi="Times New Roman"/>
          <w:b/>
          <w:i/>
          <w:sz w:val="24"/>
          <w:szCs w:val="24"/>
          <w:lang w:val="nl-NL"/>
        </w:rPr>
      </w:pPr>
      <w:r w:rsidRPr="00E93BC5">
        <w:rPr>
          <w:rFonts w:ascii="Times New Roman" w:hAnsi="Times New Roman"/>
          <w:b/>
          <w:i/>
          <w:sz w:val="24"/>
          <w:szCs w:val="24"/>
          <w:lang w:val="nl-NL"/>
        </w:rPr>
        <w:t>(</w:t>
      </w:r>
      <w:r w:rsidR="0009242D">
        <w:rPr>
          <w:rFonts w:ascii="Times New Roman" w:hAnsi="Times New Roman"/>
          <w:b/>
          <w:i/>
          <w:sz w:val="24"/>
          <w:szCs w:val="24"/>
          <w:lang w:val="nl-NL"/>
        </w:rPr>
        <w:t>Quý</w:t>
      </w:r>
      <w:r w:rsidR="00163511">
        <w:rPr>
          <w:rFonts w:ascii="Times New Roman" w:hAnsi="Times New Roman"/>
          <w:b/>
          <w:i/>
          <w:sz w:val="24"/>
          <w:szCs w:val="24"/>
          <w:lang w:val="nl-NL"/>
        </w:rPr>
        <w:t xml:space="preserve"> </w:t>
      </w:r>
      <w:r w:rsidR="00302F99">
        <w:rPr>
          <w:rFonts w:ascii="Times New Roman" w:hAnsi="Times New Roman"/>
          <w:b/>
          <w:i/>
          <w:sz w:val="24"/>
          <w:szCs w:val="24"/>
          <w:lang w:val="nl-NL"/>
        </w:rPr>
        <w:t>1</w:t>
      </w:r>
      <w:r w:rsidR="002D54C8" w:rsidRPr="00E93BC5">
        <w:rPr>
          <w:rFonts w:ascii="Times New Roman" w:hAnsi="Times New Roman"/>
          <w:b/>
          <w:i/>
          <w:sz w:val="24"/>
          <w:szCs w:val="24"/>
          <w:lang w:val="nl-NL"/>
        </w:rPr>
        <w:t>/202</w:t>
      </w:r>
      <w:r w:rsidR="00B11584">
        <w:rPr>
          <w:rFonts w:ascii="Times New Roman" w:hAnsi="Times New Roman"/>
          <w:b/>
          <w:i/>
          <w:sz w:val="24"/>
          <w:szCs w:val="24"/>
          <w:lang w:val="nl-NL"/>
        </w:rPr>
        <w:t>5</w:t>
      </w:r>
      <w:r w:rsidRPr="00E93BC5">
        <w:rPr>
          <w:rFonts w:ascii="Times New Roman" w:hAnsi="Times New Roman"/>
          <w:b/>
          <w:i/>
          <w:sz w:val="24"/>
          <w:szCs w:val="24"/>
          <w:lang w:val="nl-NL"/>
        </w:rPr>
        <w:t>)</w:t>
      </w:r>
    </w:p>
    <w:p w14:paraId="0ED0F6F0" w14:textId="77777777" w:rsidR="001C4468" w:rsidRPr="00E93BC5" w:rsidRDefault="001C4468" w:rsidP="00B3750F">
      <w:pPr>
        <w:pStyle w:val="ListParagraph"/>
        <w:numPr>
          <w:ilvl w:val="0"/>
          <w:numId w:val="1"/>
        </w:numPr>
        <w:shd w:val="clear" w:color="auto" w:fill="FFFFFF"/>
        <w:tabs>
          <w:tab w:val="left" w:pos="540"/>
        </w:tabs>
        <w:spacing w:before="120" w:after="0" w:line="240" w:lineRule="auto"/>
        <w:ind w:hanging="1080"/>
        <w:jc w:val="both"/>
        <w:rPr>
          <w:rFonts w:ascii="Times New Roman" w:hAnsi="Times New Roman"/>
          <w:b/>
          <w:sz w:val="24"/>
          <w:szCs w:val="24"/>
          <w:lang w:val="nl-NL"/>
        </w:rPr>
      </w:pPr>
      <w:r w:rsidRPr="00E93BC5">
        <w:rPr>
          <w:rFonts w:ascii="Times New Roman" w:hAnsi="Times New Roman"/>
          <w:b/>
          <w:sz w:val="24"/>
          <w:szCs w:val="24"/>
          <w:lang w:val="nl-NL"/>
        </w:rPr>
        <w:t>T</w:t>
      </w:r>
      <w:r w:rsidR="00D86A2D" w:rsidRPr="00E93BC5">
        <w:rPr>
          <w:rFonts w:ascii="Times New Roman" w:hAnsi="Times New Roman"/>
          <w:b/>
          <w:sz w:val="24"/>
          <w:szCs w:val="24"/>
          <w:lang w:val="nl-NL"/>
        </w:rPr>
        <w:t>HÔNG TIN CHUNG VỀ QUỸ</w:t>
      </w:r>
    </w:p>
    <w:p w14:paraId="019E1D7F" w14:textId="77777777" w:rsidR="00C17D8E" w:rsidRPr="00E93BC5" w:rsidRDefault="00C17D8E" w:rsidP="00B3750F">
      <w:pPr>
        <w:shd w:val="clear" w:color="auto" w:fill="FFFFFF"/>
        <w:tabs>
          <w:tab w:val="left" w:pos="450"/>
        </w:tabs>
        <w:spacing w:before="120" w:after="0" w:line="240" w:lineRule="auto"/>
        <w:jc w:val="both"/>
        <w:rPr>
          <w:rFonts w:ascii="Times New Roman" w:eastAsia="Times New Roman" w:hAnsi="Times New Roman"/>
          <w:bCs/>
          <w:color w:val="000000"/>
          <w:sz w:val="24"/>
          <w:szCs w:val="24"/>
          <w:lang w:val="nl-NL" w:eastAsia="en-SG"/>
        </w:rPr>
      </w:pPr>
      <w:r w:rsidRPr="00E93BC5">
        <w:rPr>
          <w:rFonts w:ascii="Times New Roman" w:eastAsia="Times New Roman" w:hAnsi="Times New Roman"/>
          <w:bCs/>
          <w:color w:val="000000"/>
          <w:sz w:val="24"/>
          <w:szCs w:val="24"/>
          <w:lang w:val="nl-NL" w:eastAsia="en-SG"/>
        </w:rPr>
        <w:t xml:space="preserve">Tên quỹ: </w:t>
      </w:r>
      <w:r w:rsidRPr="00E93BC5">
        <w:rPr>
          <w:rFonts w:ascii="Times New Roman" w:eastAsia="Times New Roman" w:hAnsi="Times New Roman"/>
          <w:b/>
          <w:bCs/>
          <w:color w:val="000000"/>
          <w:sz w:val="24"/>
          <w:szCs w:val="24"/>
          <w:lang w:val="nl-NL" w:eastAsia="en-SG"/>
        </w:rPr>
        <w:t>Quỹ Đầu tư Trái phiếu Mở rộng Chubb</w:t>
      </w:r>
    </w:p>
    <w:p w14:paraId="29DE4F7B" w14:textId="77777777" w:rsidR="00C17D8E" w:rsidRPr="00E93BC5" w:rsidRDefault="00AA4AF1" w:rsidP="00B3750F">
      <w:pPr>
        <w:shd w:val="clear" w:color="auto" w:fill="FFFFFF"/>
        <w:tabs>
          <w:tab w:val="left" w:pos="450"/>
        </w:tabs>
        <w:spacing w:before="120" w:after="0" w:line="240" w:lineRule="auto"/>
        <w:jc w:val="both"/>
        <w:rPr>
          <w:rFonts w:ascii="Times New Roman" w:hAnsi="Times New Roman"/>
          <w:sz w:val="24"/>
          <w:szCs w:val="24"/>
          <w:lang w:val="nl-NL"/>
        </w:rPr>
      </w:pPr>
      <w:r w:rsidRPr="00E93BC5">
        <w:rPr>
          <w:rFonts w:ascii="Times New Roman" w:eastAsia="Times New Roman" w:hAnsi="Times New Roman"/>
          <w:bCs/>
          <w:color w:val="000000"/>
          <w:sz w:val="24"/>
          <w:szCs w:val="24"/>
          <w:lang w:val="nl-NL" w:eastAsia="en-SG"/>
        </w:rPr>
        <w:t xml:space="preserve"> </w:t>
      </w:r>
      <w:r w:rsidR="00C17D8E" w:rsidRPr="00E93BC5">
        <w:rPr>
          <w:rFonts w:ascii="Times New Roman" w:eastAsia="Times New Roman" w:hAnsi="Times New Roman"/>
          <w:bCs/>
          <w:color w:val="000000"/>
          <w:sz w:val="24"/>
          <w:szCs w:val="24"/>
          <w:lang w:val="nl-NL" w:eastAsia="en-SG"/>
        </w:rPr>
        <w:t xml:space="preserve">Loại hình quỹ: </w:t>
      </w:r>
      <w:r w:rsidR="00C17D8E" w:rsidRPr="00E93BC5">
        <w:rPr>
          <w:rFonts w:ascii="Times New Roman" w:eastAsia="Times New Roman" w:hAnsi="Times New Roman"/>
          <w:b/>
          <w:bCs/>
          <w:color w:val="000000"/>
          <w:sz w:val="24"/>
          <w:szCs w:val="24"/>
          <w:lang w:val="nl-NL" w:eastAsia="en-SG"/>
        </w:rPr>
        <w:t>Quỹ mở</w:t>
      </w:r>
    </w:p>
    <w:p w14:paraId="509BD9F5"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Mục tiêu của Quỹ:</w:t>
      </w:r>
    </w:p>
    <w:p w14:paraId="06055ACB" w14:textId="77777777" w:rsidR="00C17D8E" w:rsidRPr="00E93BC5" w:rsidRDefault="00967897" w:rsidP="00B3750F">
      <w:pPr>
        <w:shd w:val="clear" w:color="auto" w:fill="FFFFFF"/>
        <w:tabs>
          <w:tab w:val="left" w:pos="540"/>
        </w:tabs>
        <w:spacing w:before="120" w:after="0" w:line="240" w:lineRule="auto"/>
        <w:jc w:val="both"/>
        <w:rPr>
          <w:rFonts w:ascii="Times New Roman" w:eastAsia="Times New Roman" w:hAnsi="Times New Roman"/>
          <w:bCs/>
          <w:color w:val="000000"/>
          <w:sz w:val="24"/>
          <w:szCs w:val="24"/>
          <w:lang w:val="nl-NL" w:eastAsia="en-SG"/>
        </w:rPr>
      </w:pPr>
      <w:r w:rsidRPr="00E93BC5">
        <w:rPr>
          <w:rFonts w:ascii="Times New Roman" w:eastAsia="Times New Roman" w:hAnsi="Times New Roman"/>
          <w:bCs/>
          <w:color w:val="000000"/>
          <w:sz w:val="24"/>
          <w:szCs w:val="24"/>
          <w:lang w:val="nl-NL" w:eastAsia="en-SG"/>
        </w:rPr>
        <w:t>Mục tiêu đầu tư của Quỹ là tối đa hóa lợi nhuận đồng thời bảo toàn vốn cho Nhà Đầu tư thông qua việc đầu tư vào các tài sản có thu nhập cố định an toàn và một phần vào các cổ phiếu cơ bản có hoạt động kinh doanh tốt và được tự do chuyển nhượng với mục đích phân tán rủi ro đầu tư và mang lại cho các Nhà Đầu tư kết quả tốt nhất từ việc quản lý danh mục đầu tư, phù hợp với các quyết định của Đại hội Nhà Đầu tư và Pháp luật</w:t>
      </w:r>
      <w:r w:rsidR="00C17D8E" w:rsidRPr="00E93BC5">
        <w:rPr>
          <w:rFonts w:ascii="Times New Roman" w:eastAsia="Times New Roman" w:hAnsi="Times New Roman"/>
          <w:bCs/>
          <w:color w:val="000000"/>
          <w:sz w:val="24"/>
          <w:szCs w:val="24"/>
          <w:lang w:val="nl-NL" w:eastAsia="en-SG"/>
        </w:rPr>
        <w:t xml:space="preserve">. </w:t>
      </w:r>
    </w:p>
    <w:p w14:paraId="1678E42E" w14:textId="77777777" w:rsidR="001C4468" w:rsidRPr="00E93BC5" w:rsidRDefault="001C4468" w:rsidP="00FF0C62">
      <w:pPr>
        <w:pStyle w:val="ListParagraph"/>
        <w:numPr>
          <w:ilvl w:val="0"/>
          <w:numId w:val="3"/>
        </w:numPr>
        <w:shd w:val="clear" w:color="auto" w:fill="FFFFFF"/>
        <w:spacing w:before="120" w:after="0" w:line="480" w:lineRule="auto"/>
        <w:ind w:left="360"/>
        <w:jc w:val="both"/>
        <w:rPr>
          <w:rFonts w:ascii="Times New Roman" w:hAnsi="Times New Roman"/>
          <w:b/>
          <w:sz w:val="24"/>
          <w:szCs w:val="24"/>
          <w:lang w:val="nl-NL"/>
        </w:rPr>
      </w:pPr>
      <w:r w:rsidRPr="00E93BC5">
        <w:rPr>
          <w:rFonts w:ascii="Times New Roman" w:hAnsi="Times New Roman"/>
          <w:b/>
          <w:sz w:val="24"/>
          <w:szCs w:val="24"/>
          <w:lang w:val="nl-NL"/>
        </w:rPr>
        <w:t>Hiệu quả hoạt động của Quỹ:</w:t>
      </w:r>
    </w:p>
    <w:tbl>
      <w:tblPr>
        <w:tblW w:w="7349" w:type="dxa"/>
        <w:jc w:val="center"/>
        <w:tblLook w:val="04A0" w:firstRow="1" w:lastRow="0" w:firstColumn="1" w:lastColumn="0" w:noHBand="0" w:noVBand="1"/>
      </w:tblPr>
      <w:tblGrid>
        <w:gridCol w:w="3787"/>
        <w:gridCol w:w="3562"/>
      </w:tblGrid>
      <w:tr w:rsidR="009860B3" w:rsidRPr="00E93BC5" w14:paraId="0A641D04" w14:textId="77777777" w:rsidTr="00ED7937">
        <w:trPr>
          <w:trHeight w:val="677"/>
          <w:jc w:val="center"/>
        </w:trPr>
        <w:tc>
          <w:tcPr>
            <w:tcW w:w="378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6D688A9" w14:textId="4AD2509B" w:rsidR="009860B3" w:rsidRPr="00E93BC5" w:rsidRDefault="009860B3" w:rsidP="009860B3">
            <w:pPr>
              <w:spacing w:after="0" w:line="240" w:lineRule="auto"/>
              <w:jc w:val="center"/>
              <w:rPr>
                <w:rFonts w:ascii="Times New Roman" w:eastAsia="Times New Roman" w:hAnsi="Times New Roman"/>
                <w:bCs/>
                <w:color w:val="000000"/>
                <w:sz w:val="24"/>
                <w:szCs w:val="24"/>
                <w:lang w:val="en-SG" w:eastAsia="en-SG"/>
              </w:rPr>
            </w:pPr>
            <w:r w:rsidRPr="00E93BC5">
              <w:rPr>
                <w:rFonts w:ascii="Times New Roman" w:eastAsia="Times New Roman" w:hAnsi="Times New Roman"/>
                <w:bCs/>
                <w:color w:val="000000"/>
                <w:sz w:val="24"/>
                <w:szCs w:val="24"/>
                <w:lang w:val="en-SG" w:eastAsia="en-SG"/>
              </w:rPr>
              <w:t xml:space="preserve">NAV </w:t>
            </w:r>
            <w:proofErr w:type="spellStart"/>
            <w:r w:rsidRPr="00E93BC5">
              <w:rPr>
                <w:rFonts w:ascii="Times New Roman" w:eastAsia="Times New Roman" w:hAnsi="Times New Roman"/>
                <w:bCs/>
                <w:color w:val="000000"/>
                <w:sz w:val="24"/>
                <w:szCs w:val="24"/>
                <w:lang w:val="en-SG" w:eastAsia="en-SG"/>
              </w:rPr>
              <w:t>ngày</w:t>
            </w:r>
            <w:proofErr w:type="spellEnd"/>
            <w:r w:rsidRPr="00E93BC5">
              <w:rPr>
                <w:rFonts w:ascii="Times New Roman" w:eastAsia="Times New Roman" w:hAnsi="Times New Roman"/>
                <w:bCs/>
                <w:color w:val="000000"/>
                <w:sz w:val="24"/>
                <w:szCs w:val="24"/>
                <w:lang w:val="en-SG" w:eastAsia="en-SG"/>
              </w:rPr>
              <w:t xml:space="preserve"> </w:t>
            </w:r>
            <w:r w:rsidR="00163511">
              <w:rPr>
                <w:rFonts w:ascii="Times New Roman" w:eastAsia="Times New Roman" w:hAnsi="Times New Roman"/>
                <w:bCs/>
                <w:color w:val="000000"/>
                <w:sz w:val="24"/>
                <w:szCs w:val="24"/>
                <w:lang w:val="en-SG" w:eastAsia="en-SG"/>
              </w:rPr>
              <w:t>31/</w:t>
            </w:r>
            <w:r w:rsidR="00302F99">
              <w:rPr>
                <w:rFonts w:ascii="Times New Roman" w:eastAsia="Times New Roman" w:hAnsi="Times New Roman"/>
                <w:bCs/>
                <w:color w:val="000000"/>
                <w:sz w:val="24"/>
                <w:szCs w:val="24"/>
                <w:lang w:val="en-SG" w:eastAsia="en-SG"/>
              </w:rPr>
              <w:t>03</w:t>
            </w:r>
            <w:r w:rsidR="002D6606">
              <w:rPr>
                <w:rFonts w:ascii="Times New Roman" w:eastAsia="Times New Roman" w:hAnsi="Times New Roman"/>
                <w:bCs/>
                <w:color w:val="000000"/>
                <w:sz w:val="24"/>
                <w:szCs w:val="24"/>
                <w:lang w:val="en-SG" w:eastAsia="en-SG"/>
              </w:rPr>
              <w:t>/202</w:t>
            </w:r>
            <w:r w:rsidR="00B11584">
              <w:rPr>
                <w:rFonts w:ascii="Times New Roman" w:eastAsia="Times New Roman" w:hAnsi="Times New Roman"/>
                <w:bCs/>
                <w:color w:val="000000"/>
                <w:sz w:val="24"/>
                <w:szCs w:val="24"/>
                <w:lang w:val="en-SG" w:eastAsia="en-SG"/>
              </w:rPr>
              <w:t>4</w:t>
            </w:r>
            <w:r w:rsidRPr="00E93BC5">
              <w:rPr>
                <w:rFonts w:ascii="Times New Roman" w:eastAsia="Times New Roman" w:hAnsi="Times New Roman"/>
                <w:bCs/>
                <w:color w:val="000000"/>
                <w:sz w:val="24"/>
                <w:szCs w:val="24"/>
                <w:lang w:val="en-SG" w:eastAsia="en-SG"/>
              </w:rPr>
              <w:t xml:space="preserve"> (VNĐ)</w:t>
            </w:r>
          </w:p>
        </w:tc>
        <w:tc>
          <w:tcPr>
            <w:tcW w:w="3562" w:type="dxa"/>
            <w:tcBorders>
              <w:top w:val="single" w:sz="4" w:space="0" w:color="auto"/>
              <w:left w:val="nil"/>
              <w:bottom w:val="single" w:sz="4" w:space="0" w:color="auto"/>
              <w:right w:val="single" w:sz="4" w:space="0" w:color="auto"/>
            </w:tcBorders>
            <w:shd w:val="clear" w:color="000000" w:fill="DCE6F1"/>
            <w:vAlign w:val="center"/>
            <w:hideMark/>
          </w:tcPr>
          <w:p w14:paraId="5F458DF7" w14:textId="04B8AA1A" w:rsidR="009860B3" w:rsidRPr="00E93BC5" w:rsidRDefault="009860B3" w:rsidP="009860B3">
            <w:pPr>
              <w:spacing w:after="0" w:line="240" w:lineRule="auto"/>
              <w:jc w:val="center"/>
              <w:rPr>
                <w:rFonts w:ascii="Times New Roman" w:eastAsia="Times New Roman" w:hAnsi="Times New Roman"/>
                <w:bCs/>
                <w:color w:val="000000"/>
                <w:sz w:val="24"/>
                <w:szCs w:val="24"/>
                <w:lang w:val="en-SG" w:eastAsia="en-SG"/>
              </w:rPr>
            </w:pPr>
            <w:r w:rsidRPr="00E93BC5">
              <w:rPr>
                <w:rFonts w:ascii="Times New Roman" w:eastAsia="Times New Roman" w:hAnsi="Times New Roman"/>
                <w:bCs/>
                <w:color w:val="000000"/>
                <w:sz w:val="24"/>
                <w:szCs w:val="24"/>
                <w:lang w:val="en-SG" w:eastAsia="en-SG"/>
              </w:rPr>
              <w:t xml:space="preserve">NAV </w:t>
            </w:r>
            <w:proofErr w:type="spellStart"/>
            <w:r w:rsidRPr="00E93BC5">
              <w:rPr>
                <w:rFonts w:ascii="Times New Roman" w:eastAsia="Times New Roman" w:hAnsi="Times New Roman"/>
                <w:bCs/>
                <w:color w:val="000000"/>
                <w:sz w:val="24"/>
                <w:szCs w:val="24"/>
                <w:lang w:val="en-SG" w:eastAsia="en-SG"/>
              </w:rPr>
              <w:t>ngày</w:t>
            </w:r>
            <w:proofErr w:type="spellEnd"/>
            <w:r w:rsidRPr="00E93BC5">
              <w:rPr>
                <w:rFonts w:ascii="Times New Roman" w:eastAsia="Times New Roman" w:hAnsi="Times New Roman"/>
                <w:bCs/>
                <w:color w:val="000000"/>
                <w:sz w:val="24"/>
                <w:szCs w:val="24"/>
                <w:lang w:val="en-SG" w:eastAsia="en-SG"/>
              </w:rPr>
              <w:t xml:space="preserve"> </w:t>
            </w:r>
            <w:r w:rsidR="00302F99">
              <w:rPr>
                <w:rFonts w:ascii="Times New Roman" w:eastAsia="Times New Roman" w:hAnsi="Times New Roman"/>
                <w:bCs/>
                <w:color w:val="000000"/>
                <w:sz w:val="24"/>
                <w:szCs w:val="24"/>
                <w:lang w:val="en-SG" w:eastAsia="en-SG"/>
              </w:rPr>
              <w:t>31/03/202</w:t>
            </w:r>
            <w:r w:rsidR="00B11584">
              <w:rPr>
                <w:rFonts w:ascii="Times New Roman" w:eastAsia="Times New Roman" w:hAnsi="Times New Roman"/>
                <w:bCs/>
                <w:color w:val="000000"/>
                <w:sz w:val="24"/>
                <w:szCs w:val="24"/>
                <w:lang w:val="en-SG" w:eastAsia="en-SG"/>
              </w:rPr>
              <w:t>5</w:t>
            </w:r>
            <w:r w:rsidRPr="00E93BC5">
              <w:rPr>
                <w:rFonts w:ascii="Times New Roman" w:eastAsia="Times New Roman" w:hAnsi="Times New Roman"/>
                <w:bCs/>
                <w:color w:val="000000"/>
                <w:sz w:val="24"/>
                <w:szCs w:val="24"/>
                <w:lang w:val="en-SG" w:eastAsia="en-SG"/>
              </w:rPr>
              <w:t xml:space="preserve"> (VNĐ)</w:t>
            </w:r>
          </w:p>
        </w:tc>
      </w:tr>
      <w:tr w:rsidR="009860B3" w:rsidRPr="00E93BC5" w14:paraId="49BCADE4" w14:textId="77777777" w:rsidTr="003271F8">
        <w:trPr>
          <w:trHeight w:val="503"/>
          <w:jc w:val="center"/>
        </w:trPr>
        <w:tc>
          <w:tcPr>
            <w:tcW w:w="3787" w:type="dxa"/>
            <w:tcBorders>
              <w:top w:val="nil"/>
              <w:left w:val="single" w:sz="4" w:space="0" w:color="auto"/>
              <w:bottom w:val="single" w:sz="4" w:space="0" w:color="auto"/>
              <w:right w:val="single" w:sz="4" w:space="0" w:color="auto"/>
            </w:tcBorders>
            <w:shd w:val="clear" w:color="000000" w:fill="DCE6F1"/>
            <w:noWrap/>
            <w:vAlign w:val="center"/>
          </w:tcPr>
          <w:p w14:paraId="3DB9E597" w14:textId="02B05151" w:rsidR="009860B3" w:rsidRPr="00E93BC5" w:rsidRDefault="00A168BB" w:rsidP="003271F8">
            <w:pPr>
              <w:spacing w:after="0" w:line="240" w:lineRule="auto"/>
              <w:jc w:val="center"/>
              <w:rPr>
                <w:rFonts w:ascii="Times New Roman" w:eastAsia="Times New Roman" w:hAnsi="Times New Roman"/>
                <w:bCs/>
                <w:color w:val="000000"/>
                <w:sz w:val="24"/>
                <w:szCs w:val="24"/>
                <w:lang w:val="en-SG" w:eastAsia="en-SG"/>
              </w:rPr>
            </w:pPr>
            <w:r w:rsidRPr="00302F99">
              <w:rPr>
                <w:rFonts w:ascii="Times New Roman" w:eastAsia="Times New Roman" w:hAnsi="Times New Roman"/>
                <w:bCs/>
                <w:color w:val="000000"/>
                <w:sz w:val="24"/>
                <w:szCs w:val="24"/>
                <w:lang w:val="en-SG" w:eastAsia="en-SG"/>
              </w:rPr>
              <w:t>126.050.218.376</w:t>
            </w:r>
          </w:p>
        </w:tc>
        <w:tc>
          <w:tcPr>
            <w:tcW w:w="3562" w:type="dxa"/>
            <w:tcBorders>
              <w:top w:val="nil"/>
              <w:left w:val="nil"/>
              <w:bottom w:val="single" w:sz="4" w:space="0" w:color="auto"/>
              <w:right w:val="single" w:sz="4" w:space="0" w:color="auto"/>
            </w:tcBorders>
            <w:shd w:val="clear" w:color="000000" w:fill="DCE6F1"/>
            <w:noWrap/>
            <w:vAlign w:val="center"/>
          </w:tcPr>
          <w:p w14:paraId="1FA9A21B" w14:textId="55A2B920" w:rsidR="009860B3" w:rsidRPr="001C68EF" w:rsidRDefault="00A168BB" w:rsidP="00302F99">
            <w:pPr>
              <w:spacing w:after="0" w:line="240" w:lineRule="auto"/>
              <w:jc w:val="center"/>
              <w:rPr>
                <w:rFonts w:ascii="Times New Roman" w:eastAsia="Times New Roman" w:hAnsi="Times New Roman"/>
                <w:color w:val="000000"/>
                <w:sz w:val="20"/>
                <w:szCs w:val="20"/>
              </w:rPr>
            </w:pPr>
            <w:r w:rsidRPr="00A168BB">
              <w:rPr>
                <w:rFonts w:ascii="Times New Roman" w:eastAsia="Times New Roman" w:hAnsi="Times New Roman"/>
                <w:bCs/>
                <w:color w:val="000000"/>
                <w:sz w:val="24"/>
                <w:szCs w:val="24"/>
                <w:lang w:val="en-SG" w:eastAsia="en-SG"/>
              </w:rPr>
              <w:t>132</w:t>
            </w:r>
            <w:r>
              <w:rPr>
                <w:rFonts w:ascii="Times New Roman" w:eastAsia="Times New Roman" w:hAnsi="Times New Roman"/>
                <w:bCs/>
                <w:color w:val="000000"/>
                <w:sz w:val="24"/>
                <w:szCs w:val="24"/>
                <w:lang w:val="en-SG" w:eastAsia="en-SG"/>
              </w:rPr>
              <w:t>.</w:t>
            </w:r>
            <w:r w:rsidRPr="00A168BB">
              <w:rPr>
                <w:rFonts w:ascii="Times New Roman" w:eastAsia="Times New Roman" w:hAnsi="Times New Roman"/>
                <w:bCs/>
                <w:color w:val="000000"/>
                <w:sz w:val="24"/>
                <w:szCs w:val="24"/>
                <w:lang w:val="en-SG" w:eastAsia="en-SG"/>
              </w:rPr>
              <w:t>876</w:t>
            </w:r>
            <w:r>
              <w:rPr>
                <w:rFonts w:ascii="Times New Roman" w:eastAsia="Times New Roman" w:hAnsi="Times New Roman"/>
                <w:bCs/>
                <w:color w:val="000000"/>
                <w:sz w:val="24"/>
                <w:szCs w:val="24"/>
                <w:lang w:val="en-SG" w:eastAsia="en-SG"/>
              </w:rPr>
              <w:t>.</w:t>
            </w:r>
            <w:r w:rsidRPr="00A168BB">
              <w:rPr>
                <w:rFonts w:ascii="Times New Roman" w:eastAsia="Times New Roman" w:hAnsi="Times New Roman"/>
                <w:bCs/>
                <w:color w:val="000000"/>
                <w:sz w:val="24"/>
                <w:szCs w:val="24"/>
                <w:lang w:val="en-SG" w:eastAsia="en-SG"/>
              </w:rPr>
              <w:t>965</w:t>
            </w:r>
            <w:r>
              <w:rPr>
                <w:rFonts w:ascii="Times New Roman" w:eastAsia="Times New Roman" w:hAnsi="Times New Roman"/>
                <w:bCs/>
                <w:color w:val="000000"/>
                <w:sz w:val="24"/>
                <w:szCs w:val="24"/>
                <w:lang w:val="en-SG" w:eastAsia="en-SG"/>
              </w:rPr>
              <w:t>.</w:t>
            </w:r>
            <w:r w:rsidRPr="00A168BB">
              <w:rPr>
                <w:rFonts w:ascii="Times New Roman" w:eastAsia="Times New Roman" w:hAnsi="Times New Roman"/>
                <w:bCs/>
                <w:color w:val="000000"/>
                <w:sz w:val="24"/>
                <w:szCs w:val="24"/>
                <w:lang w:val="en-SG" w:eastAsia="en-SG"/>
              </w:rPr>
              <w:t>610</w:t>
            </w:r>
          </w:p>
        </w:tc>
      </w:tr>
    </w:tbl>
    <w:p w14:paraId="6667D3A0" w14:textId="1A78053D" w:rsidR="00C17D8E" w:rsidRPr="00E93BC5" w:rsidRDefault="00C17D8E"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Tính đến kỳ báo cáo, giá trị tài sản ròng (NAV) của Quỹ tăng </w:t>
      </w:r>
      <w:r w:rsidR="00A168BB">
        <w:rPr>
          <w:rFonts w:ascii="Times New Roman" w:hAnsi="Times New Roman"/>
          <w:sz w:val="24"/>
          <w:szCs w:val="24"/>
          <w:lang w:val="nl-NL"/>
        </w:rPr>
        <w:t>5,42</w:t>
      </w:r>
      <w:r w:rsidRPr="00E93BC5">
        <w:rPr>
          <w:rFonts w:ascii="Times New Roman" w:hAnsi="Times New Roman"/>
          <w:sz w:val="24"/>
          <w:szCs w:val="24"/>
          <w:lang w:val="nl-NL"/>
        </w:rPr>
        <w:t xml:space="preserve">% so với giá trị tài sản ròng (NAV) của Quỹ </w:t>
      </w:r>
      <w:r w:rsidR="00F549BA" w:rsidRPr="00E93BC5">
        <w:rPr>
          <w:rFonts w:ascii="Times New Roman" w:hAnsi="Times New Roman"/>
          <w:sz w:val="24"/>
          <w:szCs w:val="24"/>
          <w:lang w:val="nl-NL"/>
        </w:rPr>
        <w:t>cùng kỳ năm trước</w:t>
      </w:r>
      <w:r w:rsidRPr="00E93BC5">
        <w:rPr>
          <w:rFonts w:ascii="Times New Roman" w:hAnsi="Times New Roman"/>
          <w:sz w:val="24"/>
          <w:szCs w:val="24"/>
          <w:lang w:val="nl-NL"/>
        </w:rPr>
        <w:t>.</w:t>
      </w:r>
    </w:p>
    <w:p w14:paraId="382E8C20"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Chính sách và chiến lược đầu tư của Quỹ:</w:t>
      </w:r>
    </w:p>
    <w:p w14:paraId="6CC269C9" w14:textId="77777777" w:rsidR="009B0E7F" w:rsidRPr="00E93BC5" w:rsidRDefault="009B0E7F" w:rsidP="009B0E7F">
      <w:pPr>
        <w:widowControl w:val="0"/>
        <w:spacing w:before="120" w:after="120"/>
        <w:jc w:val="both"/>
        <w:rPr>
          <w:rFonts w:ascii="Times New Roman" w:hAnsi="Times New Roman"/>
          <w:sz w:val="24"/>
          <w:szCs w:val="24"/>
          <w:lang w:val="nl-NL"/>
        </w:rPr>
      </w:pPr>
      <w:r w:rsidRPr="00E93BC5">
        <w:rPr>
          <w:rFonts w:ascii="Times New Roman" w:hAnsi="Times New Roman"/>
          <w:sz w:val="24"/>
          <w:szCs w:val="24"/>
          <w:lang w:val="nl-NL"/>
        </w:rPr>
        <w:t xml:space="preserve">Quỹ định hướng xây dựng một danh mục tập trung chủ yếu vào trái phiếu và tài sản có thu nhập cố định. Trong đó, trái phiếu sẽ bao gồm trái phiếu Chính phủ, trái phiếu được Chính phủ bảo lãnh, trái phiếu chính quyền địa phương, trái phiếu niêm yết trên Sở giao dịch chứng khoán, trái phiếu chào bán ra công chúng, trái phiếu doanh nghiệp phát hành riêng lẻ bởi tổ chức niêm yết có bảo lãnh thanh toán của tổ chức tín dụng có uy tín hoặc có cam kết mua lại của tổ chức phát hành tối thiểu một (1) lần trong mười hai (12) tháng và mỗi lần cam kết mua lại tối thiểu ba mươi phần trăm (30%) giá trị đợt phát hành, trong đó ưu tiên trái phiếu của các tổ chức phát hành là các công ty, tập đoàn lớn. Các tài sản thu nhập cố định khác bao gồm tín phiếu, chứng chỉ tiền gửi hoặc hợp đồng tiền gửi tại các ngân hàng uy tín. </w:t>
      </w:r>
    </w:p>
    <w:p w14:paraId="79612CC4" w14:textId="77777777" w:rsidR="00C17D8E" w:rsidRPr="00E93BC5" w:rsidRDefault="009B0E7F" w:rsidP="009B0E7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Việc phân bổ tài sản có thể thay đổi đáng kể tùy thuộc vào nhận định của Công ty Quản lý Quỹ, với mục đích bảo toàn vốn và mang lại lợi nhuận tối ưu cho Nhà Đầu tư. Ngoài ra, Quỹ có thể cân nhắc đầu tư vào một danh mục đa dạng với các cổ phiếu niêm yết theo quy định của Pháp luật có giá trị vốn hóa lớn cũng như thanh khoản cao trên Sở giao dịch chứng khoán</w:t>
      </w:r>
      <w:r w:rsidR="009C342F" w:rsidRPr="00E93BC5">
        <w:rPr>
          <w:rFonts w:ascii="Times New Roman" w:hAnsi="Times New Roman"/>
          <w:sz w:val="24"/>
          <w:szCs w:val="24"/>
          <w:lang w:val="nl-NL"/>
        </w:rPr>
        <w:t>.</w:t>
      </w:r>
    </w:p>
    <w:p w14:paraId="1FFF5903"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Phân loại Quỹ:</w:t>
      </w:r>
    </w:p>
    <w:p w14:paraId="22067AAB" w14:textId="1CA95E8F" w:rsidR="00C17D8E" w:rsidRDefault="00C17D8E"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được thành lập tại Việt Nam dưới hình thức Quỹ mở theo Giấy chứng nhận chào bán chứng chỉ quỹ đầu tư chứng khoán ra công chúng số 58/GCN-UBCK do Ủy ban Chứng khoán Nhà nước cấp ngày 24 tháng 10 năm 2018 và Giấy chứng nhận thành lập Quỹ mở số 35/GCN-UBCK do Ủy ban Chứng khoán Nhà nước cấp ngày 03 tháng 04 năm 2019.</w:t>
      </w:r>
    </w:p>
    <w:p w14:paraId="289D5C2F" w14:textId="340016B3" w:rsidR="0009242D" w:rsidRDefault="0009242D" w:rsidP="00B3750F">
      <w:pPr>
        <w:shd w:val="clear" w:color="auto" w:fill="FFFFFF"/>
        <w:tabs>
          <w:tab w:val="left" w:pos="540"/>
        </w:tabs>
        <w:spacing w:before="120" w:after="0" w:line="240" w:lineRule="auto"/>
        <w:jc w:val="both"/>
        <w:rPr>
          <w:rFonts w:ascii="Times New Roman" w:hAnsi="Times New Roman"/>
          <w:sz w:val="24"/>
          <w:szCs w:val="24"/>
          <w:lang w:val="nl-NL"/>
        </w:rPr>
      </w:pPr>
    </w:p>
    <w:p w14:paraId="0273A2EE" w14:textId="77777777" w:rsidR="00D6273E" w:rsidRPr="00E93BC5" w:rsidRDefault="00D6273E" w:rsidP="00B3750F">
      <w:pPr>
        <w:shd w:val="clear" w:color="auto" w:fill="FFFFFF"/>
        <w:tabs>
          <w:tab w:val="left" w:pos="540"/>
        </w:tabs>
        <w:spacing w:before="120" w:after="0" w:line="240" w:lineRule="auto"/>
        <w:jc w:val="both"/>
        <w:rPr>
          <w:rFonts w:ascii="Times New Roman" w:hAnsi="Times New Roman"/>
          <w:sz w:val="24"/>
          <w:szCs w:val="24"/>
          <w:lang w:val="nl-NL"/>
        </w:rPr>
      </w:pPr>
    </w:p>
    <w:p w14:paraId="6D9CBCE6"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lastRenderedPageBreak/>
        <w:t>Thời gian khuyến cáo đầu tư của Quỹ:</w:t>
      </w:r>
    </w:p>
    <w:p w14:paraId="3107A809" w14:textId="77777777"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không bị giới hạn về thời hạn hoạt động.</w:t>
      </w:r>
    </w:p>
    <w:p w14:paraId="0DC62B14"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Mức độ rủi ro ngắn hạn (thấp, trung bình, cao):</w:t>
      </w:r>
    </w:p>
    <w:p w14:paraId="066F4E86" w14:textId="77777777"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có mức độ rủi ro ngắn hạn t</w:t>
      </w:r>
      <w:r w:rsidR="00D506DC" w:rsidRPr="00E93BC5">
        <w:rPr>
          <w:rFonts w:ascii="Times New Roman" w:hAnsi="Times New Roman"/>
          <w:sz w:val="24"/>
          <w:szCs w:val="24"/>
          <w:lang w:val="nl-NL"/>
        </w:rPr>
        <w:t>hấp</w:t>
      </w:r>
      <w:r w:rsidRPr="00E93BC5">
        <w:rPr>
          <w:rFonts w:ascii="Times New Roman" w:hAnsi="Times New Roman"/>
          <w:sz w:val="24"/>
          <w:szCs w:val="24"/>
          <w:lang w:val="nl-NL"/>
        </w:rPr>
        <w:t>.</w:t>
      </w:r>
    </w:p>
    <w:p w14:paraId="77241D41"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Thời điểm bắt đầu hoạt động của Quỹ:</w:t>
      </w:r>
    </w:p>
    <w:p w14:paraId="3F8337C1" w14:textId="77777777"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bắt đầu hoạt động từ ngày 03/04/2019.</w:t>
      </w:r>
    </w:p>
    <w:p w14:paraId="27FECBBE" w14:textId="77777777" w:rsidR="001C4468" w:rsidRPr="00E93BC5" w:rsidRDefault="001C4468" w:rsidP="00FF0C62">
      <w:pPr>
        <w:pStyle w:val="ListParagraph"/>
        <w:numPr>
          <w:ilvl w:val="0"/>
          <w:numId w:val="3"/>
        </w:numPr>
        <w:shd w:val="clear" w:color="auto" w:fill="FFFFFF"/>
        <w:spacing w:before="120" w:after="0" w:line="480" w:lineRule="auto"/>
        <w:ind w:left="360"/>
        <w:jc w:val="both"/>
        <w:rPr>
          <w:rFonts w:ascii="Times New Roman" w:hAnsi="Times New Roman"/>
          <w:b/>
          <w:sz w:val="24"/>
          <w:szCs w:val="24"/>
          <w:lang w:val="nl-NL"/>
        </w:rPr>
      </w:pPr>
      <w:r w:rsidRPr="00E93BC5">
        <w:rPr>
          <w:rFonts w:ascii="Times New Roman" w:hAnsi="Times New Roman"/>
          <w:b/>
          <w:sz w:val="24"/>
          <w:szCs w:val="24"/>
          <w:lang w:val="nl-NL"/>
        </w:rPr>
        <w:t>Quy mô Quỹ tại thời điểm báo cáo</w:t>
      </w:r>
    </w:p>
    <w:tbl>
      <w:tblPr>
        <w:tblW w:w="7380" w:type="dxa"/>
        <w:jc w:val="center"/>
        <w:tblLook w:val="04A0" w:firstRow="1" w:lastRow="0" w:firstColumn="1" w:lastColumn="0" w:noHBand="0" w:noVBand="1"/>
      </w:tblPr>
      <w:tblGrid>
        <w:gridCol w:w="4410"/>
        <w:gridCol w:w="2970"/>
      </w:tblGrid>
      <w:tr w:rsidR="009C5C88" w:rsidRPr="00E93BC5" w14:paraId="78EEBDA3" w14:textId="77777777" w:rsidTr="00D86A2D">
        <w:trPr>
          <w:trHeight w:val="619"/>
          <w:jc w:val="center"/>
        </w:trPr>
        <w:tc>
          <w:tcPr>
            <w:tcW w:w="441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4DB0FB0" w14:textId="77777777" w:rsidR="009C5C88" w:rsidRPr="00E93BC5" w:rsidRDefault="009C5C88" w:rsidP="00B3750F">
            <w:pPr>
              <w:spacing w:after="0" w:line="240" w:lineRule="auto"/>
              <w:jc w:val="both"/>
              <w:rPr>
                <w:rFonts w:ascii="Times New Roman" w:hAnsi="Times New Roman"/>
                <w:sz w:val="24"/>
                <w:szCs w:val="24"/>
                <w:lang w:val="nl-NL"/>
              </w:rPr>
            </w:pPr>
            <w:r w:rsidRPr="00E93BC5">
              <w:rPr>
                <w:rFonts w:ascii="Times New Roman" w:hAnsi="Times New Roman"/>
                <w:sz w:val="24"/>
                <w:szCs w:val="24"/>
                <w:lang w:val="nl-NL"/>
              </w:rPr>
              <w:t>Vốn của quỹ theo mệnh giá (đồng)</w:t>
            </w:r>
          </w:p>
        </w:tc>
        <w:tc>
          <w:tcPr>
            <w:tcW w:w="2970" w:type="dxa"/>
            <w:tcBorders>
              <w:top w:val="single" w:sz="4" w:space="0" w:color="auto"/>
              <w:left w:val="nil"/>
              <w:bottom w:val="single" w:sz="4" w:space="0" w:color="auto"/>
              <w:right w:val="single" w:sz="4" w:space="0" w:color="auto"/>
            </w:tcBorders>
            <w:shd w:val="clear" w:color="000000" w:fill="DCE6F1"/>
            <w:noWrap/>
            <w:vAlign w:val="center"/>
            <w:hideMark/>
          </w:tcPr>
          <w:p w14:paraId="12F5C0B6" w14:textId="7D483A1A" w:rsidR="009C5C88" w:rsidRPr="00E93BC5" w:rsidRDefault="00302F99" w:rsidP="00AE2EB4">
            <w:pPr>
              <w:spacing w:after="0" w:line="240" w:lineRule="auto"/>
              <w:jc w:val="center"/>
              <w:rPr>
                <w:rFonts w:ascii="Times New Roman" w:hAnsi="Times New Roman"/>
                <w:sz w:val="24"/>
                <w:szCs w:val="24"/>
                <w:lang w:val="nl-NL"/>
              </w:rPr>
            </w:pPr>
            <w:r w:rsidRPr="00302F99">
              <w:rPr>
                <w:rFonts w:ascii="Times New Roman" w:hAnsi="Times New Roman"/>
                <w:sz w:val="24"/>
                <w:szCs w:val="24"/>
                <w:lang w:val="nl-NL"/>
              </w:rPr>
              <w:t>99.89</w:t>
            </w:r>
            <w:r w:rsidR="00A168BB">
              <w:rPr>
                <w:rFonts w:ascii="Times New Roman" w:hAnsi="Times New Roman"/>
                <w:sz w:val="24"/>
                <w:szCs w:val="24"/>
                <w:lang w:val="nl-NL"/>
              </w:rPr>
              <w:t>1</w:t>
            </w:r>
            <w:r w:rsidRPr="00302F99">
              <w:rPr>
                <w:rFonts w:ascii="Times New Roman" w:hAnsi="Times New Roman"/>
                <w:sz w:val="24"/>
                <w:szCs w:val="24"/>
                <w:lang w:val="nl-NL"/>
              </w:rPr>
              <w:t>.</w:t>
            </w:r>
            <w:r w:rsidR="00A168BB">
              <w:rPr>
                <w:rFonts w:ascii="Times New Roman" w:hAnsi="Times New Roman"/>
                <w:sz w:val="24"/>
                <w:szCs w:val="24"/>
                <w:lang w:val="nl-NL"/>
              </w:rPr>
              <w:t>769.9</w:t>
            </w:r>
            <w:r w:rsidRPr="00302F99">
              <w:rPr>
                <w:rFonts w:ascii="Times New Roman" w:hAnsi="Times New Roman"/>
                <w:sz w:val="24"/>
                <w:szCs w:val="24"/>
                <w:lang w:val="nl-NL"/>
              </w:rPr>
              <w:t>0</w:t>
            </w:r>
            <w:r w:rsidR="00A168BB">
              <w:rPr>
                <w:rFonts w:ascii="Times New Roman" w:hAnsi="Times New Roman"/>
                <w:sz w:val="24"/>
                <w:szCs w:val="24"/>
                <w:lang w:val="nl-NL"/>
              </w:rPr>
              <w:t>0</w:t>
            </w:r>
          </w:p>
        </w:tc>
      </w:tr>
      <w:tr w:rsidR="009C5C88" w:rsidRPr="00E93BC5" w14:paraId="7E368697" w14:textId="77777777" w:rsidTr="00D86A2D">
        <w:trPr>
          <w:trHeight w:val="619"/>
          <w:jc w:val="center"/>
        </w:trPr>
        <w:tc>
          <w:tcPr>
            <w:tcW w:w="4410" w:type="dxa"/>
            <w:tcBorders>
              <w:top w:val="nil"/>
              <w:left w:val="single" w:sz="4" w:space="0" w:color="auto"/>
              <w:bottom w:val="single" w:sz="4" w:space="0" w:color="auto"/>
              <w:right w:val="single" w:sz="4" w:space="0" w:color="auto"/>
            </w:tcBorders>
            <w:shd w:val="clear" w:color="000000" w:fill="DCE6F1"/>
            <w:vAlign w:val="center"/>
            <w:hideMark/>
          </w:tcPr>
          <w:p w14:paraId="79EE06E7" w14:textId="77777777" w:rsidR="009C5C88" w:rsidRPr="00E93BC5" w:rsidRDefault="009C5C88" w:rsidP="00B3750F">
            <w:pPr>
              <w:spacing w:after="0" w:line="240" w:lineRule="auto"/>
              <w:jc w:val="both"/>
              <w:rPr>
                <w:rFonts w:ascii="Times New Roman" w:hAnsi="Times New Roman"/>
                <w:sz w:val="24"/>
                <w:szCs w:val="24"/>
                <w:lang w:val="nl-NL"/>
              </w:rPr>
            </w:pPr>
            <w:r w:rsidRPr="00E93BC5">
              <w:rPr>
                <w:rFonts w:ascii="Times New Roman" w:hAnsi="Times New Roman"/>
                <w:sz w:val="24"/>
                <w:szCs w:val="24"/>
                <w:lang w:val="nl-NL"/>
              </w:rPr>
              <w:t>Số lượng CCQ đang lưu hành (CCQ)</w:t>
            </w:r>
          </w:p>
        </w:tc>
        <w:tc>
          <w:tcPr>
            <w:tcW w:w="2970" w:type="dxa"/>
            <w:tcBorders>
              <w:top w:val="nil"/>
              <w:left w:val="nil"/>
              <w:bottom w:val="single" w:sz="4" w:space="0" w:color="auto"/>
              <w:right w:val="single" w:sz="4" w:space="0" w:color="auto"/>
            </w:tcBorders>
            <w:shd w:val="clear" w:color="000000" w:fill="DCE6F1"/>
            <w:noWrap/>
            <w:vAlign w:val="center"/>
            <w:hideMark/>
          </w:tcPr>
          <w:p w14:paraId="3B8BD350" w14:textId="4AA8BCE3" w:rsidR="009C5C88" w:rsidRPr="00E93BC5" w:rsidRDefault="00A168BB" w:rsidP="00AE2EB4">
            <w:pPr>
              <w:spacing w:after="0" w:line="240" w:lineRule="auto"/>
              <w:jc w:val="center"/>
              <w:rPr>
                <w:rFonts w:ascii="Times New Roman" w:hAnsi="Times New Roman"/>
                <w:sz w:val="24"/>
                <w:szCs w:val="24"/>
                <w:lang w:val="nl-NL"/>
              </w:rPr>
            </w:pPr>
            <w:r w:rsidRPr="00A168BB">
              <w:rPr>
                <w:rFonts w:ascii="Times New Roman" w:hAnsi="Times New Roman"/>
                <w:sz w:val="24"/>
                <w:szCs w:val="24"/>
                <w:lang w:val="nl-NL"/>
              </w:rPr>
              <w:t>9</w:t>
            </w:r>
            <w:r>
              <w:rPr>
                <w:rFonts w:ascii="Times New Roman" w:hAnsi="Times New Roman"/>
                <w:sz w:val="24"/>
                <w:szCs w:val="24"/>
                <w:lang w:val="nl-NL"/>
              </w:rPr>
              <w:t>.</w:t>
            </w:r>
            <w:r w:rsidRPr="00A168BB">
              <w:rPr>
                <w:rFonts w:ascii="Times New Roman" w:hAnsi="Times New Roman"/>
                <w:sz w:val="24"/>
                <w:szCs w:val="24"/>
                <w:lang w:val="nl-NL"/>
              </w:rPr>
              <w:t>989</w:t>
            </w:r>
            <w:r>
              <w:rPr>
                <w:rFonts w:ascii="Times New Roman" w:hAnsi="Times New Roman"/>
                <w:sz w:val="24"/>
                <w:szCs w:val="24"/>
                <w:lang w:val="nl-NL"/>
              </w:rPr>
              <w:t>.</w:t>
            </w:r>
            <w:r w:rsidRPr="00A168BB">
              <w:rPr>
                <w:rFonts w:ascii="Times New Roman" w:hAnsi="Times New Roman"/>
                <w:sz w:val="24"/>
                <w:szCs w:val="24"/>
                <w:lang w:val="nl-NL"/>
              </w:rPr>
              <w:t>176</w:t>
            </w:r>
            <w:r>
              <w:rPr>
                <w:rFonts w:ascii="Times New Roman" w:hAnsi="Times New Roman"/>
                <w:sz w:val="24"/>
                <w:szCs w:val="24"/>
                <w:lang w:val="nl-NL"/>
              </w:rPr>
              <w:t>,</w:t>
            </w:r>
            <w:r w:rsidRPr="00A168BB">
              <w:rPr>
                <w:rFonts w:ascii="Times New Roman" w:hAnsi="Times New Roman"/>
                <w:sz w:val="24"/>
                <w:szCs w:val="24"/>
                <w:lang w:val="nl-NL"/>
              </w:rPr>
              <w:t>99</w:t>
            </w:r>
          </w:p>
        </w:tc>
      </w:tr>
    </w:tbl>
    <w:p w14:paraId="0CD64997" w14:textId="2C634DDC" w:rsidR="004D4AB0" w:rsidRPr="00E93BC5"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Tại ngày </w:t>
      </w:r>
      <w:r w:rsidR="00200BB4" w:rsidRPr="00E93BC5">
        <w:rPr>
          <w:rFonts w:ascii="Times New Roman" w:hAnsi="Times New Roman"/>
          <w:sz w:val="24"/>
          <w:szCs w:val="24"/>
          <w:lang w:val="nl-NL"/>
        </w:rPr>
        <w:t>3</w:t>
      </w:r>
      <w:r w:rsidR="00163511">
        <w:rPr>
          <w:rFonts w:ascii="Times New Roman" w:hAnsi="Times New Roman"/>
          <w:sz w:val="24"/>
          <w:szCs w:val="24"/>
          <w:lang w:val="nl-NL"/>
        </w:rPr>
        <w:t>1</w:t>
      </w:r>
      <w:r w:rsidR="005878EA" w:rsidRPr="00E93BC5">
        <w:rPr>
          <w:rFonts w:ascii="Times New Roman" w:hAnsi="Times New Roman"/>
          <w:sz w:val="24"/>
          <w:szCs w:val="24"/>
          <w:lang w:val="nl-NL"/>
        </w:rPr>
        <w:t xml:space="preserve"> t</w:t>
      </w:r>
      <w:r w:rsidRPr="00E93BC5">
        <w:rPr>
          <w:rFonts w:ascii="Times New Roman" w:hAnsi="Times New Roman"/>
          <w:sz w:val="24"/>
          <w:szCs w:val="24"/>
          <w:lang w:val="nl-NL"/>
        </w:rPr>
        <w:t xml:space="preserve">háng </w:t>
      </w:r>
      <w:r w:rsidR="007A4475">
        <w:rPr>
          <w:rFonts w:ascii="Times New Roman" w:hAnsi="Times New Roman"/>
          <w:sz w:val="24"/>
          <w:szCs w:val="24"/>
          <w:lang w:val="nl-NL"/>
        </w:rPr>
        <w:t>03</w:t>
      </w:r>
      <w:r w:rsidRPr="00E93BC5">
        <w:rPr>
          <w:rFonts w:ascii="Times New Roman" w:hAnsi="Times New Roman"/>
          <w:sz w:val="24"/>
          <w:szCs w:val="24"/>
          <w:lang w:val="nl-NL"/>
        </w:rPr>
        <w:t xml:space="preserve"> năm 20</w:t>
      </w:r>
      <w:r w:rsidR="002D54C8" w:rsidRPr="00E93BC5">
        <w:rPr>
          <w:rFonts w:ascii="Times New Roman" w:hAnsi="Times New Roman"/>
          <w:sz w:val="24"/>
          <w:szCs w:val="24"/>
          <w:lang w:val="nl-NL"/>
        </w:rPr>
        <w:t>2</w:t>
      </w:r>
      <w:r w:rsidR="00A168BB">
        <w:rPr>
          <w:rFonts w:ascii="Times New Roman" w:hAnsi="Times New Roman"/>
          <w:sz w:val="24"/>
          <w:szCs w:val="24"/>
          <w:lang w:val="nl-NL"/>
        </w:rPr>
        <w:t>5</w:t>
      </w:r>
      <w:r w:rsidRPr="00E93BC5">
        <w:rPr>
          <w:rFonts w:ascii="Times New Roman" w:hAnsi="Times New Roman"/>
          <w:sz w:val="24"/>
          <w:szCs w:val="24"/>
          <w:lang w:val="nl-NL"/>
        </w:rPr>
        <w:t xml:space="preserve">, số lượng Chứng chỉ quỹ (“CCQ”) đang lưu hành của Quỹ là </w:t>
      </w:r>
      <w:r w:rsidR="00A168BB" w:rsidRPr="00A168BB">
        <w:rPr>
          <w:rFonts w:ascii="Times New Roman" w:hAnsi="Times New Roman"/>
          <w:sz w:val="24"/>
          <w:szCs w:val="24"/>
          <w:lang w:val="nl-NL"/>
        </w:rPr>
        <w:t>9</w:t>
      </w:r>
      <w:r w:rsidR="00A168BB">
        <w:rPr>
          <w:rFonts w:ascii="Times New Roman" w:hAnsi="Times New Roman"/>
          <w:sz w:val="24"/>
          <w:szCs w:val="24"/>
          <w:lang w:val="nl-NL"/>
        </w:rPr>
        <w:t>.</w:t>
      </w:r>
      <w:r w:rsidR="00A168BB" w:rsidRPr="00A168BB">
        <w:rPr>
          <w:rFonts w:ascii="Times New Roman" w:hAnsi="Times New Roman"/>
          <w:sz w:val="24"/>
          <w:szCs w:val="24"/>
          <w:lang w:val="nl-NL"/>
        </w:rPr>
        <w:t>989</w:t>
      </w:r>
      <w:r w:rsidR="00A168BB">
        <w:rPr>
          <w:rFonts w:ascii="Times New Roman" w:hAnsi="Times New Roman"/>
          <w:sz w:val="24"/>
          <w:szCs w:val="24"/>
          <w:lang w:val="nl-NL"/>
        </w:rPr>
        <w:t>.</w:t>
      </w:r>
      <w:r w:rsidR="00A168BB" w:rsidRPr="00A168BB">
        <w:rPr>
          <w:rFonts w:ascii="Times New Roman" w:hAnsi="Times New Roman"/>
          <w:sz w:val="24"/>
          <w:szCs w:val="24"/>
          <w:lang w:val="nl-NL"/>
        </w:rPr>
        <w:t>176</w:t>
      </w:r>
      <w:r w:rsidR="00A168BB">
        <w:rPr>
          <w:rFonts w:ascii="Times New Roman" w:hAnsi="Times New Roman"/>
          <w:sz w:val="24"/>
          <w:szCs w:val="24"/>
          <w:lang w:val="nl-NL"/>
        </w:rPr>
        <w:t>,</w:t>
      </w:r>
      <w:r w:rsidR="00A168BB" w:rsidRPr="00A168BB">
        <w:rPr>
          <w:rFonts w:ascii="Times New Roman" w:hAnsi="Times New Roman"/>
          <w:sz w:val="24"/>
          <w:szCs w:val="24"/>
          <w:lang w:val="nl-NL"/>
        </w:rPr>
        <w:t>99</w:t>
      </w:r>
      <w:r w:rsidR="00A168BB">
        <w:rPr>
          <w:rFonts w:ascii="Times New Roman" w:hAnsi="Times New Roman"/>
          <w:sz w:val="24"/>
          <w:szCs w:val="24"/>
          <w:lang w:val="nl-NL"/>
        </w:rPr>
        <w:t xml:space="preserve"> </w:t>
      </w:r>
      <w:r w:rsidRPr="00E93BC5">
        <w:rPr>
          <w:rFonts w:ascii="Times New Roman" w:hAnsi="Times New Roman"/>
          <w:sz w:val="24"/>
          <w:szCs w:val="24"/>
          <w:lang w:val="nl-NL"/>
        </w:rPr>
        <w:t xml:space="preserve">CCQ, tương đương với quy mô vốn của Quỹ theo mệnh giá là </w:t>
      </w:r>
      <w:r w:rsidR="00A168BB" w:rsidRPr="00302F99">
        <w:rPr>
          <w:rFonts w:ascii="Times New Roman" w:hAnsi="Times New Roman"/>
          <w:sz w:val="24"/>
          <w:szCs w:val="24"/>
          <w:lang w:val="nl-NL"/>
        </w:rPr>
        <w:t>99.89</w:t>
      </w:r>
      <w:r w:rsidR="00A168BB">
        <w:rPr>
          <w:rFonts w:ascii="Times New Roman" w:hAnsi="Times New Roman"/>
          <w:sz w:val="24"/>
          <w:szCs w:val="24"/>
          <w:lang w:val="nl-NL"/>
        </w:rPr>
        <w:t>1</w:t>
      </w:r>
      <w:r w:rsidR="00A168BB" w:rsidRPr="00302F99">
        <w:rPr>
          <w:rFonts w:ascii="Times New Roman" w:hAnsi="Times New Roman"/>
          <w:sz w:val="24"/>
          <w:szCs w:val="24"/>
          <w:lang w:val="nl-NL"/>
        </w:rPr>
        <w:t>.</w:t>
      </w:r>
      <w:r w:rsidR="00A168BB">
        <w:rPr>
          <w:rFonts w:ascii="Times New Roman" w:hAnsi="Times New Roman"/>
          <w:sz w:val="24"/>
          <w:szCs w:val="24"/>
          <w:lang w:val="nl-NL"/>
        </w:rPr>
        <w:t>769.9</w:t>
      </w:r>
      <w:r w:rsidR="00A168BB" w:rsidRPr="00302F99">
        <w:rPr>
          <w:rFonts w:ascii="Times New Roman" w:hAnsi="Times New Roman"/>
          <w:sz w:val="24"/>
          <w:szCs w:val="24"/>
          <w:lang w:val="nl-NL"/>
        </w:rPr>
        <w:t>0</w:t>
      </w:r>
      <w:r w:rsidR="00A168BB">
        <w:rPr>
          <w:rFonts w:ascii="Times New Roman" w:hAnsi="Times New Roman"/>
          <w:sz w:val="24"/>
          <w:szCs w:val="24"/>
          <w:lang w:val="nl-NL"/>
        </w:rPr>
        <w:t>0</w:t>
      </w:r>
      <w:r w:rsidR="007A4475">
        <w:rPr>
          <w:rFonts w:ascii="Times New Roman" w:hAnsi="Times New Roman"/>
          <w:sz w:val="24"/>
          <w:szCs w:val="24"/>
          <w:lang w:val="nl-NL"/>
        </w:rPr>
        <w:t xml:space="preserve"> </w:t>
      </w:r>
      <w:r w:rsidRPr="00E93BC5">
        <w:rPr>
          <w:rFonts w:ascii="Times New Roman" w:hAnsi="Times New Roman"/>
          <w:sz w:val="24"/>
          <w:szCs w:val="24"/>
          <w:lang w:val="nl-NL"/>
        </w:rPr>
        <w:t>VN</w:t>
      </w:r>
      <w:r w:rsidR="00CC754B" w:rsidRPr="00E93BC5">
        <w:rPr>
          <w:rFonts w:ascii="Times New Roman" w:hAnsi="Times New Roman"/>
          <w:sz w:val="24"/>
          <w:szCs w:val="24"/>
          <w:lang w:val="nl-NL"/>
        </w:rPr>
        <w:t>Đ</w:t>
      </w:r>
      <w:r w:rsidR="009C5C88" w:rsidRPr="00E93BC5">
        <w:rPr>
          <w:rFonts w:ascii="Times New Roman" w:hAnsi="Times New Roman"/>
          <w:sz w:val="24"/>
          <w:szCs w:val="24"/>
          <w:lang w:val="nl-NL"/>
        </w:rPr>
        <w:t>.</w:t>
      </w:r>
    </w:p>
    <w:p w14:paraId="13D1EDB7"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Chỉ số tham chiếu của Quỹ:</w:t>
      </w:r>
    </w:p>
    <w:p w14:paraId="7799405F" w14:textId="77777777" w:rsidR="000E3955" w:rsidRPr="00E93BC5" w:rsidRDefault="000769A6"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Chỉ số Trái phiếu Chính phủ năm (05) năm của HNX</w:t>
      </w:r>
      <w:r w:rsidR="000E3955" w:rsidRPr="00E93BC5">
        <w:rPr>
          <w:rFonts w:ascii="Times New Roman" w:hAnsi="Times New Roman"/>
          <w:sz w:val="24"/>
          <w:szCs w:val="24"/>
          <w:lang w:val="nl-NL"/>
        </w:rPr>
        <w:t>.</w:t>
      </w:r>
    </w:p>
    <w:p w14:paraId="4D4773DF"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Chính sách phân phối lợi nhuận của Quỹ:</w:t>
      </w:r>
    </w:p>
    <w:p w14:paraId="4935197D" w14:textId="77777777" w:rsidR="00287AF8" w:rsidRPr="00E93BC5" w:rsidRDefault="00287AF8"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Quỹ phân phối lợi nhuận cho nhà đầu tư dựa trên Nghị quyết của Đại hội nhà đầu tư, phù hợp với Điều lệ của Quỹ và quy định của pháp luật chứng khoán hiện hành.</w:t>
      </w:r>
    </w:p>
    <w:p w14:paraId="151FA455" w14:textId="77777777" w:rsidR="001C4468" w:rsidRPr="00E93BC5"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sz w:val="24"/>
          <w:szCs w:val="24"/>
          <w:lang w:val="nl-NL"/>
        </w:rPr>
      </w:pPr>
      <w:r w:rsidRPr="00E93BC5">
        <w:rPr>
          <w:rFonts w:ascii="Times New Roman" w:hAnsi="Times New Roman"/>
          <w:b/>
          <w:sz w:val="24"/>
          <w:szCs w:val="24"/>
          <w:lang w:val="nl-NL"/>
        </w:rPr>
        <w:t>Lợi nhuận thuần thực tế phân phối trên một đơn vị Chứng chỉ quỹ Quỹ</w:t>
      </w:r>
      <w:r w:rsidRPr="00E93BC5">
        <w:rPr>
          <w:rFonts w:ascii="Times New Roman" w:hAnsi="Times New Roman"/>
          <w:sz w:val="24"/>
          <w:szCs w:val="24"/>
          <w:lang w:val="nl-NL"/>
        </w:rPr>
        <w:t>:</w:t>
      </w:r>
    </w:p>
    <w:p w14:paraId="79F01523" w14:textId="64C7EAF5" w:rsidR="00C272AB" w:rsidRPr="00E93BC5" w:rsidRDefault="00C272AB"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Tại ngày </w:t>
      </w:r>
      <w:r w:rsidR="00200BB4" w:rsidRPr="00E93BC5">
        <w:rPr>
          <w:rFonts w:ascii="Times New Roman" w:hAnsi="Times New Roman"/>
          <w:sz w:val="24"/>
          <w:szCs w:val="24"/>
          <w:lang w:val="nl-NL"/>
        </w:rPr>
        <w:t>3</w:t>
      </w:r>
      <w:r w:rsidR="00163511">
        <w:rPr>
          <w:rFonts w:ascii="Times New Roman" w:hAnsi="Times New Roman"/>
          <w:sz w:val="24"/>
          <w:szCs w:val="24"/>
          <w:lang w:val="nl-NL"/>
        </w:rPr>
        <w:t>1</w:t>
      </w:r>
      <w:r w:rsidRPr="00E93BC5">
        <w:rPr>
          <w:rFonts w:ascii="Times New Roman" w:hAnsi="Times New Roman"/>
          <w:sz w:val="24"/>
          <w:szCs w:val="24"/>
          <w:lang w:val="nl-NL"/>
        </w:rPr>
        <w:t xml:space="preserve"> tháng</w:t>
      </w:r>
      <w:r w:rsidR="00163511">
        <w:rPr>
          <w:rFonts w:ascii="Times New Roman" w:hAnsi="Times New Roman"/>
          <w:sz w:val="24"/>
          <w:szCs w:val="24"/>
          <w:lang w:val="nl-NL"/>
        </w:rPr>
        <w:t xml:space="preserve"> </w:t>
      </w:r>
      <w:r w:rsidR="007A4475">
        <w:rPr>
          <w:rFonts w:ascii="Times New Roman" w:hAnsi="Times New Roman"/>
          <w:sz w:val="24"/>
          <w:szCs w:val="24"/>
          <w:lang w:val="nl-NL"/>
        </w:rPr>
        <w:t>03</w:t>
      </w:r>
      <w:r w:rsidRPr="00E93BC5">
        <w:rPr>
          <w:rFonts w:ascii="Times New Roman" w:hAnsi="Times New Roman"/>
          <w:sz w:val="24"/>
          <w:szCs w:val="24"/>
          <w:lang w:val="nl-NL"/>
        </w:rPr>
        <w:t xml:space="preserve"> năm 20</w:t>
      </w:r>
      <w:r w:rsidR="00682EA2" w:rsidRPr="00E93BC5">
        <w:rPr>
          <w:rFonts w:ascii="Times New Roman" w:hAnsi="Times New Roman"/>
          <w:sz w:val="24"/>
          <w:szCs w:val="24"/>
          <w:lang w:val="nl-NL"/>
        </w:rPr>
        <w:t>2</w:t>
      </w:r>
      <w:r w:rsidR="00A168BB">
        <w:rPr>
          <w:rFonts w:ascii="Times New Roman" w:hAnsi="Times New Roman"/>
          <w:sz w:val="24"/>
          <w:szCs w:val="24"/>
          <w:lang w:val="nl-NL"/>
        </w:rPr>
        <w:t>5</w:t>
      </w:r>
      <w:r w:rsidRPr="00E93BC5">
        <w:rPr>
          <w:rFonts w:ascii="Times New Roman" w:hAnsi="Times New Roman"/>
          <w:sz w:val="24"/>
          <w:szCs w:val="24"/>
          <w:lang w:val="nl-NL"/>
        </w:rPr>
        <w:t>, lợi nhuận thuần thực tế phân phối trên một đơn vị CCQ là 0 VNĐ</w:t>
      </w:r>
      <w:r w:rsidR="00685F5A" w:rsidRPr="00E93BC5">
        <w:rPr>
          <w:rFonts w:ascii="Times New Roman" w:hAnsi="Times New Roman"/>
          <w:sz w:val="24"/>
          <w:szCs w:val="24"/>
          <w:lang w:val="nl-NL"/>
        </w:rPr>
        <w:t>.</w:t>
      </w:r>
    </w:p>
    <w:p w14:paraId="0A67CBC4" w14:textId="77777777" w:rsidR="001C4468" w:rsidRPr="00E93BC5" w:rsidRDefault="001C4468" w:rsidP="00B3750F">
      <w:pPr>
        <w:shd w:val="clear" w:color="auto" w:fill="FFFFFF"/>
        <w:tabs>
          <w:tab w:val="left" w:pos="54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II. </w:t>
      </w:r>
      <w:r w:rsidR="00685F5A" w:rsidRPr="00E93BC5">
        <w:rPr>
          <w:rFonts w:ascii="Times New Roman" w:hAnsi="Times New Roman"/>
          <w:b/>
          <w:sz w:val="24"/>
          <w:szCs w:val="24"/>
          <w:lang w:val="nl-NL"/>
        </w:rPr>
        <w:tab/>
      </w:r>
      <w:r w:rsidRPr="00E93BC5">
        <w:rPr>
          <w:rFonts w:ascii="Times New Roman" w:hAnsi="Times New Roman"/>
          <w:b/>
          <w:sz w:val="24"/>
          <w:szCs w:val="24"/>
          <w:lang w:val="nl-NL"/>
        </w:rPr>
        <w:t>S</w:t>
      </w:r>
      <w:r w:rsidR="008321C8" w:rsidRPr="00E93BC5">
        <w:rPr>
          <w:rFonts w:ascii="Times New Roman" w:hAnsi="Times New Roman"/>
          <w:b/>
          <w:sz w:val="24"/>
          <w:szCs w:val="24"/>
          <w:lang w:val="nl-NL"/>
        </w:rPr>
        <w:t>Ố LIỆU HOẠT ĐỘNG</w:t>
      </w:r>
    </w:p>
    <w:p w14:paraId="4B00CEFB" w14:textId="77777777" w:rsidR="001C4468" w:rsidRPr="00E93BC5" w:rsidRDefault="001C4468" w:rsidP="00B3750F">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t>Cơ cấu tài sản quỹ:</w:t>
      </w:r>
    </w:p>
    <w:tbl>
      <w:tblPr>
        <w:tblStyle w:val="TableGrid"/>
        <w:tblW w:w="9915" w:type="dxa"/>
        <w:tblInd w:w="108" w:type="dxa"/>
        <w:tblLook w:val="04A0" w:firstRow="1" w:lastRow="0" w:firstColumn="1" w:lastColumn="0" w:noHBand="0" w:noVBand="1"/>
      </w:tblPr>
      <w:tblGrid>
        <w:gridCol w:w="4297"/>
        <w:gridCol w:w="1800"/>
        <w:gridCol w:w="1980"/>
        <w:gridCol w:w="1838"/>
      </w:tblGrid>
      <w:tr w:rsidR="00A168BB" w:rsidRPr="00E93BC5" w14:paraId="1D4D651E" w14:textId="77777777" w:rsidTr="00406622">
        <w:trPr>
          <w:trHeight w:val="988"/>
        </w:trPr>
        <w:tc>
          <w:tcPr>
            <w:tcW w:w="4297" w:type="dxa"/>
            <w:vAlign w:val="center"/>
          </w:tcPr>
          <w:p w14:paraId="79115689" w14:textId="77777777" w:rsidR="00A168BB" w:rsidRPr="00E93BC5" w:rsidRDefault="00A168BB" w:rsidP="00A168BB">
            <w:pPr>
              <w:spacing w:before="120" w:line="276" w:lineRule="auto"/>
              <w:jc w:val="both"/>
              <w:rPr>
                <w:rFonts w:ascii="Times New Roman" w:hAnsi="Times New Roman"/>
                <w:b/>
                <w:sz w:val="24"/>
                <w:szCs w:val="24"/>
                <w:lang w:val="nl-NL"/>
              </w:rPr>
            </w:pPr>
            <w:r w:rsidRPr="00E93BC5">
              <w:rPr>
                <w:rFonts w:ascii="Times New Roman" w:eastAsia="Times New Roman" w:hAnsi="Times New Roman"/>
                <w:b/>
                <w:sz w:val="24"/>
                <w:szCs w:val="24"/>
                <w:lang w:val="nl-NL"/>
              </w:rPr>
              <w:t>Cơ cấu tài sản quỹ</w:t>
            </w:r>
          </w:p>
        </w:tc>
        <w:tc>
          <w:tcPr>
            <w:tcW w:w="1800" w:type="dxa"/>
          </w:tcPr>
          <w:p w14:paraId="558C514A" w14:textId="20A4971B" w:rsidR="00A168BB" w:rsidRPr="00E93BC5" w:rsidRDefault="00A168BB" w:rsidP="00A168BB">
            <w:pPr>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31/03/2025</w:t>
            </w:r>
          </w:p>
          <w:p w14:paraId="74AFFCC5" w14:textId="77777777" w:rsidR="00A168BB" w:rsidRPr="00E93BC5" w:rsidRDefault="00A168BB" w:rsidP="00A168BB">
            <w:pPr>
              <w:spacing w:before="120" w:line="276"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w:t>
            </w:r>
          </w:p>
        </w:tc>
        <w:tc>
          <w:tcPr>
            <w:tcW w:w="1980" w:type="dxa"/>
          </w:tcPr>
          <w:p w14:paraId="1A0D7EEE" w14:textId="77777777" w:rsidR="00A168BB" w:rsidRPr="00E93BC5" w:rsidRDefault="00A168BB" w:rsidP="00A168BB">
            <w:pPr>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31/03/2024</w:t>
            </w:r>
          </w:p>
          <w:p w14:paraId="5942DC59" w14:textId="12CB27E9" w:rsidR="00A168BB" w:rsidRPr="00E93BC5" w:rsidRDefault="00A168BB" w:rsidP="00A168BB">
            <w:pPr>
              <w:spacing w:before="120" w:line="276"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w:t>
            </w:r>
          </w:p>
        </w:tc>
        <w:tc>
          <w:tcPr>
            <w:tcW w:w="1838" w:type="dxa"/>
          </w:tcPr>
          <w:p w14:paraId="657FE084" w14:textId="77777777" w:rsidR="00A168BB" w:rsidRPr="00E93BC5" w:rsidRDefault="00A168BB" w:rsidP="00A168BB">
            <w:pPr>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31/03/2023</w:t>
            </w:r>
          </w:p>
          <w:p w14:paraId="6F2298D0" w14:textId="75D50A08" w:rsidR="00A168BB" w:rsidRPr="00E93BC5" w:rsidRDefault="00A168BB" w:rsidP="00A168BB">
            <w:pPr>
              <w:spacing w:before="120" w:line="276"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w:t>
            </w:r>
          </w:p>
        </w:tc>
      </w:tr>
      <w:tr w:rsidR="00A168BB" w:rsidRPr="00E93BC5" w14:paraId="570C3F01" w14:textId="77777777" w:rsidTr="003E3020">
        <w:trPr>
          <w:trHeight w:val="557"/>
        </w:trPr>
        <w:tc>
          <w:tcPr>
            <w:tcW w:w="4297" w:type="dxa"/>
            <w:vAlign w:val="center"/>
          </w:tcPr>
          <w:p w14:paraId="19E7C699" w14:textId="1AB3E638" w:rsidR="00A168BB" w:rsidRPr="00E93BC5" w:rsidRDefault="00A168BB" w:rsidP="00A168BB">
            <w:pPr>
              <w:pStyle w:val="ListParagraph"/>
              <w:numPr>
                <w:ilvl w:val="0"/>
                <w:numId w:val="15"/>
              </w:numPr>
              <w:spacing w:before="120"/>
              <w:jc w:val="both"/>
              <w:rPr>
                <w:rFonts w:ascii="Times New Roman" w:eastAsia="Times New Roman" w:hAnsi="Times New Roman"/>
                <w:bCs/>
                <w:sz w:val="24"/>
                <w:szCs w:val="24"/>
                <w:lang w:val="nl-NL"/>
              </w:rPr>
            </w:pPr>
            <w:r w:rsidRPr="00E93BC5">
              <w:rPr>
                <w:rFonts w:ascii="Times New Roman" w:eastAsia="Times New Roman" w:hAnsi="Times New Roman"/>
                <w:bCs/>
                <w:sz w:val="24"/>
                <w:szCs w:val="24"/>
                <w:lang w:val="nl-NL"/>
              </w:rPr>
              <w:t>Trái phiếu niêm yết</w:t>
            </w:r>
          </w:p>
        </w:tc>
        <w:tc>
          <w:tcPr>
            <w:tcW w:w="1800" w:type="dxa"/>
          </w:tcPr>
          <w:p w14:paraId="6BBA9AE5" w14:textId="4C7A37E5" w:rsidR="00A168BB" w:rsidRPr="00E93BC5" w:rsidRDefault="00A168BB" w:rsidP="00A168BB">
            <w:pPr>
              <w:tabs>
                <w:tab w:val="left" w:pos="540"/>
              </w:tabs>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11,50</w:t>
            </w:r>
          </w:p>
        </w:tc>
        <w:tc>
          <w:tcPr>
            <w:tcW w:w="1980" w:type="dxa"/>
          </w:tcPr>
          <w:p w14:paraId="70D52FAF" w14:textId="4C1C543C" w:rsidR="00A168BB" w:rsidRPr="00E05828" w:rsidRDefault="00A168BB" w:rsidP="00A168BB">
            <w:pPr>
              <w:tabs>
                <w:tab w:val="left" w:pos="540"/>
              </w:tabs>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w:t>
            </w:r>
          </w:p>
        </w:tc>
        <w:tc>
          <w:tcPr>
            <w:tcW w:w="1838" w:type="dxa"/>
          </w:tcPr>
          <w:p w14:paraId="3D934D60" w14:textId="06EFFD06" w:rsidR="00A168BB" w:rsidRPr="00E05828" w:rsidRDefault="00A168BB" w:rsidP="00A168BB">
            <w:pPr>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w:t>
            </w:r>
          </w:p>
        </w:tc>
      </w:tr>
      <w:tr w:rsidR="00A168BB" w:rsidRPr="00E93BC5" w14:paraId="572DC290" w14:textId="77777777" w:rsidTr="003E3020">
        <w:trPr>
          <w:trHeight w:val="557"/>
        </w:trPr>
        <w:tc>
          <w:tcPr>
            <w:tcW w:w="4297" w:type="dxa"/>
            <w:vAlign w:val="center"/>
          </w:tcPr>
          <w:p w14:paraId="5DC3E45B" w14:textId="0C383008" w:rsidR="00A168BB" w:rsidRPr="00E93BC5" w:rsidRDefault="00A168BB" w:rsidP="00A168BB">
            <w:pPr>
              <w:pStyle w:val="ListParagraph"/>
              <w:numPr>
                <w:ilvl w:val="0"/>
                <w:numId w:val="15"/>
              </w:numPr>
              <w:spacing w:before="120"/>
              <w:jc w:val="both"/>
              <w:rPr>
                <w:rFonts w:ascii="Times New Roman" w:eastAsia="Times New Roman" w:hAnsi="Times New Roman"/>
                <w:bCs/>
                <w:sz w:val="24"/>
                <w:szCs w:val="24"/>
                <w:lang w:val="nl-NL"/>
              </w:rPr>
            </w:pPr>
            <w:r w:rsidRPr="00E93BC5">
              <w:rPr>
                <w:rFonts w:ascii="Times New Roman" w:eastAsia="Times New Roman" w:hAnsi="Times New Roman"/>
                <w:bCs/>
                <w:sz w:val="24"/>
                <w:szCs w:val="24"/>
                <w:lang w:val="nl-NL"/>
              </w:rPr>
              <w:t>Trái phiếu chưa niêm yết</w:t>
            </w:r>
          </w:p>
        </w:tc>
        <w:tc>
          <w:tcPr>
            <w:tcW w:w="1800" w:type="dxa"/>
          </w:tcPr>
          <w:p w14:paraId="3F1C5DA3" w14:textId="54665620" w:rsidR="00A168BB" w:rsidRDefault="00A168BB" w:rsidP="00A168BB">
            <w:pPr>
              <w:tabs>
                <w:tab w:val="left" w:pos="540"/>
              </w:tabs>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9,38</w:t>
            </w:r>
          </w:p>
        </w:tc>
        <w:tc>
          <w:tcPr>
            <w:tcW w:w="1980" w:type="dxa"/>
          </w:tcPr>
          <w:p w14:paraId="3E41033E" w14:textId="77777777" w:rsidR="00A168BB" w:rsidRDefault="00A168BB" w:rsidP="00A168BB">
            <w:pPr>
              <w:tabs>
                <w:tab w:val="left" w:pos="540"/>
              </w:tabs>
              <w:spacing w:before="120"/>
              <w:jc w:val="center"/>
              <w:rPr>
                <w:rFonts w:ascii="Times New Roman" w:eastAsia="Times New Roman" w:hAnsi="Times New Roman"/>
                <w:bCs/>
                <w:sz w:val="24"/>
                <w:szCs w:val="24"/>
                <w:lang w:val="nl-NL"/>
              </w:rPr>
            </w:pPr>
          </w:p>
        </w:tc>
        <w:tc>
          <w:tcPr>
            <w:tcW w:w="1838" w:type="dxa"/>
          </w:tcPr>
          <w:p w14:paraId="5F2630DF" w14:textId="77777777" w:rsidR="00A168BB" w:rsidRDefault="00A168BB" w:rsidP="00A168BB">
            <w:pPr>
              <w:spacing w:before="120"/>
              <w:jc w:val="center"/>
              <w:rPr>
                <w:rFonts w:ascii="Times New Roman" w:eastAsia="Times New Roman" w:hAnsi="Times New Roman"/>
                <w:bCs/>
                <w:sz w:val="24"/>
                <w:szCs w:val="24"/>
                <w:lang w:val="nl-NL"/>
              </w:rPr>
            </w:pPr>
          </w:p>
        </w:tc>
      </w:tr>
      <w:tr w:rsidR="00A168BB" w:rsidRPr="00E93BC5" w14:paraId="0451AD18" w14:textId="77777777" w:rsidTr="00613F42">
        <w:trPr>
          <w:trHeight w:val="494"/>
        </w:trPr>
        <w:tc>
          <w:tcPr>
            <w:tcW w:w="4297" w:type="dxa"/>
            <w:vAlign w:val="center"/>
          </w:tcPr>
          <w:p w14:paraId="3D2CE59F" w14:textId="34117613" w:rsidR="00A168BB" w:rsidRPr="00E93BC5" w:rsidRDefault="00A168BB" w:rsidP="00A168BB">
            <w:pPr>
              <w:pStyle w:val="ListParagraph"/>
              <w:numPr>
                <w:ilvl w:val="0"/>
                <w:numId w:val="15"/>
              </w:numPr>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Tiền gửi ngân hàng</w:t>
            </w:r>
          </w:p>
        </w:tc>
        <w:tc>
          <w:tcPr>
            <w:tcW w:w="1800" w:type="dxa"/>
            <w:vAlign w:val="center"/>
          </w:tcPr>
          <w:p w14:paraId="7E71E7AA" w14:textId="2819D83E" w:rsidR="00A168BB" w:rsidRPr="00E93BC5" w:rsidRDefault="00A168BB" w:rsidP="00A168BB">
            <w:pPr>
              <w:tabs>
                <w:tab w:val="left" w:pos="540"/>
              </w:tabs>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0,54</w:t>
            </w:r>
          </w:p>
        </w:tc>
        <w:tc>
          <w:tcPr>
            <w:tcW w:w="1980" w:type="dxa"/>
            <w:vAlign w:val="center"/>
          </w:tcPr>
          <w:p w14:paraId="72D15BF7" w14:textId="547995EE" w:rsidR="00A168BB" w:rsidRPr="00E05828" w:rsidRDefault="00A168BB" w:rsidP="00A168BB">
            <w:pPr>
              <w:tabs>
                <w:tab w:val="left" w:pos="540"/>
              </w:tabs>
              <w:spacing w:before="120"/>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0,88</w:t>
            </w:r>
          </w:p>
        </w:tc>
        <w:tc>
          <w:tcPr>
            <w:tcW w:w="1838" w:type="dxa"/>
            <w:vAlign w:val="center"/>
          </w:tcPr>
          <w:p w14:paraId="64C212A2" w14:textId="724E3B0E" w:rsidR="00A168BB" w:rsidRPr="00E05828" w:rsidRDefault="00A168BB" w:rsidP="00A168BB">
            <w:pPr>
              <w:spacing w:before="120" w:line="276" w:lineRule="auto"/>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0,58</w:t>
            </w:r>
          </w:p>
        </w:tc>
      </w:tr>
      <w:tr w:rsidR="00A168BB" w:rsidRPr="00E93BC5" w14:paraId="586753DF" w14:textId="77777777" w:rsidTr="00613F42">
        <w:trPr>
          <w:trHeight w:val="443"/>
        </w:trPr>
        <w:tc>
          <w:tcPr>
            <w:tcW w:w="4297" w:type="dxa"/>
            <w:vAlign w:val="center"/>
          </w:tcPr>
          <w:p w14:paraId="4C6A15D5" w14:textId="77777777" w:rsidR="00A168BB" w:rsidRPr="00E93BC5" w:rsidRDefault="00A168BB" w:rsidP="00A168BB">
            <w:pPr>
              <w:pStyle w:val="ListParagraph"/>
              <w:numPr>
                <w:ilvl w:val="0"/>
                <w:numId w:val="15"/>
              </w:numPr>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Các khoản tương đương tiền</w:t>
            </w:r>
          </w:p>
        </w:tc>
        <w:tc>
          <w:tcPr>
            <w:tcW w:w="1800" w:type="dxa"/>
            <w:vAlign w:val="center"/>
          </w:tcPr>
          <w:p w14:paraId="1CD47B5A" w14:textId="0ED9B548" w:rsidR="00A168BB" w:rsidRPr="00E93BC5" w:rsidRDefault="00A168BB" w:rsidP="00A168BB">
            <w:pPr>
              <w:spacing w:before="120"/>
              <w:jc w:val="center"/>
              <w:rPr>
                <w:rFonts w:ascii="Times New Roman" w:hAnsi="Times New Roman"/>
                <w:bCs/>
                <w:sz w:val="24"/>
                <w:szCs w:val="24"/>
                <w:lang w:val="nl-NL"/>
              </w:rPr>
            </w:pPr>
            <w:r>
              <w:rPr>
                <w:rFonts w:ascii="Times New Roman" w:hAnsi="Times New Roman"/>
                <w:bCs/>
                <w:sz w:val="24"/>
                <w:szCs w:val="24"/>
                <w:lang w:val="nl-NL"/>
              </w:rPr>
              <w:t>6,01</w:t>
            </w:r>
          </w:p>
        </w:tc>
        <w:tc>
          <w:tcPr>
            <w:tcW w:w="1980" w:type="dxa"/>
            <w:vAlign w:val="center"/>
          </w:tcPr>
          <w:p w14:paraId="1E8CDF8C" w14:textId="2FB339C2" w:rsidR="00A168BB" w:rsidRPr="00E05828" w:rsidRDefault="00A168BB" w:rsidP="00A168BB">
            <w:pPr>
              <w:tabs>
                <w:tab w:val="left" w:pos="540"/>
              </w:tabs>
              <w:spacing w:before="120"/>
              <w:jc w:val="center"/>
              <w:rPr>
                <w:rFonts w:ascii="Times New Roman" w:eastAsia="Times New Roman" w:hAnsi="Times New Roman"/>
                <w:bCs/>
                <w:sz w:val="24"/>
                <w:szCs w:val="24"/>
                <w:lang w:val="nl-NL"/>
              </w:rPr>
            </w:pPr>
            <w:r w:rsidRPr="00E93BC5">
              <w:rPr>
                <w:rFonts w:ascii="Times New Roman" w:hAnsi="Times New Roman"/>
                <w:bCs/>
                <w:sz w:val="24"/>
                <w:szCs w:val="24"/>
                <w:lang w:val="nl-NL"/>
              </w:rPr>
              <w:t>0</w:t>
            </w:r>
          </w:p>
        </w:tc>
        <w:tc>
          <w:tcPr>
            <w:tcW w:w="1838" w:type="dxa"/>
            <w:vAlign w:val="center"/>
          </w:tcPr>
          <w:p w14:paraId="1D68CC03" w14:textId="7A4E7E74" w:rsidR="00A168BB" w:rsidRPr="00E05828" w:rsidRDefault="00A168BB" w:rsidP="00A168BB">
            <w:pPr>
              <w:tabs>
                <w:tab w:val="left" w:pos="540"/>
              </w:tabs>
              <w:spacing w:before="120"/>
              <w:jc w:val="center"/>
              <w:rPr>
                <w:rFonts w:ascii="Times New Roman" w:eastAsia="Times New Roman" w:hAnsi="Times New Roman"/>
                <w:bCs/>
                <w:sz w:val="24"/>
                <w:szCs w:val="24"/>
                <w:lang w:val="nl-NL"/>
              </w:rPr>
            </w:pPr>
            <w:r w:rsidRPr="00E93BC5">
              <w:rPr>
                <w:rFonts w:ascii="Times New Roman" w:hAnsi="Times New Roman"/>
                <w:bCs/>
                <w:sz w:val="24"/>
                <w:szCs w:val="24"/>
                <w:lang w:val="nl-NL"/>
              </w:rPr>
              <w:t>0</w:t>
            </w:r>
          </w:p>
        </w:tc>
      </w:tr>
      <w:tr w:rsidR="00A168BB" w:rsidRPr="00E93BC5" w14:paraId="6DAE5080" w14:textId="77777777" w:rsidTr="00613F42">
        <w:trPr>
          <w:trHeight w:val="494"/>
        </w:trPr>
        <w:tc>
          <w:tcPr>
            <w:tcW w:w="4297" w:type="dxa"/>
            <w:vAlign w:val="center"/>
          </w:tcPr>
          <w:p w14:paraId="0F09887A" w14:textId="77777777" w:rsidR="00A168BB" w:rsidRPr="00E93BC5" w:rsidRDefault="00A168BB" w:rsidP="00A168BB">
            <w:pPr>
              <w:pStyle w:val="ListParagraph"/>
              <w:numPr>
                <w:ilvl w:val="0"/>
                <w:numId w:val="15"/>
              </w:numPr>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Tiền gửi kỳ hạn trên 3 tháng</w:t>
            </w:r>
          </w:p>
        </w:tc>
        <w:tc>
          <w:tcPr>
            <w:tcW w:w="1800" w:type="dxa"/>
            <w:vAlign w:val="center"/>
          </w:tcPr>
          <w:p w14:paraId="7BC56A76" w14:textId="1AE8D144" w:rsidR="00A168BB" w:rsidRPr="00E93BC5" w:rsidRDefault="00A168BB" w:rsidP="00A168BB">
            <w:pPr>
              <w:spacing w:before="120" w:line="276" w:lineRule="auto"/>
              <w:jc w:val="center"/>
              <w:rPr>
                <w:rFonts w:ascii="Times New Roman" w:hAnsi="Times New Roman"/>
                <w:bCs/>
                <w:sz w:val="24"/>
                <w:szCs w:val="24"/>
                <w:lang w:val="nl-NL"/>
              </w:rPr>
            </w:pPr>
            <w:r>
              <w:rPr>
                <w:rFonts w:ascii="Times New Roman" w:hAnsi="Times New Roman"/>
                <w:bCs/>
                <w:sz w:val="24"/>
                <w:szCs w:val="24"/>
                <w:lang w:val="nl-NL"/>
              </w:rPr>
              <w:t>43,92</w:t>
            </w:r>
          </w:p>
        </w:tc>
        <w:tc>
          <w:tcPr>
            <w:tcW w:w="1980" w:type="dxa"/>
            <w:vAlign w:val="center"/>
          </w:tcPr>
          <w:p w14:paraId="5F922F45" w14:textId="736234C8" w:rsidR="00A168BB" w:rsidRPr="00E05828" w:rsidRDefault="00A168BB" w:rsidP="00A168BB">
            <w:pPr>
              <w:tabs>
                <w:tab w:val="left" w:pos="540"/>
              </w:tabs>
              <w:spacing w:before="120"/>
              <w:jc w:val="center"/>
              <w:rPr>
                <w:rFonts w:ascii="Times New Roman" w:eastAsia="Times New Roman" w:hAnsi="Times New Roman"/>
                <w:bCs/>
                <w:sz w:val="24"/>
                <w:szCs w:val="24"/>
                <w:lang w:val="nl-NL"/>
              </w:rPr>
            </w:pPr>
            <w:r>
              <w:rPr>
                <w:rFonts w:ascii="Times New Roman" w:hAnsi="Times New Roman"/>
                <w:bCs/>
                <w:sz w:val="24"/>
                <w:szCs w:val="24"/>
                <w:lang w:val="nl-NL"/>
              </w:rPr>
              <w:t>81,68</w:t>
            </w:r>
          </w:p>
        </w:tc>
        <w:tc>
          <w:tcPr>
            <w:tcW w:w="1838" w:type="dxa"/>
            <w:vAlign w:val="center"/>
          </w:tcPr>
          <w:p w14:paraId="062C5465" w14:textId="3C1EF804" w:rsidR="00A168BB" w:rsidRPr="00E05828" w:rsidRDefault="00A168BB" w:rsidP="00A168BB">
            <w:pPr>
              <w:tabs>
                <w:tab w:val="left" w:pos="540"/>
              </w:tabs>
              <w:spacing w:before="120"/>
              <w:jc w:val="center"/>
              <w:rPr>
                <w:rFonts w:ascii="Times New Roman" w:eastAsia="Times New Roman" w:hAnsi="Times New Roman"/>
                <w:bCs/>
                <w:sz w:val="24"/>
                <w:szCs w:val="24"/>
                <w:lang w:val="nl-NL"/>
              </w:rPr>
            </w:pPr>
            <w:r>
              <w:rPr>
                <w:rFonts w:ascii="Times New Roman" w:hAnsi="Times New Roman"/>
                <w:bCs/>
                <w:sz w:val="24"/>
                <w:szCs w:val="24"/>
                <w:lang w:val="nl-NL"/>
              </w:rPr>
              <w:t>84,42</w:t>
            </w:r>
          </w:p>
        </w:tc>
      </w:tr>
      <w:tr w:rsidR="00A168BB" w:rsidRPr="00E93BC5" w14:paraId="2DFB9C16" w14:textId="77777777" w:rsidTr="00613F42">
        <w:trPr>
          <w:trHeight w:val="494"/>
        </w:trPr>
        <w:tc>
          <w:tcPr>
            <w:tcW w:w="4297" w:type="dxa"/>
            <w:vAlign w:val="center"/>
          </w:tcPr>
          <w:p w14:paraId="535325FA" w14:textId="77777777" w:rsidR="00A168BB" w:rsidRPr="00E93BC5" w:rsidRDefault="00A168BB" w:rsidP="00A168BB">
            <w:pPr>
              <w:pStyle w:val="ListParagraph"/>
              <w:numPr>
                <w:ilvl w:val="0"/>
                <w:numId w:val="15"/>
              </w:numPr>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Chứng chỉ tiền gửi</w:t>
            </w:r>
          </w:p>
        </w:tc>
        <w:tc>
          <w:tcPr>
            <w:tcW w:w="1800" w:type="dxa"/>
            <w:vAlign w:val="center"/>
          </w:tcPr>
          <w:p w14:paraId="37E4BBD1" w14:textId="65072410" w:rsidR="00A168BB" w:rsidRPr="00E93BC5" w:rsidRDefault="00A168BB" w:rsidP="00A168BB">
            <w:pPr>
              <w:spacing w:before="120" w:line="276" w:lineRule="auto"/>
              <w:jc w:val="center"/>
              <w:rPr>
                <w:rFonts w:ascii="Times New Roman" w:hAnsi="Times New Roman"/>
                <w:bCs/>
                <w:sz w:val="24"/>
                <w:szCs w:val="24"/>
                <w:lang w:val="nl-NL"/>
              </w:rPr>
            </w:pPr>
            <w:r>
              <w:rPr>
                <w:rFonts w:ascii="Times New Roman" w:hAnsi="Times New Roman"/>
                <w:bCs/>
                <w:sz w:val="24"/>
                <w:szCs w:val="24"/>
                <w:lang w:val="nl-NL"/>
              </w:rPr>
              <w:t>22,90</w:t>
            </w:r>
          </w:p>
        </w:tc>
        <w:tc>
          <w:tcPr>
            <w:tcW w:w="1980" w:type="dxa"/>
            <w:vAlign w:val="center"/>
          </w:tcPr>
          <w:p w14:paraId="5D060C27" w14:textId="066A39F3" w:rsidR="00A168BB" w:rsidRPr="00E05828" w:rsidRDefault="00A168BB" w:rsidP="00A168BB">
            <w:pPr>
              <w:tabs>
                <w:tab w:val="left" w:pos="540"/>
              </w:tabs>
              <w:spacing w:before="120"/>
              <w:jc w:val="center"/>
              <w:rPr>
                <w:rFonts w:ascii="Times New Roman" w:eastAsia="Times New Roman" w:hAnsi="Times New Roman"/>
                <w:bCs/>
                <w:sz w:val="24"/>
                <w:szCs w:val="24"/>
                <w:lang w:val="nl-NL"/>
              </w:rPr>
            </w:pPr>
            <w:r>
              <w:rPr>
                <w:rFonts w:ascii="Times New Roman" w:hAnsi="Times New Roman"/>
                <w:bCs/>
                <w:sz w:val="24"/>
                <w:szCs w:val="24"/>
                <w:lang w:val="nl-NL"/>
              </w:rPr>
              <w:t>11,48</w:t>
            </w:r>
          </w:p>
        </w:tc>
        <w:tc>
          <w:tcPr>
            <w:tcW w:w="1838" w:type="dxa"/>
            <w:vAlign w:val="center"/>
          </w:tcPr>
          <w:p w14:paraId="4C0D1C18" w14:textId="42AB6935" w:rsidR="00A168BB" w:rsidRPr="00E05828" w:rsidRDefault="00A168BB" w:rsidP="00A168BB">
            <w:pPr>
              <w:tabs>
                <w:tab w:val="left" w:pos="540"/>
              </w:tabs>
              <w:spacing w:before="120"/>
              <w:jc w:val="center"/>
              <w:rPr>
                <w:rFonts w:ascii="Times New Roman" w:eastAsia="Times New Roman" w:hAnsi="Times New Roman"/>
                <w:bCs/>
                <w:sz w:val="24"/>
                <w:szCs w:val="24"/>
                <w:lang w:val="nl-NL"/>
              </w:rPr>
            </w:pPr>
            <w:r>
              <w:rPr>
                <w:rFonts w:ascii="Times New Roman" w:hAnsi="Times New Roman"/>
                <w:bCs/>
                <w:sz w:val="24"/>
                <w:szCs w:val="24"/>
                <w:lang w:val="nl-NL"/>
              </w:rPr>
              <w:t>10,92</w:t>
            </w:r>
          </w:p>
        </w:tc>
      </w:tr>
      <w:tr w:rsidR="00A168BB" w:rsidRPr="00E93BC5" w14:paraId="76C2237A" w14:textId="77777777" w:rsidTr="00613F42">
        <w:trPr>
          <w:trHeight w:val="477"/>
        </w:trPr>
        <w:tc>
          <w:tcPr>
            <w:tcW w:w="4297" w:type="dxa"/>
            <w:vAlign w:val="center"/>
          </w:tcPr>
          <w:p w14:paraId="289FC9E4" w14:textId="77777777" w:rsidR="00A168BB" w:rsidRPr="00E93BC5" w:rsidRDefault="00A168BB" w:rsidP="00A168BB">
            <w:pPr>
              <w:pStyle w:val="ListParagraph"/>
              <w:numPr>
                <w:ilvl w:val="0"/>
                <w:numId w:val="15"/>
              </w:numPr>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Khác</w:t>
            </w:r>
          </w:p>
        </w:tc>
        <w:tc>
          <w:tcPr>
            <w:tcW w:w="1800" w:type="dxa"/>
            <w:vAlign w:val="center"/>
          </w:tcPr>
          <w:p w14:paraId="1510F7C3" w14:textId="0A21EE46" w:rsidR="00A168BB" w:rsidRPr="00E93BC5" w:rsidRDefault="00A168BB" w:rsidP="00A168BB">
            <w:pPr>
              <w:spacing w:before="120" w:line="276" w:lineRule="auto"/>
              <w:jc w:val="center"/>
              <w:rPr>
                <w:rFonts w:ascii="Times New Roman" w:hAnsi="Times New Roman"/>
                <w:bCs/>
                <w:sz w:val="24"/>
                <w:szCs w:val="24"/>
                <w:lang w:val="nl-NL"/>
              </w:rPr>
            </w:pPr>
            <w:r>
              <w:rPr>
                <w:rFonts w:ascii="Times New Roman" w:hAnsi="Times New Roman"/>
                <w:bCs/>
                <w:sz w:val="24"/>
                <w:szCs w:val="24"/>
                <w:lang w:val="nl-NL"/>
              </w:rPr>
              <w:t>5,74</w:t>
            </w:r>
          </w:p>
        </w:tc>
        <w:tc>
          <w:tcPr>
            <w:tcW w:w="1980" w:type="dxa"/>
            <w:vAlign w:val="center"/>
          </w:tcPr>
          <w:p w14:paraId="46FDB5B4" w14:textId="44D4AF24" w:rsidR="00A168BB" w:rsidRPr="00E05828" w:rsidRDefault="00A168BB" w:rsidP="00A168BB">
            <w:pPr>
              <w:tabs>
                <w:tab w:val="left" w:pos="540"/>
              </w:tabs>
              <w:spacing w:before="120"/>
              <w:jc w:val="center"/>
              <w:rPr>
                <w:rFonts w:ascii="Times New Roman" w:eastAsia="Times New Roman" w:hAnsi="Times New Roman"/>
                <w:bCs/>
                <w:sz w:val="24"/>
                <w:szCs w:val="24"/>
                <w:lang w:val="nl-NL"/>
              </w:rPr>
            </w:pPr>
            <w:r>
              <w:rPr>
                <w:rFonts w:ascii="Times New Roman" w:hAnsi="Times New Roman"/>
                <w:bCs/>
                <w:sz w:val="24"/>
                <w:szCs w:val="24"/>
                <w:lang w:val="nl-NL"/>
              </w:rPr>
              <w:t>5,97</w:t>
            </w:r>
          </w:p>
        </w:tc>
        <w:tc>
          <w:tcPr>
            <w:tcW w:w="1838" w:type="dxa"/>
            <w:vAlign w:val="center"/>
          </w:tcPr>
          <w:p w14:paraId="0E308745" w14:textId="4526EDB6" w:rsidR="00A168BB" w:rsidRPr="00E05828" w:rsidRDefault="00A168BB" w:rsidP="00A168BB">
            <w:pPr>
              <w:tabs>
                <w:tab w:val="left" w:pos="540"/>
              </w:tabs>
              <w:spacing w:before="120"/>
              <w:jc w:val="center"/>
              <w:rPr>
                <w:rFonts w:ascii="Times New Roman" w:eastAsia="Times New Roman" w:hAnsi="Times New Roman"/>
                <w:bCs/>
                <w:sz w:val="24"/>
                <w:szCs w:val="24"/>
                <w:lang w:val="nl-NL"/>
              </w:rPr>
            </w:pPr>
            <w:r>
              <w:rPr>
                <w:rFonts w:ascii="Times New Roman" w:hAnsi="Times New Roman"/>
                <w:bCs/>
                <w:sz w:val="24"/>
                <w:szCs w:val="24"/>
                <w:lang w:val="nl-NL"/>
              </w:rPr>
              <w:t>4,08</w:t>
            </w:r>
          </w:p>
        </w:tc>
      </w:tr>
      <w:tr w:rsidR="00A168BB" w:rsidRPr="00E93BC5" w14:paraId="60A2975C" w14:textId="77777777" w:rsidTr="00253744">
        <w:trPr>
          <w:trHeight w:val="494"/>
        </w:trPr>
        <w:tc>
          <w:tcPr>
            <w:tcW w:w="4297" w:type="dxa"/>
            <w:vAlign w:val="center"/>
          </w:tcPr>
          <w:p w14:paraId="10D7EF1E" w14:textId="77777777" w:rsidR="00A168BB" w:rsidRPr="00E93BC5" w:rsidRDefault="00A168BB" w:rsidP="00A168BB">
            <w:pPr>
              <w:spacing w:before="120" w:line="276" w:lineRule="auto"/>
              <w:jc w:val="center"/>
              <w:rPr>
                <w:rFonts w:ascii="Times New Roman" w:hAnsi="Times New Roman"/>
                <w:sz w:val="24"/>
                <w:szCs w:val="24"/>
                <w:lang w:val="nl-NL"/>
              </w:rPr>
            </w:pPr>
            <w:r w:rsidRPr="00E93BC5">
              <w:rPr>
                <w:rFonts w:ascii="Times New Roman" w:eastAsia="Times New Roman" w:hAnsi="Times New Roman"/>
                <w:sz w:val="24"/>
                <w:szCs w:val="24"/>
                <w:lang w:val="nl-NL"/>
              </w:rPr>
              <w:t>Cộng</w:t>
            </w:r>
          </w:p>
        </w:tc>
        <w:tc>
          <w:tcPr>
            <w:tcW w:w="1800" w:type="dxa"/>
            <w:vAlign w:val="center"/>
          </w:tcPr>
          <w:p w14:paraId="46FD05AC" w14:textId="77777777" w:rsidR="00A168BB" w:rsidRPr="00E93BC5" w:rsidRDefault="00A168BB" w:rsidP="00A168BB">
            <w:pPr>
              <w:spacing w:before="120" w:line="276" w:lineRule="auto"/>
              <w:jc w:val="center"/>
              <w:rPr>
                <w:rFonts w:ascii="Times New Roman" w:hAnsi="Times New Roman"/>
                <w:b/>
                <w:sz w:val="24"/>
                <w:szCs w:val="24"/>
                <w:lang w:val="nl-NL"/>
              </w:rPr>
            </w:pPr>
            <w:r w:rsidRPr="00E93BC5">
              <w:rPr>
                <w:rFonts w:ascii="Times New Roman" w:hAnsi="Times New Roman"/>
                <w:b/>
                <w:sz w:val="24"/>
                <w:szCs w:val="24"/>
                <w:lang w:val="nl-NL"/>
              </w:rPr>
              <w:t>100,00</w:t>
            </w:r>
          </w:p>
        </w:tc>
        <w:tc>
          <w:tcPr>
            <w:tcW w:w="1980" w:type="dxa"/>
            <w:vAlign w:val="center"/>
          </w:tcPr>
          <w:p w14:paraId="73CF8507" w14:textId="46DF9815" w:rsidR="00A168BB" w:rsidRPr="00406622" w:rsidRDefault="00A168BB" w:rsidP="00A168BB">
            <w:pPr>
              <w:tabs>
                <w:tab w:val="left" w:pos="540"/>
              </w:tabs>
              <w:spacing w:before="120"/>
              <w:jc w:val="center"/>
              <w:rPr>
                <w:rFonts w:ascii="Times New Roman" w:eastAsia="Times New Roman" w:hAnsi="Times New Roman"/>
                <w:b/>
                <w:sz w:val="24"/>
                <w:szCs w:val="24"/>
                <w:lang w:val="nl-NL"/>
              </w:rPr>
            </w:pPr>
            <w:r w:rsidRPr="00E93BC5">
              <w:rPr>
                <w:rFonts w:ascii="Times New Roman" w:hAnsi="Times New Roman"/>
                <w:b/>
                <w:sz w:val="24"/>
                <w:szCs w:val="24"/>
                <w:lang w:val="nl-NL"/>
              </w:rPr>
              <w:t>100,00</w:t>
            </w:r>
          </w:p>
        </w:tc>
        <w:tc>
          <w:tcPr>
            <w:tcW w:w="1838" w:type="dxa"/>
            <w:vAlign w:val="center"/>
          </w:tcPr>
          <w:p w14:paraId="7B2F4CCF" w14:textId="730A1725" w:rsidR="00A168BB" w:rsidRPr="00406622" w:rsidRDefault="00A168BB" w:rsidP="00A168BB">
            <w:pPr>
              <w:tabs>
                <w:tab w:val="left" w:pos="540"/>
              </w:tabs>
              <w:spacing w:before="120"/>
              <w:jc w:val="center"/>
              <w:rPr>
                <w:rFonts w:ascii="Times New Roman" w:eastAsia="Times New Roman" w:hAnsi="Times New Roman"/>
                <w:b/>
                <w:sz w:val="24"/>
                <w:szCs w:val="24"/>
                <w:lang w:val="nl-NL"/>
              </w:rPr>
            </w:pPr>
            <w:r w:rsidRPr="00E93BC5">
              <w:rPr>
                <w:rFonts w:ascii="Times New Roman" w:hAnsi="Times New Roman"/>
                <w:b/>
                <w:sz w:val="24"/>
                <w:szCs w:val="24"/>
                <w:lang w:val="nl-NL"/>
              </w:rPr>
              <w:t>100,00</w:t>
            </w:r>
          </w:p>
        </w:tc>
      </w:tr>
    </w:tbl>
    <w:p w14:paraId="3E91B723" w14:textId="77777777" w:rsidR="002B3684" w:rsidRPr="00E93BC5" w:rsidRDefault="002B3684" w:rsidP="00B3750F">
      <w:pPr>
        <w:shd w:val="clear" w:color="auto" w:fill="FFFFFF"/>
        <w:spacing w:before="120" w:after="0" w:line="240" w:lineRule="auto"/>
        <w:jc w:val="both"/>
        <w:rPr>
          <w:rFonts w:ascii="Times New Roman" w:hAnsi="Times New Roman"/>
          <w:b/>
          <w:sz w:val="24"/>
          <w:szCs w:val="24"/>
          <w:lang w:val="nl-NL"/>
        </w:rPr>
      </w:pPr>
    </w:p>
    <w:p w14:paraId="772B9367" w14:textId="77777777" w:rsidR="0056426D" w:rsidRPr="00E93BC5" w:rsidRDefault="0056426D" w:rsidP="00B3750F">
      <w:pPr>
        <w:shd w:val="clear" w:color="auto" w:fill="FFFFFF"/>
        <w:spacing w:before="120" w:after="0" w:line="240" w:lineRule="auto"/>
        <w:jc w:val="both"/>
        <w:rPr>
          <w:rFonts w:ascii="Times New Roman" w:hAnsi="Times New Roman"/>
          <w:b/>
          <w:sz w:val="24"/>
          <w:szCs w:val="24"/>
          <w:lang w:val="nl-NL"/>
        </w:rPr>
      </w:pPr>
    </w:p>
    <w:p w14:paraId="5DC2C084" w14:textId="77777777" w:rsidR="00B40151" w:rsidRPr="00E93BC5" w:rsidRDefault="001C4468" w:rsidP="00B3750F">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t>Chi tiết chỉ tiêu hoạt động:</w:t>
      </w:r>
    </w:p>
    <w:tbl>
      <w:tblPr>
        <w:tblStyle w:val="TableGrid"/>
        <w:tblW w:w="0" w:type="auto"/>
        <w:tblInd w:w="108" w:type="dxa"/>
        <w:tblLook w:val="04A0" w:firstRow="1" w:lastRow="0" w:firstColumn="1" w:lastColumn="0" w:noHBand="0" w:noVBand="1"/>
      </w:tblPr>
      <w:tblGrid>
        <w:gridCol w:w="4228"/>
        <w:gridCol w:w="1882"/>
        <w:gridCol w:w="1836"/>
        <w:gridCol w:w="1836"/>
      </w:tblGrid>
      <w:tr w:rsidR="00A168BB" w:rsidRPr="00E93BC5" w14:paraId="119730C1" w14:textId="77777777" w:rsidTr="0056426D">
        <w:tc>
          <w:tcPr>
            <w:tcW w:w="4228" w:type="dxa"/>
            <w:vAlign w:val="center"/>
          </w:tcPr>
          <w:p w14:paraId="13606996" w14:textId="77777777" w:rsidR="00A168BB" w:rsidRPr="00E93BC5" w:rsidRDefault="00A168BB" w:rsidP="00A168BB">
            <w:pPr>
              <w:tabs>
                <w:tab w:val="left" w:pos="540"/>
              </w:tabs>
              <w:spacing w:before="120" w:line="276"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Chỉ tiêu</w:t>
            </w:r>
          </w:p>
        </w:tc>
        <w:tc>
          <w:tcPr>
            <w:tcW w:w="1882" w:type="dxa"/>
            <w:vAlign w:val="center"/>
          </w:tcPr>
          <w:p w14:paraId="74BF6CF7" w14:textId="0E5F894C" w:rsidR="00A168BB" w:rsidRPr="00E93BC5" w:rsidRDefault="00A168BB" w:rsidP="00A168BB">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31/03/2025</w:t>
            </w:r>
          </w:p>
        </w:tc>
        <w:tc>
          <w:tcPr>
            <w:tcW w:w="1836" w:type="dxa"/>
            <w:vAlign w:val="center"/>
          </w:tcPr>
          <w:p w14:paraId="6EC438E3" w14:textId="503F68E2" w:rsidR="00A168BB" w:rsidRPr="00E93BC5" w:rsidRDefault="00A168BB" w:rsidP="00A168BB">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31/03/2024</w:t>
            </w:r>
          </w:p>
        </w:tc>
        <w:tc>
          <w:tcPr>
            <w:tcW w:w="1836" w:type="dxa"/>
            <w:vAlign w:val="center"/>
          </w:tcPr>
          <w:p w14:paraId="78C751B9" w14:textId="553742F6" w:rsidR="00A168BB" w:rsidRPr="00E93BC5" w:rsidRDefault="00A168BB" w:rsidP="00A168BB">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31/03/2023</w:t>
            </w:r>
          </w:p>
        </w:tc>
      </w:tr>
      <w:tr w:rsidR="00A168BB" w:rsidRPr="00E93BC5" w14:paraId="789E88AB" w14:textId="77777777" w:rsidTr="0056426D">
        <w:trPr>
          <w:trHeight w:val="647"/>
        </w:trPr>
        <w:tc>
          <w:tcPr>
            <w:tcW w:w="4228" w:type="dxa"/>
            <w:vAlign w:val="center"/>
          </w:tcPr>
          <w:p w14:paraId="70360A0B" w14:textId="77777777" w:rsidR="00A168BB" w:rsidRPr="00E93BC5" w:rsidRDefault="00A168BB" w:rsidP="00A168BB">
            <w:pPr>
              <w:tabs>
                <w:tab w:val="left" w:pos="540"/>
              </w:tabs>
              <w:spacing w:before="120"/>
              <w:rPr>
                <w:rFonts w:ascii="Times New Roman" w:hAnsi="Times New Roman"/>
                <w:b/>
                <w:sz w:val="24"/>
                <w:szCs w:val="24"/>
                <w:lang w:val="nl-NL"/>
              </w:rPr>
            </w:pPr>
            <w:r w:rsidRPr="00E93BC5">
              <w:rPr>
                <w:rFonts w:ascii="Times New Roman" w:hAnsi="Times New Roman"/>
                <w:sz w:val="24"/>
                <w:szCs w:val="24"/>
                <w:lang w:val="nl-NL"/>
              </w:rPr>
              <w:t xml:space="preserve">2.1. Giá trị tài sản ròng của Quỹ (VNĐ) </w:t>
            </w:r>
          </w:p>
        </w:tc>
        <w:tc>
          <w:tcPr>
            <w:tcW w:w="1882" w:type="dxa"/>
            <w:vAlign w:val="center"/>
          </w:tcPr>
          <w:p w14:paraId="642C2F18" w14:textId="26AD9D47" w:rsidR="00A168BB" w:rsidRPr="00E93BC5" w:rsidRDefault="00E40B1A" w:rsidP="00A168BB">
            <w:pPr>
              <w:tabs>
                <w:tab w:val="left" w:pos="540"/>
              </w:tabs>
              <w:spacing w:before="120" w:line="276" w:lineRule="auto"/>
              <w:rPr>
                <w:rFonts w:ascii="Times New Roman" w:hAnsi="Times New Roman"/>
                <w:sz w:val="24"/>
                <w:szCs w:val="24"/>
                <w:lang w:val="nl-NL"/>
              </w:rPr>
            </w:pPr>
            <w:r w:rsidRPr="00E40B1A">
              <w:rPr>
                <w:rFonts w:ascii="Times New Roman" w:eastAsia="Times New Roman" w:hAnsi="Times New Roman"/>
                <w:bCs/>
                <w:color w:val="000000"/>
                <w:sz w:val="24"/>
                <w:szCs w:val="24"/>
                <w:lang w:val="en-SG" w:eastAsia="en-SG"/>
              </w:rPr>
              <w:t>132</w:t>
            </w:r>
            <w:r>
              <w:rPr>
                <w:rFonts w:ascii="Times New Roman" w:eastAsia="Times New Roman" w:hAnsi="Times New Roman"/>
                <w:bCs/>
                <w:color w:val="000000"/>
                <w:sz w:val="24"/>
                <w:szCs w:val="24"/>
                <w:lang w:val="en-SG" w:eastAsia="en-SG"/>
              </w:rPr>
              <w:t>.</w:t>
            </w:r>
            <w:r w:rsidRPr="00E40B1A">
              <w:rPr>
                <w:rFonts w:ascii="Times New Roman" w:eastAsia="Times New Roman" w:hAnsi="Times New Roman"/>
                <w:bCs/>
                <w:color w:val="000000"/>
                <w:sz w:val="24"/>
                <w:szCs w:val="24"/>
                <w:lang w:val="en-SG" w:eastAsia="en-SG"/>
              </w:rPr>
              <w:t>876</w:t>
            </w:r>
            <w:r>
              <w:rPr>
                <w:rFonts w:ascii="Times New Roman" w:eastAsia="Times New Roman" w:hAnsi="Times New Roman"/>
                <w:bCs/>
                <w:color w:val="000000"/>
                <w:sz w:val="24"/>
                <w:szCs w:val="24"/>
                <w:lang w:val="en-SG" w:eastAsia="en-SG"/>
              </w:rPr>
              <w:t>.</w:t>
            </w:r>
            <w:r w:rsidRPr="00E40B1A">
              <w:rPr>
                <w:rFonts w:ascii="Times New Roman" w:eastAsia="Times New Roman" w:hAnsi="Times New Roman"/>
                <w:bCs/>
                <w:color w:val="000000"/>
                <w:sz w:val="24"/>
                <w:szCs w:val="24"/>
                <w:lang w:val="en-SG" w:eastAsia="en-SG"/>
              </w:rPr>
              <w:t>965</w:t>
            </w:r>
            <w:r>
              <w:rPr>
                <w:rFonts w:ascii="Times New Roman" w:eastAsia="Times New Roman" w:hAnsi="Times New Roman"/>
                <w:bCs/>
                <w:color w:val="000000"/>
                <w:sz w:val="24"/>
                <w:szCs w:val="24"/>
                <w:lang w:val="en-SG" w:eastAsia="en-SG"/>
              </w:rPr>
              <w:t>.</w:t>
            </w:r>
            <w:r w:rsidRPr="00E40B1A">
              <w:rPr>
                <w:rFonts w:ascii="Times New Roman" w:eastAsia="Times New Roman" w:hAnsi="Times New Roman"/>
                <w:bCs/>
                <w:color w:val="000000"/>
                <w:sz w:val="24"/>
                <w:szCs w:val="24"/>
                <w:lang w:val="en-SG" w:eastAsia="en-SG"/>
              </w:rPr>
              <w:t>610</w:t>
            </w:r>
          </w:p>
        </w:tc>
        <w:tc>
          <w:tcPr>
            <w:tcW w:w="1836" w:type="dxa"/>
            <w:vAlign w:val="center"/>
          </w:tcPr>
          <w:p w14:paraId="0E17A987" w14:textId="5136FB3C" w:rsidR="00A168BB" w:rsidRPr="00E93BC5" w:rsidRDefault="00A168BB" w:rsidP="00A168BB">
            <w:pPr>
              <w:tabs>
                <w:tab w:val="left" w:pos="540"/>
              </w:tabs>
              <w:spacing w:before="120" w:line="276" w:lineRule="auto"/>
              <w:rPr>
                <w:rFonts w:ascii="Times New Roman" w:hAnsi="Times New Roman"/>
                <w:sz w:val="24"/>
                <w:szCs w:val="24"/>
                <w:lang w:val="nl-NL"/>
              </w:rPr>
            </w:pPr>
            <w:r w:rsidRPr="00E94A66">
              <w:rPr>
                <w:rFonts w:ascii="Times New Roman" w:eastAsia="Times New Roman" w:hAnsi="Times New Roman"/>
                <w:bCs/>
                <w:color w:val="000000"/>
                <w:sz w:val="24"/>
                <w:szCs w:val="24"/>
                <w:lang w:val="en-SG" w:eastAsia="en-SG"/>
              </w:rPr>
              <w:t>126.050.218.376</w:t>
            </w:r>
          </w:p>
        </w:tc>
        <w:tc>
          <w:tcPr>
            <w:tcW w:w="1836" w:type="dxa"/>
            <w:vAlign w:val="center"/>
          </w:tcPr>
          <w:p w14:paraId="3CCF528C" w14:textId="4F533A14" w:rsidR="00A168BB" w:rsidRPr="00E93BC5" w:rsidRDefault="00A168BB" w:rsidP="00A168BB">
            <w:pPr>
              <w:tabs>
                <w:tab w:val="left" w:pos="540"/>
              </w:tabs>
              <w:spacing w:before="120" w:line="276" w:lineRule="auto"/>
              <w:rPr>
                <w:rFonts w:ascii="Times New Roman" w:hAnsi="Times New Roman"/>
                <w:b/>
                <w:sz w:val="24"/>
                <w:szCs w:val="24"/>
                <w:lang w:val="nl-NL"/>
              </w:rPr>
            </w:pPr>
            <w:r w:rsidRPr="009A4558">
              <w:rPr>
                <w:rFonts w:ascii="Times New Roman" w:eastAsia="Times New Roman" w:hAnsi="Times New Roman"/>
                <w:bCs/>
                <w:color w:val="000000"/>
                <w:sz w:val="24"/>
                <w:szCs w:val="24"/>
                <w:lang w:val="en-SG" w:eastAsia="en-SG"/>
              </w:rPr>
              <w:t>118.719.468.189</w:t>
            </w:r>
          </w:p>
        </w:tc>
      </w:tr>
      <w:tr w:rsidR="00A168BB" w:rsidRPr="00E93BC5" w14:paraId="1E3FE81E" w14:textId="77777777" w:rsidTr="0056426D">
        <w:tc>
          <w:tcPr>
            <w:tcW w:w="4228" w:type="dxa"/>
          </w:tcPr>
          <w:p w14:paraId="74EDF0B8" w14:textId="77777777" w:rsidR="00A168BB" w:rsidRPr="00E93BC5" w:rsidRDefault="00A168BB" w:rsidP="00A168BB">
            <w:pPr>
              <w:tabs>
                <w:tab w:val="left" w:pos="540"/>
              </w:tabs>
              <w:spacing w:before="120" w:line="276" w:lineRule="auto"/>
              <w:jc w:val="both"/>
              <w:rPr>
                <w:rFonts w:ascii="Times New Roman" w:hAnsi="Times New Roman"/>
                <w:b/>
                <w:sz w:val="24"/>
                <w:szCs w:val="24"/>
                <w:lang w:val="nl-NL"/>
              </w:rPr>
            </w:pPr>
            <w:r w:rsidRPr="00E93BC5">
              <w:rPr>
                <w:rFonts w:ascii="Times New Roman" w:hAnsi="Times New Roman"/>
                <w:sz w:val="24"/>
                <w:szCs w:val="24"/>
                <w:lang w:val="nl-NL"/>
              </w:rPr>
              <w:t>2.2. Tổng số chứng chỉ quỹ đang lưu hành (CCQ)</w:t>
            </w:r>
          </w:p>
        </w:tc>
        <w:tc>
          <w:tcPr>
            <w:tcW w:w="1882" w:type="dxa"/>
            <w:vAlign w:val="center"/>
          </w:tcPr>
          <w:p w14:paraId="6738B28F" w14:textId="4B0CCBCE" w:rsidR="00A168BB" w:rsidRPr="00E93BC5" w:rsidRDefault="00E40B1A" w:rsidP="00A168BB">
            <w:pPr>
              <w:tabs>
                <w:tab w:val="left" w:pos="540"/>
              </w:tabs>
              <w:spacing w:before="120" w:line="276" w:lineRule="auto"/>
              <w:jc w:val="center"/>
              <w:rPr>
                <w:rFonts w:ascii="Times New Roman" w:hAnsi="Times New Roman"/>
                <w:bCs/>
                <w:sz w:val="24"/>
                <w:szCs w:val="24"/>
                <w:lang w:val="nl-NL"/>
              </w:rPr>
            </w:pPr>
            <w:r w:rsidRPr="00E40B1A">
              <w:rPr>
                <w:rFonts w:ascii="Times New Roman" w:hAnsi="Times New Roman"/>
                <w:sz w:val="24"/>
                <w:szCs w:val="24"/>
                <w:lang w:val="nl-NL"/>
              </w:rPr>
              <w:t>9</w:t>
            </w:r>
            <w:r>
              <w:rPr>
                <w:rFonts w:ascii="Times New Roman" w:hAnsi="Times New Roman"/>
                <w:sz w:val="24"/>
                <w:szCs w:val="24"/>
                <w:lang w:val="nl-NL"/>
              </w:rPr>
              <w:t>.</w:t>
            </w:r>
            <w:r w:rsidRPr="00E40B1A">
              <w:rPr>
                <w:rFonts w:ascii="Times New Roman" w:hAnsi="Times New Roman"/>
                <w:sz w:val="24"/>
                <w:szCs w:val="24"/>
                <w:lang w:val="nl-NL"/>
              </w:rPr>
              <w:t>989</w:t>
            </w:r>
            <w:r>
              <w:rPr>
                <w:rFonts w:ascii="Times New Roman" w:hAnsi="Times New Roman"/>
                <w:sz w:val="24"/>
                <w:szCs w:val="24"/>
                <w:lang w:val="nl-NL"/>
              </w:rPr>
              <w:t>.</w:t>
            </w:r>
            <w:r w:rsidRPr="00E40B1A">
              <w:rPr>
                <w:rFonts w:ascii="Times New Roman" w:hAnsi="Times New Roman"/>
                <w:sz w:val="24"/>
                <w:szCs w:val="24"/>
                <w:lang w:val="nl-NL"/>
              </w:rPr>
              <w:t>176</w:t>
            </w:r>
            <w:r>
              <w:rPr>
                <w:rFonts w:ascii="Times New Roman" w:hAnsi="Times New Roman"/>
                <w:sz w:val="24"/>
                <w:szCs w:val="24"/>
                <w:lang w:val="nl-NL"/>
              </w:rPr>
              <w:t>,</w:t>
            </w:r>
            <w:r w:rsidRPr="00E40B1A">
              <w:rPr>
                <w:rFonts w:ascii="Times New Roman" w:hAnsi="Times New Roman"/>
                <w:sz w:val="24"/>
                <w:szCs w:val="24"/>
                <w:lang w:val="nl-NL"/>
              </w:rPr>
              <w:t>99</w:t>
            </w:r>
          </w:p>
        </w:tc>
        <w:tc>
          <w:tcPr>
            <w:tcW w:w="1836" w:type="dxa"/>
            <w:vAlign w:val="center"/>
          </w:tcPr>
          <w:p w14:paraId="05271190" w14:textId="49E2C01A" w:rsidR="00A168BB" w:rsidRPr="00E93BC5" w:rsidRDefault="00A168BB" w:rsidP="00A168BB">
            <w:pPr>
              <w:tabs>
                <w:tab w:val="left" w:pos="540"/>
              </w:tabs>
              <w:spacing w:before="120" w:line="276" w:lineRule="auto"/>
              <w:jc w:val="center"/>
              <w:rPr>
                <w:rFonts w:ascii="Times New Roman" w:hAnsi="Times New Roman"/>
                <w:bCs/>
                <w:sz w:val="24"/>
                <w:szCs w:val="24"/>
                <w:lang w:val="nl-NL"/>
              </w:rPr>
            </w:pPr>
            <w:r w:rsidRPr="00E94A66">
              <w:rPr>
                <w:rFonts w:ascii="Times New Roman" w:hAnsi="Times New Roman"/>
                <w:sz w:val="24"/>
                <w:szCs w:val="24"/>
                <w:lang w:val="nl-NL"/>
              </w:rPr>
              <w:t>9.989.319,08</w:t>
            </w:r>
          </w:p>
        </w:tc>
        <w:tc>
          <w:tcPr>
            <w:tcW w:w="1836" w:type="dxa"/>
            <w:vAlign w:val="center"/>
          </w:tcPr>
          <w:p w14:paraId="46D96D38" w14:textId="174A2574" w:rsidR="00A168BB" w:rsidRPr="00E93BC5" w:rsidRDefault="00A168BB" w:rsidP="00A168BB">
            <w:pPr>
              <w:tabs>
                <w:tab w:val="left" w:pos="540"/>
              </w:tabs>
              <w:spacing w:before="120" w:line="276" w:lineRule="auto"/>
              <w:jc w:val="center"/>
              <w:rPr>
                <w:rFonts w:ascii="Times New Roman" w:hAnsi="Times New Roman"/>
                <w:b/>
                <w:sz w:val="24"/>
                <w:szCs w:val="24"/>
                <w:lang w:val="nl-NL"/>
              </w:rPr>
            </w:pPr>
            <w:r w:rsidRPr="009A4558">
              <w:rPr>
                <w:rFonts w:ascii="Times New Roman" w:hAnsi="Times New Roman"/>
                <w:sz w:val="24"/>
                <w:szCs w:val="24"/>
                <w:lang w:val="nl-NL"/>
              </w:rPr>
              <w:t>10.002.119,08</w:t>
            </w:r>
          </w:p>
        </w:tc>
      </w:tr>
      <w:tr w:rsidR="00A168BB" w:rsidRPr="00E93BC5" w14:paraId="5BB5C05F" w14:textId="77777777" w:rsidTr="0056426D">
        <w:tc>
          <w:tcPr>
            <w:tcW w:w="4228" w:type="dxa"/>
          </w:tcPr>
          <w:p w14:paraId="14B89A85" w14:textId="77777777" w:rsidR="00A168BB" w:rsidRPr="00E93BC5" w:rsidRDefault="00A168BB" w:rsidP="00A168BB">
            <w:pPr>
              <w:tabs>
                <w:tab w:val="left" w:pos="540"/>
              </w:tabs>
              <w:spacing w:before="120" w:line="276" w:lineRule="auto"/>
              <w:jc w:val="both"/>
              <w:rPr>
                <w:rFonts w:ascii="Times New Roman" w:hAnsi="Times New Roman"/>
                <w:b/>
                <w:sz w:val="24"/>
                <w:szCs w:val="24"/>
                <w:lang w:val="nl-NL"/>
              </w:rPr>
            </w:pPr>
            <w:r w:rsidRPr="00E93BC5">
              <w:rPr>
                <w:rFonts w:ascii="Times New Roman" w:hAnsi="Times New Roman"/>
                <w:sz w:val="24"/>
                <w:szCs w:val="24"/>
                <w:lang w:val="nl-NL"/>
              </w:rPr>
              <w:t>2.3. Giá trị tài sản ròng của một đơn vị Chứng chỉ quỹ (CCQ) (VNĐ)</w:t>
            </w:r>
          </w:p>
        </w:tc>
        <w:tc>
          <w:tcPr>
            <w:tcW w:w="1882" w:type="dxa"/>
            <w:vAlign w:val="center"/>
          </w:tcPr>
          <w:p w14:paraId="090CAF12" w14:textId="1FD611BE" w:rsidR="00A168BB" w:rsidRPr="00E93BC5" w:rsidRDefault="00E40B1A" w:rsidP="00A168BB">
            <w:pPr>
              <w:tabs>
                <w:tab w:val="left" w:pos="540"/>
              </w:tabs>
              <w:spacing w:before="120" w:line="276" w:lineRule="auto"/>
              <w:jc w:val="center"/>
              <w:rPr>
                <w:rFonts w:ascii="Times New Roman" w:hAnsi="Times New Roman"/>
                <w:sz w:val="24"/>
                <w:szCs w:val="24"/>
                <w:lang w:val="nl-NL"/>
              </w:rPr>
            </w:pPr>
            <w:r w:rsidRPr="00E40B1A">
              <w:rPr>
                <w:rFonts w:ascii="Times New Roman" w:hAnsi="Times New Roman"/>
                <w:sz w:val="24"/>
                <w:szCs w:val="24"/>
                <w:lang w:val="nl-NL"/>
              </w:rPr>
              <w:t>13</w:t>
            </w:r>
            <w:r>
              <w:rPr>
                <w:rFonts w:ascii="Times New Roman" w:hAnsi="Times New Roman"/>
                <w:sz w:val="24"/>
                <w:szCs w:val="24"/>
                <w:lang w:val="nl-NL"/>
              </w:rPr>
              <w:t>.</w:t>
            </w:r>
            <w:r w:rsidRPr="00E40B1A">
              <w:rPr>
                <w:rFonts w:ascii="Times New Roman" w:hAnsi="Times New Roman"/>
                <w:sz w:val="24"/>
                <w:szCs w:val="24"/>
                <w:lang w:val="nl-NL"/>
              </w:rPr>
              <w:t>302</w:t>
            </w:r>
            <w:r>
              <w:rPr>
                <w:rFonts w:ascii="Times New Roman" w:hAnsi="Times New Roman"/>
                <w:sz w:val="24"/>
                <w:szCs w:val="24"/>
                <w:lang w:val="nl-NL"/>
              </w:rPr>
              <w:t>,</w:t>
            </w:r>
            <w:r w:rsidRPr="00E40B1A">
              <w:rPr>
                <w:rFonts w:ascii="Times New Roman" w:hAnsi="Times New Roman"/>
                <w:sz w:val="24"/>
                <w:szCs w:val="24"/>
                <w:lang w:val="nl-NL"/>
              </w:rPr>
              <w:t>09</w:t>
            </w:r>
          </w:p>
        </w:tc>
        <w:tc>
          <w:tcPr>
            <w:tcW w:w="1836" w:type="dxa"/>
            <w:vAlign w:val="center"/>
          </w:tcPr>
          <w:p w14:paraId="46A4F558" w14:textId="0EE31FA0" w:rsidR="00A168BB" w:rsidRPr="006C2F63" w:rsidRDefault="00A168BB" w:rsidP="00A168BB">
            <w:pPr>
              <w:tabs>
                <w:tab w:val="left" w:pos="540"/>
              </w:tabs>
              <w:spacing w:before="120" w:line="276" w:lineRule="auto"/>
              <w:jc w:val="center"/>
              <w:rPr>
                <w:rFonts w:ascii="Times New Roman" w:hAnsi="Times New Roman"/>
                <w:sz w:val="24"/>
                <w:szCs w:val="24"/>
                <w:lang w:val="nl-NL"/>
              </w:rPr>
            </w:pPr>
            <w:r w:rsidRPr="00E94A66">
              <w:rPr>
                <w:rFonts w:ascii="Times New Roman" w:hAnsi="Times New Roman"/>
                <w:sz w:val="24"/>
                <w:szCs w:val="24"/>
                <w:lang w:val="nl-NL"/>
              </w:rPr>
              <w:t>12.618,49</w:t>
            </w:r>
          </w:p>
        </w:tc>
        <w:tc>
          <w:tcPr>
            <w:tcW w:w="1836" w:type="dxa"/>
            <w:vAlign w:val="center"/>
          </w:tcPr>
          <w:p w14:paraId="41650676" w14:textId="674CE1C6" w:rsidR="00A168BB" w:rsidRPr="00E93BC5" w:rsidRDefault="00A168BB" w:rsidP="00A168BB">
            <w:pPr>
              <w:tabs>
                <w:tab w:val="left" w:pos="540"/>
              </w:tabs>
              <w:spacing w:before="120" w:line="276" w:lineRule="auto"/>
              <w:jc w:val="center"/>
              <w:rPr>
                <w:rFonts w:ascii="Times New Roman" w:hAnsi="Times New Roman"/>
                <w:b/>
                <w:sz w:val="24"/>
                <w:szCs w:val="24"/>
                <w:lang w:val="nl-NL"/>
              </w:rPr>
            </w:pPr>
            <w:r w:rsidRPr="009A4558">
              <w:rPr>
                <w:rFonts w:ascii="Times New Roman" w:hAnsi="Times New Roman"/>
                <w:sz w:val="24"/>
                <w:szCs w:val="24"/>
                <w:lang w:val="nl-NL"/>
              </w:rPr>
              <w:t>11.869,43</w:t>
            </w:r>
          </w:p>
        </w:tc>
      </w:tr>
      <w:tr w:rsidR="00A168BB" w:rsidRPr="00E93BC5" w14:paraId="56539D5F" w14:textId="77777777" w:rsidTr="0056426D">
        <w:tc>
          <w:tcPr>
            <w:tcW w:w="4228" w:type="dxa"/>
          </w:tcPr>
          <w:p w14:paraId="66A1DEBE" w14:textId="77777777" w:rsidR="00A168BB" w:rsidRPr="00E93BC5" w:rsidRDefault="00A168BB" w:rsidP="00A168BB">
            <w:pPr>
              <w:tabs>
                <w:tab w:val="left" w:pos="540"/>
              </w:tabs>
              <w:spacing w:before="120" w:line="276" w:lineRule="auto"/>
              <w:jc w:val="both"/>
              <w:rPr>
                <w:rFonts w:ascii="Times New Roman" w:hAnsi="Times New Roman"/>
                <w:b/>
                <w:sz w:val="24"/>
                <w:szCs w:val="24"/>
                <w:lang w:val="nl-NL"/>
              </w:rPr>
            </w:pPr>
            <w:r w:rsidRPr="00E93BC5">
              <w:rPr>
                <w:rFonts w:ascii="Times New Roman" w:hAnsi="Times New Roman"/>
                <w:sz w:val="24"/>
                <w:szCs w:val="24"/>
                <w:lang w:val="nl-NL"/>
              </w:rPr>
              <w:t>2.4. Giá trị tài sản ròng cao nhất của 1 đơn vị CCQ trong kỳ báo cáo (VNĐ)</w:t>
            </w:r>
          </w:p>
        </w:tc>
        <w:tc>
          <w:tcPr>
            <w:tcW w:w="1882" w:type="dxa"/>
            <w:vAlign w:val="center"/>
          </w:tcPr>
          <w:p w14:paraId="6AEAFDE1" w14:textId="3EF6B903" w:rsidR="00A168BB" w:rsidRPr="00E93BC5" w:rsidRDefault="00E40B1A" w:rsidP="00A168BB">
            <w:pPr>
              <w:tabs>
                <w:tab w:val="left" w:pos="540"/>
              </w:tabs>
              <w:spacing w:before="120" w:line="276" w:lineRule="auto"/>
              <w:jc w:val="center"/>
              <w:rPr>
                <w:rFonts w:ascii="Times New Roman" w:hAnsi="Times New Roman"/>
                <w:sz w:val="24"/>
                <w:szCs w:val="24"/>
                <w:lang w:val="nl-NL"/>
              </w:rPr>
            </w:pPr>
            <w:r w:rsidRPr="00E40B1A">
              <w:rPr>
                <w:rFonts w:ascii="Times New Roman" w:hAnsi="Times New Roman"/>
                <w:sz w:val="24"/>
                <w:szCs w:val="24"/>
                <w:lang w:val="nl-NL"/>
              </w:rPr>
              <w:t>13</w:t>
            </w:r>
            <w:r>
              <w:rPr>
                <w:rFonts w:ascii="Times New Roman" w:hAnsi="Times New Roman"/>
                <w:sz w:val="24"/>
                <w:szCs w:val="24"/>
                <w:lang w:val="nl-NL"/>
              </w:rPr>
              <w:t>.</w:t>
            </w:r>
            <w:r w:rsidRPr="00E40B1A">
              <w:rPr>
                <w:rFonts w:ascii="Times New Roman" w:hAnsi="Times New Roman"/>
                <w:sz w:val="24"/>
                <w:szCs w:val="24"/>
                <w:lang w:val="nl-NL"/>
              </w:rPr>
              <w:t>302</w:t>
            </w:r>
            <w:r>
              <w:rPr>
                <w:rFonts w:ascii="Times New Roman" w:hAnsi="Times New Roman"/>
                <w:sz w:val="24"/>
                <w:szCs w:val="24"/>
                <w:lang w:val="nl-NL"/>
              </w:rPr>
              <w:t>,</w:t>
            </w:r>
            <w:r w:rsidRPr="00E40B1A">
              <w:rPr>
                <w:rFonts w:ascii="Times New Roman" w:hAnsi="Times New Roman"/>
                <w:sz w:val="24"/>
                <w:szCs w:val="24"/>
                <w:lang w:val="nl-NL"/>
              </w:rPr>
              <w:t>09</w:t>
            </w:r>
          </w:p>
        </w:tc>
        <w:tc>
          <w:tcPr>
            <w:tcW w:w="1836" w:type="dxa"/>
            <w:vAlign w:val="center"/>
          </w:tcPr>
          <w:p w14:paraId="541A9F4B" w14:textId="0652CB8D" w:rsidR="00A168BB" w:rsidRPr="006C2F63" w:rsidRDefault="00A168BB" w:rsidP="00A168BB">
            <w:pPr>
              <w:tabs>
                <w:tab w:val="left" w:pos="540"/>
              </w:tabs>
              <w:spacing w:before="120" w:line="276" w:lineRule="auto"/>
              <w:jc w:val="center"/>
              <w:rPr>
                <w:rFonts w:ascii="Times New Roman" w:hAnsi="Times New Roman"/>
                <w:sz w:val="24"/>
                <w:szCs w:val="24"/>
                <w:lang w:val="nl-NL"/>
              </w:rPr>
            </w:pPr>
            <w:r w:rsidRPr="00E94A66">
              <w:rPr>
                <w:rFonts w:ascii="Times New Roman" w:hAnsi="Times New Roman"/>
                <w:sz w:val="24"/>
                <w:szCs w:val="24"/>
                <w:lang w:val="nl-NL"/>
              </w:rPr>
              <w:t>12.618,49</w:t>
            </w:r>
          </w:p>
        </w:tc>
        <w:tc>
          <w:tcPr>
            <w:tcW w:w="1836" w:type="dxa"/>
            <w:vAlign w:val="center"/>
          </w:tcPr>
          <w:p w14:paraId="1C5DD225" w14:textId="094B3A60" w:rsidR="00A168BB" w:rsidRPr="00E93BC5" w:rsidRDefault="00A168BB" w:rsidP="00A168BB">
            <w:pPr>
              <w:tabs>
                <w:tab w:val="left" w:pos="540"/>
              </w:tabs>
              <w:spacing w:before="120" w:line="276" w:lineRule="auto"/>
              <w:jc w:val="center"/>
              <w:rPr>
                <w:rFonts w:ascii="Times New Roman" w:hAnsi="Times New Roman"/>
                <w:b/>
                <w:sz w:val="24"/>
                <w:szCs w:val="24"/>
                <w:lang w:val="nl-NL"/>
              </w:rPr>
            </w:pPr>
            <w:r w:rsidRPr="009A4558">
              <w:rPr>
                <w:rFonts w:ascii="Times New Roman" w:hAnsi="Times New Roman"/>
                <w:sz w:val="24"/>
                <w:szCs w:val="24"/>
                <w:lang w:val="nl-NL"/>
              </w:rPr>
              <w:t>11.869,43</w:t>
            </w:r>
          </w:p>
        </w:tc>
      </w:tr>
      <w:tr w:rsidR="00A168BB" w:rsidRPr="00E93BC5" w14:paraId="1105A406" w14:textId="77777777" w:rsidTr="0056426D">
        <w:tc>
          <w:tcPr>
            <w:tcW w:w="4228" w:type="dxa"/>
          </w:tcPr>
          <w:p w14:paraId="60C92DBC" w14:textId="77777777" w:rsidR="00A168BB" w:rsidRPr="00E93BC5" w:rsidRDefault="00A168BB" w:rsidP="00A168B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2.5. Giá trị tài sản ròng thấp nhất của 1 đơn vị CCQ trong kỳ báo cáo (VNĐ)</w:t>
            </w:r>
          </w:p>
        </w:tc>
        <w:tc>
          <w:tcPr>
            <w:tcW w:w="1882" w:type="dxa"/>
            <w:vAlign w:val="center"/>
          </w:tcPr>
          <w:p w14:paraId="20EC788A" w14:textId="263824AF" w:rsidR="00A168BB" w:rsidRPr="00E93BC5" w:rsidRDefault="00E40B1A" w:rsidP="00A168BB">
            <w:pPr>
              <w:tabs>
                <w:tab w:val="left" w:pos="540"/>
              </w:tabs>
              <w:spacing w:before="120" w:line="276" w:lineRule="auto"/>
              <w:jc w:val="center"/>
              <w:rPr>
                <w:rFonts w:ascii="Times New Roman" w:hAnsi="Times New Roman"/>
                <w:sz w:val="24"/>
                <w:szCs w:val="24"/>
                <w:lang w:val="nl-NL"/>
              </w:rPr>
            </w:pPr>
            <w:r w:rsidRPr="00E40B1A">
              <w:rPr>
                <w:rFonts w:ascii="Times New Roman" w:hAnsi="Times New Roman"/>
                <w:sz w:val="24"/>
                <w:szCs w:val="24"/>
                <w:lang w:val="nl-NL"/>
              </w:rPr>
              <w:t>13</w:t>
            </w:r>
            <w:r>
              <w:rPr>
                <w:rFonts w:ascii="Times New Roman" w:hAnsi="Times New Roman"/>
                <w:sz w:val="24"/>
                <w:szCs w:val="24"/>
                <w:lang w:val="nl-NL"/>
              </w:rPr>
              <w:t>.146,00</w:t>
            </w:r>
          </w:p>
        </w:tc>
        <w:tc>
          <w:tcPr>
            <w:tcW w:w="1836" w:type="dxa"/>
            <w:vAlign w:val="center"/>
          </w:tcPr>
          <w:p w14:paraId="2AD9078C" w14:textId="12C1F145" w:rsidR="00A168BB" w:rsidRPr="00E93BC5" w:rsidRDefault="00A168BB" w:rsidP="00A168BB">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12.440,94</w:t>
            </w:r>
          </w:p>
        </w:tc>
        <w:tc>
          <w:tcPr>
            <w:tcW w:w="1836" w:type="dxa"/>
            <w:vAlign w:val="center"/>
          </w:tcPr>
          <w:p w14:paraId="63034F4A" w14:textId="18182B2F"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11.</w:t>
            </w:r>
            <w:r>
              <w:rPr>
                <w:rFonts w:ascii="Times New Roman" w:hAnsi="Times New Roman"/>
                <w:sz w:val="24"/>
                <w:szCs w:val="24"/>
                <w:lang w:val="nl-NL"/>
              </w:rPr>
              <w:t>699,38</w:t>
            </w:r>
          </w:p>
        </w:tc>
      </w:tr>
      <w:tr w:rsidR="00A168BB" w:rsidRPr="00E93BC5" w14:paraId="26276EE7" w14:textId="77777777" w:rsidTr="0056426D">
        <w:tc>
          <w:tcPr>
            <w:tcW w:w="4228" w:type="dxa"/>
          </w:tcPr>
          <w:p w14:paraId="2072415D" w14:textId="77777777" w:rsidR="00A168BB" w:rsidRPr="00E93BC5" w:rsidRDefault="00A168BB" w:rsidP="00A168B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2.6. Giá cuối ngày của 1 đơn vị CCQ tại ngày báo cáo (VNĐ)</w:t>
            </w:r>
          </w:p>
        </w:tc>
        <w:tc>
          <w:tcPr>
            <w:tcW w:w="1882" w:type="dxa"/>
            <w:vAlign w:val="center"/>
          </w:tcPr>
          <w:p w14:paraId="5A4255B0" w14:textId="77777777"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3DDE3706" w14:textId="3B680BC9"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10F1C536" w14:textId="04978287"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A168BB" w:rsidRPr="00E93BC5" w14:paraId="440170BD" w14:textId="77777777" w:rsidTr="0056426D">
        <w:tc>
          <w:tcPr>
            <w:tcW w:w="4228" w:type="dxa"/>
          </w:tcPr>
          <w:p w14:paraId="51D655EE" w14:textId="77777777" w:rsidR="00A168BB" w:rsidRPr="00E93BC5" w:rsidRDefault="00A168BB" w:rsidP="00A168B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2.7. Giá cuối ngày cao nhất của 1 đơn vị CCQ trong kỳ báo cáo (VNĐ)</w:t>
            </w:r>
          </w:p>
        </w:tc>
        <w:tc>
          <w:tcPr>
            <w:tcW w:w="1882" w:type="dxa"/>
            <w:vAlign w:val="center"/>
          </w:tcPr>
          <w:p w14:paraId="26AB6647" w14:textId="77777777"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187F6AF7" w14:textId="4EE6F624"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6B374FE8" w14:textId="27EB2A2E"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A168BB" w:rsidRPr="00E93BC5" w14:paraId="2B6BF498" w14:textId="77777777" w:rsidTr="0056426D">
        <w:tc>
          <w:tcPr>
            <w:tcW w:w="4228" w:type="dxa"/>
          </w:tcPr>
          <w:p w14:paraId="064EED70" w14:textId="77777777" w:rsidR="00A168BB" w:rsidRPr="00E93BC5" w:rsidRDefault="00A168BB" w:rsidP="00A168B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2.8. Giá cuối ngày thấp nhất của 1 đơn vị CCQ trong kỳ báo cáo (VNĐ)</w:t>
            </w:r>
          </w:p>
        </w:tc>
        <w:tc>
          <w:tcPr>
            <w:tcW w:w="1882" w:type="dxa"/>
            <w:vAlign w:val="center"/>
          </w:tcPr>
          <w:p w14:paraId="1CF78EF2" w14:textId="77777777"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6033A8A9" w14:textId="2AF43539"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38DA57ED" w14:textId="2E2AC2B5"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A168BB" w:rsidRPr="00E93BC5" w14:paraId="1716829F" w14:textId="77777777" w:rsidTr="0056426D">
        <w:trPr>
          <w:trHeight w:val="665"/>
        </w:trPr>
        <w:tc>
          <w:tcPr>
            <w:tcW w:w="4228" w:type="dxa"/>
            <w:vAlign w:val="center"/>
          </w:tcPr>
          <w:p w14:paraId="6793285C" w14:textId="77777777" w:rsidR="00A168BB" w:rsidRPr="00E93BC5" w:rsidRDefault="00A168BB" w:rsidP="00A168B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2.9. Tổng tăng trưởng (%)/1 đơn vị CCQ so với cùng kỳ năm trước.</w:t>
            </w:r>
          </w:p>
        </w:tc>
        <w:tc>
          <w:tcPr>
            <w:tcW w:w="1882" w:type="dxa"/>
            <w:shd w:val="clear" w:color="auto" w:fill="auto"/>
            <w:vAlign w:val="center"/>
          </w:tcPr>
          <w:p w14:paraId="138033A8" w14:textId="404E0853" w:rsidR="00A168BB" w:rsidRPr="00E93BC5" w:rsidRDefault="00E40B1A" w:rsidP="00A168BB">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5,42</w:t>
            </w:r>
          </w:p>
        </w:tc>
        <w:tc>
          <w:tcPr>
            <w:tcW w:w="1836" w:type="dxa"/>
            <w:vAlign w:val="center"/>
          </w:tcPr>
          <w:p w14:paraId="384A6C87" w14:textId="72550EF6" w:rsidR="00A168BB" w:rsidRPr="00E93BC5" w:rsidRDefault="00A168BB" w:rsidP="00A168BB">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6,31</w:t>
            </w:r>
          </w:p>
        </w:tc>
        <w:tc>
          <w:tcPr>
            <w:tcW w:w="1836" w:type="dxa"/>
            <w:vAlign w:val="center"/>
          </w:tcPr>
          <w:p w14:paraId="1A324F3C" w14:textId="65B033D6" w:rsidR="00A168BB" w:rsidRPr="00E93BC5" w:rsidRDefault="00A168BB" w:rsidP="00A168BB">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4,81</w:t>
            </w:r>
          </w:p>
        </w:tc>
      </w:tr>
      <w:tr w:rsidR="00A168BB" w:rsidRPr="00E93BC5" w14:paraId="26160AEB" w14:textId="77777777" w:rsidTr="0056426D">
        <w:tc>
          <w:tcPr>
            <w:tcW w:w="4228" w:type="dxa"/>
          </w:tcPr>
          <w:p w14:paraId="559DCEB9" w14:textId="77777777" w:rsidR="00A168BB" w:rsidRPr="00E93BC5" w:rsidRDefault="00A168BB" w:rsidP="00A168B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2.9.1. Tăng trưởng vốn (%)/1 đơn vị CCQ (Thay đổi do biến động giá)</w:t>
            </w:r>
          </w:p>
        </w:tc>
        <w:tc>
          <w:tcPr>
            <w:tcW w:w="1882" w:type="dxa"/>
            <w:shd w:val="clear" w:color="auto" w:fill="auto"/>
            <w:vAlign w:val="center"/>
          </w:tcPr>
          <w:p w14:paraId="22107B8E" w14:textId="77777777"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0,00</w:t>
            </w:r>
          </w:p>
        </w:tc>
        <w:tc>
          <w:tcPr>
            <w:tcW w:w="1836" w:type="dxa"/>
            <w:vAlign w:val="center"/>
          </w:tcPr>
          <w:p w14:paraId="6D60C316" w14:textId="20A5E0AC"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0,00</w:t>
            </w:r>
          </w:p>
        </w:tc>
        <w:tc>
          <w:tcPr>
            <w:tcW w:w="1836" w:type="dxa"/>
            <w:vAlign w:val="center"/>
          </w:tcPr>
          <w:p w14:paraId="34290E4A" w14:textId="6928883B"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0,00</w:t>
            </w:r>
          </w:p>
        </w:tc>
      </w:tr>
      <w:tr w:rsidR="00A168BB" w:rsidRPr="00E93BC5" w14:paraId="2DCCAD09" w14:textId="77777777" w:rsidTr="0056426D">
        <w:tc>
          <w:tcPr>
            <w:tcW w:w="4228" w:type="dxa"/>
          </w:tcPr>
          <w:p w14:paraId="36ADB1A3" w14:textId="77777777" w:rsidR="00A168BB" w:rsidRPr="00E93BC5" w:rsidRDefault="00A168BB" w:rsidP="00A168B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2.9.2. Tăng trưởng thu nhập (%)/1 đơn vị CCQ (Tính trên thu nhập đã thực hiện) so với cùng kỳ năm trước.</w:t>
            </w:r>
          </w:p>
        </w:tc>
        <w:tc>
          <w:tcPr>
            <w:tcW w:w="1882" w:type="dxa"/>
            <w:shd w:val="clear" w:color="auto" w:fill="auto"/>
            <w:vAlign w:val="center"/>
          </w:tcPr>
          <w:p w14:paraId="40849301" w14:textId="1919A312" w:rsidR="00A168BB" w:rsidRPr="00E93BC5" w:rsidRDefault="00E40B1A" w:rsidP="00A168BB">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5,42</w:t>
            </w:r>
          </w:p>
        </w:tc>
        <w:tc>
          <w:tcPr>
            <w:tcW w:w="1836" w:type="dxa"/>
            <w:vAlign w:val="center"/>
          </w:tcPr>
          <w:p w14:paraId="39087092" w14:textId="249B0900" w:rsidR="00A168BB" w:rsidRPr="00E93BC5" w:rsidRDefault="00A168BB" w:rsidP="00A168BB">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6,31</w:t>
            </w:r>
          </w:p>
        </w:tc>
        <w:tc>
          <w:tcPr>
            <w:tcW w:w="1836" w:type="dxa"/>
            <w:vAlign w:val="center"/>
          </w:tcPr>
          <w:p w14:paraId="13D35766" w14:textId="40D496A2" w:rsidR="00A168BB" w:rsidRPr="00E93BC5" w:rsidRDefault="00A168BB" w:rsidP="00A168BB">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4,81</w:t>
            </w:r>
          </w:p>
        </w:tc>
      </w:tr>
      <w:tr w:rsidR="00A168BB" w:rsidRPr="00E93BC5" w14:paraId="3421200F" w14:textId="77777777" w:rsidTr="0056426D">
        <w:trPr>
          <w:trHeight w:val="620"/>
        </w:trPr>
        <w:tc>
          <w:tcPr>
            <w:tcW w:w="4228" w:type="dxa"/>
            <w:vAlign w:val="center"/>
          </w:tcPr>
          <w:p w14:paraId="201708F7" w14:textId="77777777" w:rsidR="00A168BB" w:rsidRPr="00E93BC5" w:rsidRDefault="00A168BB" w:rsidP="00A168B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2.10. Phân phối gộp trên 1 đơn vị CCQ</w:t>
            </w:r>
          </w:p>
        </w:tc>
        <w:tc>
          <w:tcPr>
            <w:tcW w:w="1882" w:type="dxa"/>
            <w:vAlign w:val="center"/>
          </w:tcPr>
          <w:p w14:paraId="2EBFA547" w14:textId="77777777"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09345B74" w14:textId="3C37330E"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38A52FA2" w14:textId="39A58C02"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A168BB" w:rsidRPr="00E93BC5" w14:paraId="6AFD9C24" w14:textId="77777777" w:rsidTr="0056426D">
        <w:trPr>
          <w:trHeight w:val="620"/>
        </w:trPr>
        <w:tc>
          <w:tcPr>
            <w:tcW w:w="4228" w:type="dxa"/>
            <w:vAlign w:val="center"/>
          </w:tcPr>
          <w:p w14:paraId="75D7C0DA" w14:textId="77777777" w:rsidR="00A168BB" w:rsidRPr="00E93BC5" w:rsidRDefault="00A168BB" w:rsidP="00A168B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2.11. Phân phối ròng trên 1 đơn vị CCQ</w:t>
            </w:r>
          </w:p>
        </w:tc>
        <w:tc>
          <w:tcPr>
            <w:tcW w:w="1882" w:type="dxa"/>
            <w:vAlign w:val="center"/>
          </w:tcPr>
          <w:p w14:paraId="710E707D" w14:textId="77777777"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51FE7102" w14:textId="4F91411E"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29422E79" w14:textId="39D9B676"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A168BB" w:rsidRPr="00E93BC5" w14:paraId="254E271C" w14:textId="77777777" w:rsidTr="0056426D">
        <w:tc>
          <w:tcPr>
            <w:tcW w:w="4228" w:type="dxa"/>
          </w:tcPr>
          <w:p w14:paraId="1E5BF629" w14:textId="77777777" w:rsidR="00A168BB" w:rsidRPr="00E93BC5" w:rsidRDefault="00A168BB" w:rsidP="00A168B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2.12. Ngày chốt quyền (Ex-date of distribution)</w:t>
            </w:r>
          </w:p>
        </w:tc>
        <w:tc>
          <w:tcPr>
            <w:tcW w:w="1882" w:type="dxa"/>
            <w:vAlign w:val="center"/>
          </w:tcPr>
          <w:p w14:paraId="48FF37B8" w14:textId="77777777"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020969DC" w14:textId="6CA3B79B"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c>
          <w:tcPr>
            <w:tcW w:w="1836" w:type="dxa"/>
            <w:vAlign w:val="center"/>
          </w:tcPr>
          <w:p w14:paraId="3E2ED27F" w14:textId="0BFE2F2B"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A168BB" w:rsidRPr="00E93BC5" w14:paraId="3DDD8CD1" w14:textId="77777777" w:rsidTr="0056426D">
        <w:trPr>
          <w:trHeight w:val="665"/>
        </w:trPr>
        <w:tc>
          <w:tcPr>
            <w:tcW w:w="4228" w:type="dxa"/>
            <w:vAlign w:val="center"/>
          </w:tcPr>
          <w:p w14:paraId="423F26E7" w14:textId="77777777" w:rsidR="00A168BB" w:rsidRPr="00E93BC5" w:rsidRDefault="00A168BB" w:rsidP="00A168B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2.13. Tỷ lệ chi phí hoạt động của quỹ (%)</w:t>
            </w:r>
          </w:p>
        </w:tc>
        <w:tc>
          <w:tcPr>
            <w:tcW w:w="1882" w:type="dxa"/>
            <w:vAlign w:val="center"/>
          </w:tcPr>
          <w:p w14:paraId="0BC43B92" w14:textId="29646170" w:rsidR="00A168BB" w:rsidRPr="00E93BC5" w:rsidRDefault="00A168BB" w:rsidP="00A168BB">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w:t>
            </w:r>
            <w:r w:rsidR="00E40B1A">
              <w:rPr>
                <w:rFonts w:ascii="Times New Roman" w:hAnsi="Times New Roman"/>
                <w:sz w:val="24"/>
                <w:szCs w:val="24"/>
                <w:lang w:val="nl-NL"/>
              </w:rPr>
              <w:t>85</w:t>
            </w:r>
          </w:p>
        </w:tc>
        <w:tc>
          <w:tcPr>
            <w:tcW w:w="1836" w:type="dxa"/>
            <w:vAlign w:val="center"/>
          </w:tcPr>
          <w:p w14:paraId="022E06BE" w14:textId="6C0E1128" w:rsidR="00A168BB" w:rsidRPr="00E93BC5" w:rsidRDefault="00A168BB" w:rsidP="00A168BB">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1,91</w:t>
            </w:r>
          </w:p>
        </w:tc>
        <w:tc>
          <w:tcPr>
            <w:tcW w:w="1836" w:type="dxa"/>
            <w:vAlign w:val="center"/>
          </w:tcPr>
          <w:p w14:paraId="3AC54B11" w14:textId="2B307EE9" w:rsidR="00A168BB" w:rsidRPr="00E93BC5" w:rsidRDefault="00A168BB" w:rsidP="00A168BB">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1,96</w:t>
            </w:r>
          </w:p>
        </w:tc>
      </w:tr>
      <w:tr w:rsidR="00A168BB" w:rsidRPr="00E93BC5" w14:paraId="1D96EF1A" w14:textId="77777777" w:rsidTr="0056426D">
        <w:trPr>
          <w:trHeight w:val="710"/>
        </w:trPr>
        <w:tc>
          <w:tcPr>
            <w:tcW w:w="4228" w:type="dxa"/>
            <w:vAlign w:val="center"/>
          </w:tcPr>
          <w:p w14:paraId="776FFCE6" w14:textId="77777777" w:rsidR="00A168BB" w:rsidRPr="00E93BC5" w:rsidRDefault="00A168BB" w:rsidP="00A168BB">
            <w:pPr>
              <w:tabs>
                <w:tab w:val="left" w:pos="540"/>
              </w:tabs>
              <w:spacing w:before="120" w:line="276" w:lineRule="auto"/>
              <w:jc w:val="both"/>
              <w:rPr>
                <w:rFonts w:ascii="Times New Roman" w:hAnsi="Times New Roman"/>
                <w:sz w:val="24"/>
                <w:szCs w:val="24"/>
                <w:lang w:val="nl-NL"/>
              </w:rPr>
            </w:pPr>
            <w:r w:rsidRPr="00E93BC5">
              <w:rPr>
                <w:rFonts w:ascii="Times New Roman" w:hAnsi="Times New Roman"/>
                <w:sz w:val="24"/>
                <w:szCs w:val="24"/>
                <w:lang w:val="nl-NL"/>
              </w:rPr>
              <w:t>2.14. Tốc độ vòng quay danh mục (%)</w:t>
            </w:r>
          </w:p>
        </w:tc>
        <w:tc>
          <w:tcPr>
            <w:tcW w:w="1882" w:type="dxa"/>
            <w:vAlign w:val="center"/>
          </w:tcPr>
          <w:p w14:paraId="1E45EEA1" w14:textId="48ACDB2F" w:rsidR="00A168BB" w:rsidRPr="00E93BC5" w:rsidRDefault="00E40B1A" w:rsidP="00A168BB">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18,92</w:t>
            </w:r>
          </w:p>
        </w:tc>
        <w:tc>
          <w:tcPr>
            <w:tcW w:w="1836" w:type="dxa"/>
            <w:vAlign w:val="center"/>
          </w:tcPr>
          <w:p w14:paraId="7BE05FB1" w14:textId="4860231A" w:rsidR="00A168BB" w:rsidRPr="00E93BC5" w:rsidRDefault="00A168BB" w:rsidP="00A168BB">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23,16</w:t>
            </w:r>
          </w:p>
        </w:tc>
        <w:tc>
          <w:tcPr>
            <w:tcW w:w="1836" w:type="dxa"/>
            <w:vAlign w:val="center"/>
          </w:tcPr>
          <w:p w14:paraId="69C3F4E5" w14:textId="564FA666" w:rsidR="00A168BB" w:rsidRPr="00E93BC5" w:rsidRDefault="00A168BB" w:rsidP="00A168BB">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0</w:t>
            </w:r>
          </w:p>
        </w:tc>
      </w:tr>
    </w:tbl>
    <w:p w14:paraId="425F803A" w14:textId="77777777" w:rsidR="008A4832" w:rsidRPr="00E93BC5" w:rsidRDefault="008A4832" w:rsidP="008A4832">
      <w:pPr>
        <w:pStyle w:val="ListParagraph"/>
        <w:shd w:val="clear" w:color="auto" w:fill="FFFFFF"/>
        <w:spacing w:before="120" w:after="0" w:line="360" w:lineRule="auto"/>
        <w:ind w:left="360"/>
        <w:jc w:val="both"/>
        <w:rPr>
          <w:rFonts w:ascii="Times New Roman" w:hAnsi="Times New Roman"/>
          <w:b/>
          <w:sz w:val="24"/>
          <w:szCs w:val="24"/>
          <w:lang w:val="nl-NL"/>
        </w:rPr>
      </w:pPr>
    </w:p>
    <w:p w14:paraId="64C70B5B" w14:textId="77777777" w:rsidR="002B3684" w:rsidRPr="00E93BC5" w:rsidRDefault="002B3684" w:rsidP="008A4832">
      <w:pPr>
        <w:pStyle w:val="ListParagraph"/>
        <w:shd w:val="clear" w:color="auto" w:fill="FFFFFF"/>
        <w:spacing w:before="120" w:after="0" w:line="360" w:lineRule="auto"/>
        <w:ind w:left="360"/>
        <w:jc w:val="both"/>
        <w:rPr>
          <w:rFonts w:ascii="Times New Roman" w:hAnsi="Times New Roman"/>
          <w:b/>
          <w:sz w:val="24"/>
          <w:szCs w:val="24"/>
          <w:lang w:val="nl-NL"/>
        </w:rPr>
      </w:pPr>
    </w:p>
    <w:p w14:paraId="430B9D8A" w14:textId="77777777" w:rsidR="001C4468" w:rsidRPr="00E93BC5" w:rsidRDefault="001C4468" w:rsidP="00FF0C62">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lastRenderedPageBreak/>
        <w:t>Tăng trưởng qua các thời kỳ:</w:t>
      </w:r>
    </w:p>
    <w:tbl>
      <w:tblPr>
        <w:tblStyle w:val="TableGrid"/>
        <w:tblW w:w="0" w:type="auto"/>
        <w:tblInd w:w="198" w:type="dxa"/>
        <w:tblLook w:val="04A0" w:firstRow="1" w:lastRow="0" w:firstColumn="1" w:lastColumn="0" w:noHBand="0" w:noVBand="1"/>
      </w:tblPr>
      <w:tblGrid>
        <w:gridCol w:w="4418"/>
        <w:gridCol w:w="2577"/>
        <w:gridCol w:w="2665"/>
      </w:tblGrid>
      <w:tr w:rsidR="001F3B0D" w:rsidRPr="00E70B8F" w14:paraId="1B67BC27" w14:textId="77777777" w:rsidTr="00486F0E">
        <w:trPr>
          <w:trHeight w:val="827"/>
        </w:trPr>
        <w:tc>
          <w:tcPr>
            <w:tcW w:w="4418" w:type="dxa"/>
            <w:vAlign w:val="center"/>
          </w:tcPr>
          <w:p w14:paraId="2FA79E29" w14:textId="77777777" w:rsidR="001F3B0D" w:rsidRPr="00E93BC5" w:rsidRDefault="001F3B0D" w:rsidP="001F3B0D">
            <w:pPr>
              <w:spacing w:before="120" w:line="360"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Giai đoạn</w:t>
            </w:r>
          </w:p>
        </w:tc>
        <w:tc>
          <w:tcPr>
            <w:tcW w:w="2577" w:type="dxa"/>
            <w:vAlign w:val="center"/>
          </w:tcPr>
          <w:p w14:paraId="4C6B5B5E" w14:textId="77777777" w:rsidR="001F3B0D" w:rsidRPr="00E93BC5" w:rsidRDefault="001F3B0D" w:rsidP="001F3B0D">
            <w:pPr>
              <w:spacing w:before="120" w:line="360"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Tổng tăng trưởng của NAV/CCQ</w:t>
            </w:r>
          </w:p>
        </w:tc>
        <w:tc>
          <w:tcPr>
            <w:tcW w:w="2665" w:type="dxa"/>
            <w:vAlign w:val="center"/>
          </w:tcPr>
          <w:p w14:paraId="4D9D0222" w14:textId="77777777" w:rsidR="001F3B0D" w:rsidRPr="00E93BC5" w:rsidRDefault="001F3B0D" w:rsidP="001F3B0D">
            <w:pPr>
              <w:spacing w:before="120" w:line="360" w:lineRule="auto"/>
              <w:jc w:val="center"/>
              <w:rPr>
                <w:rFonts w:ascii="Times New Roman" w:hAnsi="Times New Roman"/>
                <w:b/>
                <w:sz w:val="24"/>
                <w:szCs w:val="24"/>
                <w:lang w:val="nl-NL"/>
              </w:rPr>
            </w:pPr>
            <w:r w:rsidRPr="00E93BC5">
              <w:rPr>
                <w:rFonts w:ascii="Times New Roman" w:eastAsia="Times New Roman" w:hAnsi="Times New Roman"/>
                <w:b/>
                <w:sz w:val="24"/>
                <w:szCs w:val="24"/>
                <w:lang w:val="nl-NL"/>
              </w:rPr>
              <w:t>Tăng trưởng NAV/CCQ hàng năm</w:t>
            </w:r>
          </w:p>
        </w:tc>
      </w:tr>
      <w:tr w:rsidR="001F3B0D" w:rsidRPr="00E93BC5" w14:paraId="70B88B09" w14:textId="77777777" w:rsidTr="00486F0E">
        <w:trPr>
          <w:trHeight w:val="459"/>
        </w:trPr>
        <w:tc>
          <w:tcPr>
            <w:tcW w:w="4418" w:type="dxa"/>
            <w:vAlign w:val="center"/>
          </w:tcPr>
          <w:p w14:paraId="75A9E9EC" w14:textId="77777777" w:rsidR="001F3B0D" w:rsidRPr="00E93BC5" w:rsidRDefault="001F3B0D" w:rsidP="001F3B0D">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- 1 năm</w:t>
            </w:r>
          </w:p>
        </w:tc>
        <w:tc>
          <w:tcPr>
            <w:tcW w:w="2577" w:type="dxa"/>
          </w:tcPr>
          <w:p w14:paraId="12800710" w14:textId="04005CFC" w:rsidR="001F3B0D" w:rsidRPr="00E93BC5" w:rsidRDefault="006013CE"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5,42</w:t>
            </w:r>
          </w:p>
        </w:tc>
        <w:tc>
          <w:tcPr>
            <w:tcW w:w="2665" w:type="dxa"/>
          </w:tcPr>
          <w:p w14:paraId="549B9BE5" w14:textId="659A2906" w:rsidR="001F3B0D" w:rsidRPr="00E93BC5" w:rsidRDefault="006013CE" w:rsidP="001F3B0D">
            <w:pPr>
              <w:spacing w:before="120" w:line="360" w:lineRule="auto"/>
              <w:jc w:val="center"/>
              <w:rPr>
                <w:rFonts w:ascii="Times New Roman" w:hAnsi="Times New Roman"/>
                <w:b/>
                <w:sz w:val="24"/>
                <w:szCs w:val="24"/>
                <w:lang w:val="nl-NL"/>
              </w:rPr>
            </w:pPr>
            <w:r>
              <w:rPr>
                <w:rFonts w:ascii="Times New Roman" w:hAnsi="Times New Roman"/>
                <w:sz w:val="24"/>
                <w:szCs w:val="24"/>
                <w:lang w:val="nl-NL"/>
              </w:rPr>
              <w:t>5,42</w:t>
            </w:r>
          </w:p>
        </w:tc>
      </w:tr>
      <w:tr w:rsidR="001F3B0D" w:rsidRPr="00E93BC5" w14:paraId="33F169C1" w14:textId="77777777" w:rsidTr="00486F0E">
        <w:trPr>
          <w:trHeight w:val="459"/>
        </w:trPr>
        <w:tc>
          <w:tcPr>
            <w:tcW w:w="4418" w:type="dxa"/>
            <w:vAlign w:val="center"/>
          </w:tcPr>
          <w:p w14:paraId="72BAD938" w14:textId="77777777" w:rsidR="001F3B0D" w:rsidRPr="00E93BC5" w:rsidRDefault="001F3B0D" w:rsidP="001F3B0D">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- 3 năm</w:t>
            </w:r>
          </w:p>
        </w:tc>
        <w:tc>
          <w:tcPr>
            <w:tcW w:w="2577" w:type="dxa"/>
          </w:tcPr>
          <w:p w14:paraId="052C2A6A" w14:textId="446D2651" w:rsidR="001F3B0D" w:rsidRPr="00E93BC5" w:rsidRDefault="006013CE" w:rsidP="001F3B0D">
            <w:pPr>
              <w:spacing w:before="120" w:line="360" w:lineRule="auto"/>
              <w:jc w:val="center"/>
              <w:rPr>
                <w:rFonts w:ascii="Times New Roman" w:hAnsi="Times New Roman"/>
                <w:b/>
                <w:sz w:val="24"/>
                <w:szCs w:val="24"/>
                <w:lang w:val="nl-NL"/>
              </w:rPr>
            </w:pPr>
            <w:r>
              <w:rPr>
                <w:rFonts w:ascii="Times New Roman" w:hAnsi="Times New Roman"/>
                <w:sz w:val="24"/>
                <w:szCs w:val="24"/>
                <w:lang w:val="nl-NL"/>
              </w:rPr>
              <w:t>17,46</w:t>
            </w:r>
          </w:p>
        </w:tc>
        <w:tc>
          <w:tcPr>
            <w:tcW w:w="2665" w:type="dxa"/>
          </w:tcPr>
          <w:p w14:paraId="0A63DBBC" w14:textId="0B3DFEEE" w:rsidR="001F3B0D" w:rsidRPr="00E93BC5" w:rsidRDefault="006013CE" w:rsidP="001F3B0D">
            <w:pPr>
              <w:spacing w:before="120" w:line="360" w:lineRule="auto"/>
              <w:jc w:val="center"/>
              <w:rPr>
                <w:rFonts w:ascii="Times New Roman" w:hAnsi="Times New Roman"/>
                <w:b/>
                <w:sz w:val="24"/>
                <w:szCs w:val="24"/>
                <w:lang w:val="nl-NL"/>
              </w:rPr>
            </w:pPr>
            <w:r>
              <w:rPr>
                <w:rFonts w:ascii="Times New Roman" w:hAnsi="Times New Roman"/>
                <w:sz w:val="24"/>
                <w:szCs w:val="24"/>
                <w:lang w:val="nl-NL"/>
              </w:rPr>
              <w:t>5,51</w:t>
            </w:r>
          </w:p>
        </w:tc>
      </w:tr>
      <w:tr w:rsidR="001F3B0D" w:rsidRPr="00E93BC5" w14:paraId="3BA90AA0" w14:textId="77777777" w:rsidTr="00486F0E">
        <w:trPr>
          <w:trHeight w:val="472"/>
        </w:trPr>
        <w:tc>
          <w:tcPr>
            <w:tcW w:w="4418" w:type="dxa"/>
            <w:vAlign w:val="center"/>
          </w:tcPr>
          <w:p w14:paraId="4F72DC44" w14:textId="77777777" w:rsidR="001F3B0D" w:rsidRPr="00E93BC5" w:rsidRDefault="001F3B0D" w:rsidP="001F3B0D">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Từ khi thành lập</w:t>
            </w:r>
          </w:p>
        </w:tc>
        <w:tc>
          <w:tcPr>
            <w:tcW w:w="2577" w:type="dxa"/>
          </w:tcPr>
          <w:p w14:paraId="0478FDAA" w14:textId="67EA28ED" w:rsidR="001F3B0D" w:rsidRPr="00E93BC5" w:rsidRDefault="006013CE"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33,02</w:t>
            </w:r>
          </w:p>
        </w:tc>
        <w:tc>
          <w:tcPr>
            <w:tcW w:w="2665" w:type="dxa"/>
          </w:tcPr>
          <w:p w14:paraId="30A817E2" w14:textId="48885EB5" w:rsidR="001F3B0D" w:rsidRPr="00E93BC5" w:rsidRDefault="0003114E" w:rsidP="001F3B0D">
            <w:pPr>
              <w:spacing w:before="120" w:line="360" w:lineRule="auto"/>
              <w:jc w:val="center"/>
              <w:rPr>
                <w:rFonts w:ascii="Times New Roman" w:hAnsi="Times New Roman"/>
                <w:sz w:val="24"/>
                <w:szCs w:val="24"/>
                <w:lang w:val="nl-NL"/>
              </w:rPr>
            </w:pPr>
            <w:r w:rsidRPr="00E93BC5">
              <w:rPr>
                <w:rFonts w:ascii="Times New Roman" w:hAnsi="Times New Roman"/>
                <w:sz w:val="24"/>
                <w:szCs w:val="24"/>
                <w:lang w:val="nl-NL"/>
              </w:rPr>
              <w:t>4,</w:t>
            </w:r>
            <w:r w:rsidR="006013CE">
              <w:rPr>
                <w:rFonts w:ascii="Times New Roman" w:hAnsi="Times New Roman"/>
                <w:sz w:val="24"/>
                <w:szCs w:val="24"/>
                <w:lang w:val="nl-NL"/>
              </w:rPr>
              <w:t>87</w:t>
            </w:r>
          </w:p>
        </w:tc>
      </w:tr>
      <w:tr w:rsidR="001F3B0D" w:rsidRPr="00E93BC5" w14:paraId="6ADE5A7E" w14:textId="77777777" w:rsidTr="00486F0E">
        <w:trPr>
          <w:trHeight w:val="459"/>
        </w:trPr>
        <w:tc>
          <w:tcPr>
            <w:tcW w:w="4418" w:type="dxa"/>
            <w:vAlign w:val="center"/>
          </w:tcPr>
          <w:p w14:paraId="5F096794" w14:textId="77777777" w:rsidR="001F3B0D" w:rsidRPr="00E93BC5" w:rsidRDefault="001F3B0D" w:rsidP="001F3B0D">
            <w:pPr>
              <w:tabs>
                <w:tab w:val="left" w:pos="540"/>
              </w:tabs>
              <w:spacing w:before="120"/>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Tăng trưởng của chỉ số tham chiếu</w:t>
            </w:r>
          </w:p>
        </w:tc>
        <w:tc>
          <w:tcPr>
            <w:tcW w:w="2577" w:type="dxa"/>
          </w:tcPr>
          <w:p w14:paraId="06D76F3D" w14:textId="67F34883" w:rsidR="001F3B0D" w:rsidRPr="00E93BC5" w:rsidRDefault="006013CE"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27,50</w:t>
            </w:r>
            <w:r w:rsidR="000769A6" w:rsidRPr="00E93BC5">
              <w:rPr>
                <w:rFonts w:ascii="Times New Roman" w:hAnsi="Times New Roman"/>
                <w:sz w:val="24"/>
                <w:szCs w:val="24"/>
                <w:lang w:val="nl-NL"/>
              </w:rPr>
              <w:t xml:space="preserve"> (***)</w:t>
            </w:r>
          </w:p>
        </w:tc>
        <w:tc>
          <w:tcPr>
            <w:tcW w:w="2665" w:type="dxa"/>
          </w:tcPr>
          <w:p w14:paraId="11D31BCE" w14:textId="5056A182" w:rsidR="001F3B0D" w:rsidRPr="00E93BC5" w:rsidRDefault="006013CE"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0,97</w:t>
            </w:r>
          </w:p>
        </w:tc>
      </w:tr>
    </w:tbl>
    <w:p w14:paraId="6F427780" w14:textId="77777777" w:rsidR="001C4468" w:rsidRPr="00E93BC5" w:rsidRDefault="001C4468" w:rsidP="001F3B0D">
      <w:pPr>
        <w:pStyle w:val="ListParagraph"/>
        <w:numPr>
          <w:ilvl w:val="0"/>
          <w:numId w:val="2"/>
        </w:numPr>
        <w:shd w:val="clear" w:color="auto" w:fill="FFFFFF"/>
        <w:spacing w:before="120" w:line="360" w:lineRule="auto"/>
        <w:ind w:left="360"/>
        <w:jc w:val="both"/>
        <w:rPr>
          <w:rFonts w:ascii="Times New Roman" w:hAnsi="Times New Roman"/>
          <w:b/>
          <w:sz w:val="24"/>
          <w:szCs w:val="24"/>
          <w:lang w:val="nl-NL"/>
        </w:rPr>
      </w:pPr>
      <w:r w:rsidRPr="00E93BC5">
        <w:rPr>
          <w:rFonts w:ascii="Times New Roman" w:hAnsi="Times New Roman"/>
          <w:b/>
          <w:sz w:val="24"/>
          <w:szCs w:val="24"/>
          <w:lang w:val="nl-NL"/>
        </w:rPr>
        <w:t>Tăng trưởng hàng năm:</w:t>
      </w:r>
    </w:p>
    <w:tbl>
      <w:tblPr>
        <w:tblStyle w:val="TableGrid"/>
        <w:tblW w:w="0" w:type="auto"/>
        <w:tblInd w:w="198" w:type="dxa"/>
        <w:tblLook w:val="04A0" w:firstRow="1" w:lastRow="0" w:firstColumn="1" w:lastColumn="0" w:noHBand="0" w:noVBand="1"/>
      </w:tblPr>
      <w:tblGrid>
        <w:gridCol w:w="4114"/>
        <w:gridCol w:w="1348"/>
        <w:gridCol w:w="1348"/>
        <w:gridCol w:w="1348"/>
        <w:gridCol w:w="1534"/>
      </w:tblGrid>
      <w:tr w:rsidR="001D47BA" w:rsidRPr="00E93BC5" w14:paraId="46053E92" w14:textId="77777777" w:rsidTr="00DD3934">
        <w:tc>
          <w:tcPr>
            <w:tcW w:w="4114" w:type="dxa"/>
            <w:vAlign w:val="center"/>
          </w:tcPr>
          <w:p w14:paraId="63EF60B6" w14:textId="77777777" w:rsidR="001D47BA" w:rsidRPr="00E93BC5" w:rsidRDefault="001D47BA" w:rsidP="001D47BA">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Thời kỳ</w:t>
            </w:r>
          </w:p>
        </w:tc>
        <w:tc>
          <w:tcPr>
            <w:tcW w:w="1348" w:type="dxa"/>
            <w:vAlign w:val="center"/>
          </w:tcPr>
          <w:p w14:paraId="715DFFA7" w14:textId="68533B22" w:rsidR="001D47BA" w:rsidRPr="00E93BC5" w:rsidRDefault="001D47BA" w:rsidP="001D47BA">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31/03/2025</w:t>
            </w:r>
          </w:p>
          <w:p w14:paraId="3E25AC32" w14:textId="77777777" w:rsidR="001D47BA" w:rsidRPr="00E93BC5" w:rsidRDefault="001D47BA" w:rsidP="001D47BA">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c>
          <w:tcPr>
            <w:tcW w:w="1348" w:type="dxa"/>
            <w:vAlign w:val="center"/>
          </w:tcPr>
          <w:p w14:paraId="2BA7803B" w14:textId="77777777" w:rsidR="001D47BA" w:rsidRPr="00E93BC5" w:rsidRDefault="001D47BA" w:rsidP="001D47BA">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31/03/2024</w:t>
            </w:r>
          </w:p>
          <w:p w14:paraId="62BE2250" w14:textId="53EF17CC" w:rsidR="001D47BA" w:rsidRPr="00E93BC5" w:rsidRDefault="001D47BA" w:rsidP="001D47BA">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c>
          <w:tcPr>
            <w:tcW w:w="1348" w:type="dxa"/>
            <w:vAlign w:val="center"/>
          </w:tcPr>
          <w:p w14:paraId="7FB84801" w14:textId="77777777" w:rsidR="001D47BA" w:rsidRPr="00E93BC5" w:rsidRDefault="001D47BA" w:rsidP="001D47BA">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31/03/2023</w:t>
            </w:r>
          </w:p>
          <w:p w14:paraId="6BDF6B99" w14:textId="5BAF5D06" w:rsidR="001D47BA" w:rsidRPr="00E93BC5" w:rsidRDefault="001D47BA" w:rsidP="001D47BA">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c>
          <w:tcPr>
            <w:tcW w:w="1534" w:type="dxa"/>
            <w:vAlign w:val="center"/>
          </w:tcPr>
          <w:p w14:paraId="55BF1E9E" w14:textId="77777777" w:rsidR="001D47BA" w:rsidRPr="00E93BC5" w:rsidRDefault="001D47BA" w:rsidP="001D47BA">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31/03/2022</w:t>
            </w:r>
          </w:p>
          <w:p w14:paraId="44B099B3" w14:textId="200683B8" w:rsidR="001D47BA" w:rsidRPr="00E93BC5" w:rsidRDefault="001D47BA" w:rsidP="001D47BA">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r>
      <w:tr w:rsidR="001D47BA" w:rsidRPr="00E93BC5" w14:paraId="40A2B000" w14:textId="77777777" w:rsidTr="00DD3934">
        <w:tc>
          <w:tcPr>
            <w:tcW w:w="4114" w:type="dxa"/>
          </w:tcPr>
          <w:p w14:paraId="523E3903" w14:textId="77777777" w:rsidR="001D47BA" w:rsidRPr="00E93BC5" w:rsidRDefault="001D47BA" w:rsidP="001D47BA">
            <w:pPr>
              <w:spacing w:before="120" w:line="360" w:lineRule="auto"/>
              <w:jc w:val="both"/>
              <w:rPr>
                <w:rFonts w:ascii="Times New Roman" w:hAnsi="Times New Roman"/>
                <w:b/>
                <w:sz w:val="24"/>
                <w:szCs w:val="24"/>
                <w:lang w:val="nl-NL"/>
              </w:rPr>
            </w:pPr>
            <w:r w:rsidRPr="00E93BC5">
              <w:rPr>
                <w:rFonts w:ascii="Times New Roman" w:eastAsia="Times New Roman" w:hAnsi="Times New Roman"/>
                <w:sz w:val="24"/>
                <w:szCs w:val="24"/>
                <w:lang w:val="nl-NL"/>
              </w:rPr>
              <w:t>Tỷ lệ tăng trưởng (%)/01 đơn vị CCQ</w:t>
            </w:r>
          </w:p>
        </w:tc>
        <w:tc>
          <w:tcPr>
            <w:tcW w:w="1348" w:type="dxa"/>
          </w:tcPr>
          <w:p w14:paraId="381DF6FD" w14:textId="153FC014" w:rsidR="001D47BA" w:rsidRPr="00E93BC5" w:rsidRDefault="001D47BA" w:rsidP="001D47BA">
            <w:pPr>
              <w:spacing w:before="120" w:line="360" w:lineRule="auto"/>
              <w:jc w:val="center"/>
              <w:rPr>
                <w:rFonts w:ascii="Times New Roman" w:hAnsi="Times New Roman"/>
                <w:sz w:val="24"/>
                <w:szCs w:val="24"/>
                <w:lang w:val="nl-NL"/>
              </w:rPr>
            </w:pPr>
            <w:r>
              <w:rPr>
                <w:rFonts w:ascii="Times New Roman" w:hAnsi="Times New Roman"/>
                <w:sz w:val="24"/>
                <w:szCs w:val="24"/>
                <w:lang w:val="nl-NL"/>
              </w:rPr>
              <w:t>5,42</w:t>
            </w:r>
          </w:p>
        </w:tc>
        <w:tc>
          <w:tcPr>
            <w:tcW w:w="1348" w:type="dxa"/>
          </w:tcPr>
          <w:p w14:paraId="70992C03" w14:textId="258D71F8" w:rsidR="001D47BA" w:rsidRPr="00E93BC5" w:rsidRDefault="001D47BA" w:rsidP="001D47BA">
            <w:pPr>
              <w:spacing w:before="120" w:line="360" w:lineRule="auto"/>
              <w:jc w:val="center"/>
              <w:rPr>
                <w:rFonts w:ascii="Times New Roman" w:hAnsi="Times New Roman"/>
                <w:sz w:val="24"/>
                <w:szCs w:val="24"/>
                <w:lang w:val="nl-NL"/>
              </w:rPr>
            </w:pPr>
            <w:r>
              <w:rPr>
                <w:rFonts w:ascii="Times New Roman" w:hAnsi="Times New Roman"/>
                <w:sz w:val="24"/>
                <w:szCs w:val="24"/>
                <w:lang w:val="nl-NL"/>
              </w:rPr>
              <w:t>6,31</w:t>
            </w:r>
          </w:p>
        </w:tc>
        <w:tc>
          <w:tcPr>
            <w:tcW w:w="1348" w:type="dxa"/>
          </w:tcPr>
          <w:p w14:paraId="3F3A62B4" w14:textId="1E236B33" w:rsidR="001D47BA" w:rsidRPr="00E93BC5" w:rsidRDefault="001D47BA" w:rsidP="001D47BA">
            <w:pPr>
              <w:shd w:val="clear" w:color="auto" w:fill="FFFFFF"/>
              <w:tabs>
                <w:tab w:val="left" w:pos="540"/>
              </w:tabs>
              <w:spacing w:before="120"/>
              <w:jc w:val="center"/>
              <w:rPr>
                <w:rFonts w:ascii="Times New Roman" w:hAnsi="Times New Roman"/>
                <w:sz w:val="24"/>
                <w:szCs w:val="24"/>
                <w:lang w:val="nl-NL"/>
              </w:rPr>
            </w:pPr>
            <w:r>
              <w:rPr>
                <w:rFonts w:ascii="Times New Roman" w:hAnsi="Times New Roman"/>
                <w:sz w:val="24"/>
                <w:szCs w:val="24"/>
                <w:lang w:val="nl-NL"/>
              </w:rPr>
              <w:t>4,81</w:t>
            </w:r>
          </w:p>
        </w:tc>
        <w:tc>
          <w:tcPr>
            <w:tcW w:w="1534" w:type="dxa"/>
          </w:tcPr>
          <w:p w14:paraId="3DE977B8" w14:textId="1E37718B" w:rsidR="001D47BA" w:rsidRPr="00E93BC5" w:rsidRDefault="001D47BA" w:rsidP="001D47BA">
            <w:pPr>
              <w:shd w:val="clear" w:color="auto" w:fill="FFFFFF"/>
              <w:tabs>
                <w:tab w:val="left" w:pos="540"/>
              </w:tabs>
              <w:spacing w:before="120"/>
              <w:jc w:val="center"/>
              <w:rPr>
                <w:rFonts w:ascii="Times New Roman" w:hAnsi="Times New Roman"/>
                <w:sz w:val="24"/>
                <w:szCs w:val="24"/>
                <w:lang w:val="nl-NL"/>
              </w:rPr>
            </w:pPr>
            <w:r w:rsidRPr="00E93BC5">
              <w:rPr>
                <w:rFonts w:ascii="Times New Roman" w:hAnsi="Times New Roman"/>
                <w:sz w:val="24"/>
                <w:szCs w:val="24"/>
                <w:lang w:val="nl-NL"/>
              </w:rPr>
              <w:t>3,74</w:t>
            </w:r>
          </w:p>
        </w:tc>
      </w:tr>
    </w:tbl>
    <w:p w14:paraId="026F5225" w14:textId="349C2EBC" w:rsidR="006F77D6" w:rsidRPr="00EC3E69" w:rsidRDefault="001C4468" w:rsidP="00EC3E69">
      <w:pPr>
        <w:shd w:val="clear" w:color="auto" w:fill="FFFFFF"/>
        <w:tabs>
          <w:tab w:val="left" w:pos="540"/>
        </w:tabs>
        <w:spacing w:before="120" w:after="0" w:line="240" w:lineRule="auto"/>
        <w:jc w:val="both"/>
        <w:rPr>
          <w:rFonts w:ascii="Times New Roman" w:hAnsi="Times New Roman"/>
          <w:b/>
          <w:i/>
          <w:sz w:val="24"/>
          <w:szCs w:val="24"/>
          <w:u w:val="single"/>
          <w:lang w:val="nl-NL"/>
        </w:rPr>
      </w:pPr>
      <w:r w:rsidRPr="00E93BC5">
        <w:rPr>
          <w:rFonts w:ascii="Times New Roman" w:hAnsi="Times New Roman"/>
          <w:b/>
          <w:i/>
          <w:sz w:val="24"/>
          <w:szCs w:val="24"/>
          <w:u w:val="single"/>
          <w:lang w:val="nl-NL"/>
        </w:rPr>
        <w:t>Ghi chú:</w:t>
      </w:r>
    </w:p>
    <w:p w14:paraId="03AF0087" w14:textId="77777777" w:rsidR="006F77D6" w:rsidRPr="00E93BC5" w:rsidRDefault="006F77D6" w:rsidP="004F5C05">
      <w:pPr>
        <w:shd w:val="clear" w:color="auto" w:fill="FFFFFF"/>
        <w:tabs>
          <w:tab w:val="left" w:pos="1260"/>
        </w:tabs>
        <w:spacing w:before="120" w:after="0" w:line="240" w:lineRule="auto"/>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0034115C" w:rsidRPr="00E93BC5">
        <w:rPr>
          <w:rFonts w:ascii="Times New Roman" w:hAnsi="Times New Roman"/>
          <w:i/>
          <w:sz w:val="24"/>
          <w:szCs w:val="24"/>
          <w:lang w:val="nl-NL"/>
        </w:rPr>
        <w:t>(*</w:t>
      </w:r>
      <w:r w:rsidRPr="00E93BC5">
        <w:rPr>
          <w:rFonts w:ascii="Times New Roman" w:hAnsi="Times New Roman"/>
          <w:i/>
          <w:sz w:val="24"/>
          <w:szCs w:val="24"/>
          <w:lang w:val="nl-NL"/>
        </w:rPr>
        <w:t xml:space="preserve">): </w:t>
      </w:r>
      <w:r w:rsidR="004F5C05" w:rsidRPr="00E93BC5">
        <w:rPr>
          <w:rFonts w:ascii="Times New Roman" w:hAnsi="Times New Roman"/>
          <w:i/>
          <w:sz w:val="24"/>
          <w:szCs w:val="24"/>
          <w:lang w:val="nl-NL"/>
        </w:rPr>
        <w:tab/>
      </w:r>
      <w:r w:rsidRPr="00E93BC5">
        <w:rPr>
          <w:rFonts w:ascii="Times New Roman" w:hAnsi="Times New Roman"/>
          <w:i/>
          <w:sz w:val="24"/>
          <w:szCs w:val="24"/>
          <w:lang w:val="nl-NL"/>
        </w:rPr>
        <w:t>Chứng chỉ quỹ của Quỹ không được niêm yết trên thị trường chứng khoán</w:t>
      </w:r>
      <w:r w:rsidR="00332909" w:rsidRPr="00E93BC5">
        <w:rPr>
          <w:rFonts w:ascii="Times New Roman" w:hAnsi="Times New Roman"/>
          <w:i/>
          <w:sz w:val="24"/>
          <w:szCs w:val="24"/>
          <w:lang w:val="nl-NL"/>
        </w:rPr>
        <w:t>.</w:t>
      </w:r>
    </w:p>
    <w:p w14:paraId="6BB3FF87" w14:textId="77777777" w:rsidR="006F77D6" w:rsidRPr="00E93BC5" w:rsidRDefault="006F77D6" w:rsidP="004F5C05">
      <w:pPr>
        <w:shd w:val="clear" w:color="auto" w:fill="FFFFFF"/>
        <w:tabs>
          <w:tab w:val="left" w:pos="1260"/>
        </w:tabs>
        <w:spacing w:before="120" w:after="0" w:line="240" w:lineRule="auto"/>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Pr="00E93BC5">
        <w:rPr>
          <w:rFonts w:ascii="Times New Roman" w:hAnsi="Times New Roman"/>
          <w:i/>
          <w:sz w:val="24"/>
          <w:szCs w:val="24"/>
          <w:lang w:val="nl-NL"/>
        </w:rPr>
        <w:t>(</w:t>
      </w:r>
      <w:r w:rsidR="0034115C" w:rsidRPr="00E93BC5">
        <w:rPr>
          <w:rFonts w:ascii="Times New Roman" w:hAnsi="Times New Roman"/>
          <w:i/>
          <w:sz w:val="24"/>
          <w:szCs w:val="24"/>
          <w:lang w:val="nl-NL"/>
        </w:rPr>
        <w:t>**</w:t>
      </w:r>
      <w:r w:rsidR="0024670A" w:rsidRPr="00E93BC5">
        <w:rPr>
          <w:rFonts w:ascii="Times New Roman" w:hAnsi="Times New Roman"/>
          <w:i/>
          <w:sz w:val="24"/>
          <w:szCs w:val="24"/>
          <w:lang w:val="nl-NL"/>
        </w:rPr>
        <w:t xml:space="preserve">): </w:t>
      </w:r>
      <w:r w:rsidR="004F5C05" w:rsidRPr="00E93BC5">
        <w:rPr>
          <w:rFonts w:ascii="Times New Roman" w:hAnsi="Times New Roman"/>
          <w:i/>
          <w:sz w:val="24"/>
          <w:szCs w:val="24"/>
          <w:lang w:val="nl-NL"/>
        </w:rPr>
        <w:tab/>
      </w:r>
      <w:r w:rsidRPr="00E93BC5">
        <w:rPr>
          <w:rFonts w:ascii="Times New Roman" w:hAnsi="Times New Roman"/>
          <w:i/>
          <w:sz w:val="24"/>
          <w:szCs w:val="24"/>
          <w:lang w:val="nl-NL"/>
        </w:rPr>
        <w:t xml:space="preserve">Quỹ </w:t>
      </w:r>
      <w:r w:rsidR="0034115C" w:rsidRPr="00E93BC5">
        <w:rPr>
          <w:rFonts w:ascii="Times New Roman" w:hAnsi="Times New Roman"/>
          <w:i/>
          <w:sz w:val="24"/>
          <w:szCs w:val="24"/>
          <w:lang w:val="nl-NL"/>
        </w:rPr>
        <w:t>chưa</w:t>
      </w:r>
      <w:r w:rsidRPr="00E93BC5">
        <w:rPr>
          <w:rFonts w:ascii="Times New Roman" w:hAnsi="Times New Roman"/>
          <w:i/>
          <w:sz w:val="24"/>
          <w:szCs w:val="24"/>
          <w:lang w:val="nl-NL"/>
        </w:rPr>
        <w:t xml:space="preserve"> phân phối lợi nhuận.</w:t>
      </w:r>
    </w:p>
    <w:p w14:paraId="735ECF9F" w14:textId="7C58E06E" w:rsidR="006F77D6" w:rsidRPr="00E93BC5" w:rsidRDefault="0024670A" w:rsidP="00C804B5">
      <w:pPr>
        <w:shd w:val="clear" w:color="auto" w:fill="FFFFFF"/>
        <w:tabs>
          <w:tab w:val="left" w:pos="1260"/>
        </w:tabs>
        <w:spacing w:before="120" w:after="0" w:line="240" w:lineRule="auto"/>
        <w:ind w:left="1260" w:hanging="1260"/>
        <w:jc w:val="both"/>
        <w:rPr>
          <w:rFonts w:ascii="Times New Roman" w:hAnsi="Times New Roman"/>
          <w:i/>
          <w:sz w:val="24"/>
          <w:szCs w:val="24"/>
          <w:lang w:val="nl-NL"/>
        </w:rPr>
      </w:pPr>
      <w:r w:rsidRPr="00E93BC5">
        <w:rPr>
          <w:rFonts w:ascii="Times New Roman" w:hAnsi="Times New Roman"/>
          <w:i/>
          <w:sz w:val="24"/>
          <w:szCs w:val="24"/>
          <w:lang w:val="nl-NL"/>
        </w:rPr>
        <w:t xml:space="preserve">(***): </w:t>
      </w:r>
      <w:r w:rsidR="004F5C05" w:rsidRPr="00E93BC5">
        <w:rPr>
          <w:rFonts w:ascii="Times New Roman" w:hAnsi="Times New Roman"/>
          <w:i/>
          <w:sz w:val="24"/>
          <w:szCs w:val="24"/>
          <w:lang w:val="nl-NL"/>
        </w:rPr>
        <w:tab/>
      </w:r>
      <w:r w:rsidR="0034115C" w:rsidRPr="00E93BC5">
        <w:rPr>
          <w:rFonts w:ascii="Times New Roman" w:hAnsi="Times New Roman"/>
          <w:i/>
          <w:sz w:val="24"/>
          <w:szCs w:val="24"/>
          <w:lang w:val="nl-NL"/>
        </w:rPr>
        <w:t>Quỹ áp dụng chỉ số tham chiếu</w:t>
      </w:r>
      <w:r w:rsidR="000769A6" w:rsidRPr="00E93BC5">
        <w:rPr>
          <w:rFonts w:ascii="Times New Roman" w:hAnsi="Times New Roman"/>
          <w:i/>
          <w:sz w:val="24"/>
          <w:szCs w:val="24"/>
          <w:lang w:val="nl-NL"/>
        </w:rPr>
        <w:t xml:space="preserve"> là Chỉ số Trái phiếu Chính phủ năm (05) năm của HNX </w:t>
      </w:r>
      <w:r w:rsidR="00D06993" w:rsidRPr="00E93BC5">
        <w:rPr>
          <w:rFonts w:ascii="Times New Roman" w:hAnsi="Times New Roman"/>
          <w:i/>
          <w:sz w:val="24"/>
          <w:szCs w:val="24"/>
          <w:lang w:val="nl-NL"/>
        </w:rPr>
        <w:t xml:space="preserve">   </w:t>
      </w:r>
      <w:r w:rsidR="00785B96" w:rsidRPr="00E93BC5">
        <w:rPr>
          <w:rFonts w:ascii="Times New Roman" w:hAnsi="Times New Roman"/>
          <w:i/>
          <w:sz w:val="24"/>
          <w:szCs w:val="24"/>
          <w:lang w:val="nl-NL"/>
        </w:rPr>
        <w:t xml:space="preserve">từ khi thành lập đến </w:t>
      </w:r>
      <w:r w:rsidR="00C15853" w:rsidRPr="00E93BC5">
        <w:rPr>
          <w:rFonts w:ascii="Times New Roman" w:hAnsi="Times New Roman"/>
          <w:i/>
          <w:sz w:val="24"/>
          <w:szCs w:val="24"/>
          <w:lang w:val="nl-NL"/>
        </w:rPr>
        <w:t>thời điểm báo cáo</w:t>
      </w:r>
      <w:r w:rsidR="00C8278D" w:rsidRPr="00E93BC5">
        <w:rPr>
          <w:rFonts w:ascii="Times New Roman" w:hAnsi="Times New Roman"/>
          <w:i/>
          <w:sz w:val="24"/>
          <w:szCs w:val="24"/>
          <w:lang w:val="nl-NL"/>
        </w:rPr>
        <w:t>.</w:t>
      </w:r>
    </w:p>
    <w:p w14:paraId="175005EB" w14:textId="23B75779" w:rsidR="001C4468" w:rsidRDefault="001C4468" w:rsidP="00B953F5">
      <w:pPr>
        <w:shd w:val="clear" w:color="auto" w:fill="FFFFFF"/>
        <w:tabs>
          <w:tab w:val="left" w:pos="54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III. </w:t>
      </w:r>
      <w:r w:rsidR="00B953F5" w:rsidRPr="00E93BC5">
        <w:rPr>
          <w:rFonts w:ascii="Times New Roman" w:hAnsi="Times New Roman"/>
          <w:b/>
          <w:sz w:val="24"/>
          <w:szCs w:val="24"/>
          <w:lang w:val="nl-NL"/>
        </w:rPr>
        <w:tab/>
      </w:r>
      <w:bookmarkStart w:id="0" w:name="_Hlk37245109"/>
      <w:r w:rsidRPr="00E93BC5">
        <w:rPr>
          <w:rFonts w:ascii="Times New Roman" w:hAnsi="Times New Roman"/>
          <w:b/>
          <w:sz w:val="24"/>
          <w:szCs w:val="24"/>
          <w:lang w:val="nl-NL"/>
        </w:rPr>
        <w:t>M</w:t>
      </w:r>
      <w:r w:rsidR="00B953F5" w:rsidRPr="00E93BC5">
        <w:rPr>
          <w:rFonts w:ascii="Times New Roman" w:hAnsi="Times New Roman"/>
          <w:b/>
          <w:sz w:val="24"/>
          <w:szCs w:val="24"/>
          <w:lang w:val="nl-NL"/>
        </w:rPr>
        <w:t>Ô TẢ THỊ TRƯỜNG TRONG KỲ</w:t>
      </w:r>
    </w:p>
    <w:p w14:paraId="791DBF46" w14:textId="77777777" w:rsidR="0079546F" w:rsidRPr="008E63E3" w:rsidRDefault="0079546F" w:rsidP="0079546F">
      <w:pPr>
        <w:pStyle w:val="ListParagraph"/>
        <w:numPr>
          <w:ilvl w:val="0"/>
          <w:numId w:val="4"/>
        </w:numPr>
        <w:shd w:val="clear" w:color="auto" w:fill="FFFFFF"/>
        <w:tabs>
          <w:tab w:val="left" w:pos="540"/>
        </w:tabs>
        <w:spacing w:before="120" w:after="0" w:line="240" w:lineRule="auto"/>
        <w:ind w:left="630" w:hanging="630"/>
        <w:jc w:val="both"/>
        <w:rPr>
          <w:rFonts w:ascii="Times New Roman" w:hAnsi="Times New Roman"/>
          <w:b/>
          <w:sz w:val="24"/>
          <w:szCs w:val="24"/>
          <w:lang w:val="nl-NL"/>
        </w:rPr>
      </w:pPr>
      <w:r w:rsidRPr="008E63E3">
        <w:rPr>
          <w:rFonts w:ascii="Times New Roman" w:hAnsi="Times New Roman"/>
          <w:b/>
          <w:sz w:val="24"/>
          <w:szCs w:val="24"/>
          <w:lang w:val="nl-NL"/>
        </w:rPr>
        <w:t>Kinh tế Vĩ mô:</w:t>
      </w:r>
    </w:p>
    <w:bookmarkEnd w:id="0"/>
    <w:p w14:paraId="4FD2D7F0" w14:textId="77777777" w:rsidR="00184D02" w:rsidRPr="00361CA2" w:rsidRDefault="00184D02" w:rsidP="00184D02">
      <w:pPr>
        <w:shd w:val="clear" w:color="auto" w:fill="FFFFFF"/>
        <w:tabs>
          <w:tab w:val="left" w:pos="426"/>
        </w:tabs>
        <w:spacing w:before="120" w:after="0" w:line="240" w:lineRule="auto"/>
        <w:jc w:val="both"/>
        <w:rPr>
          <w:rFonts w:ascii="Times New Roman" w:eastAsia="Times New Roman" w:hAnsi="Times New Roman"/>
          <w:b/>
          <w:bCs/>
          <w:sz w:val="24"/>
          <w:szCs w:val="24"/>
          <w:lang w:val="nl-NL"/>
        </w:rPr>
      </w:pPr>
      <w:r w:rsidRPr="00361CA2">
        <w:rPr>
          <w:rFonts w:ascii="Times New Roman" w:eastAsia="Times New Roman" w:hAnsi="Times New Roman"/>
          <w:b/>
          <w:bCs/>
          <w:sz w:val="24"/>
          <w:szCs w:val="24"/>
          <w:lang w:val="nl-NL"/>
        </w:rPr>
        <w:t>Tổng sản phẩm trong nước (GDP)</w:t>
      </w:r>
    </w:p>
    <w:p w14:paraId="66B2EC40" w14:textId="77777777" w:rsidR="00184D02" w:rsidRDefault="00184D02" w:rsidP="00184D02">
      <w:pPr>
        <w:shd w:val="clear" w:color="auto" w:fill="FFFFFF"/>
        <w:tabs>
          <w:tab w:val="left" w:pos="426"/>
        </w:tabs>
        <w:spacing w:before="120" w:after="0" w:line="240" w:lineRule="auto"/>
        <w:jc w:val="both"/>
        <w:rPr>
          <w:rFonts w:ascii="Times New Roman" w:hAnsi="Times New Roman"/>
          <w:bCs/>
          <w:sz w:val="24"/>
          <w:szCs w:val="24"/>
          <w:lang w:val="nl-NL"/>
        </w:rPr>
      </w:pPr>
      <w:r w:rsidRPr="00AF03DE">
        <w:rPr>
          <w:rFonts w:ascii="Times New Roman" w:hAnsi="Times New Roman"/>
          <w:bCs/>
          <w:sz w:val="24"/>
          <w:szCs w:val="24"/>
          <w:lang w:val="nl-NL"/>
        </w:rPr>
        <w:t xml:space="preserve">Tổng sản phẩm trong nước (GDP) </w:t>
      </w:r>
      <w:r>
        <w:rPr>
          <w:rFonts w:ascii="Times New Roman" w:hAnsi="Times New Roman"/>
          <w:bCs/>
          <w:sz w:val="24"/>
          <w:szCs w:val="24"/>
          <w:lang w:val="nl-NL"/>
        </w:rPr>
        <w:t>Q</w:t>
      </w:r>
      <w:r w:rsidRPr="00AF03DE">
        <w:rPr>
          <w:rFonts w:ascii="Times New Roman" w:hAnsi="Times New Roman"/>
          <w:bCs/>
          <w:sz w:val="24"/>
          <w:szCs w:val="24"/>
          <w:lang w:val="nl-NL"/>
        </w:rPr>
        <w:t xml:space="preserve">uý </w:t>
      </w:r>
      <w:r>
        <w:rPr>
          <w:rFonts w:ascii="Times New Roman" w:hAnsi="Times New Roman"/>
          <w:bCs/>
          <w:sz w:val="24"/>
          <w:szCs w:val="24"/>
          <w:lang w:val="nl-NL"/>
        </w:rPr>
        <w:t>1</w:t>
      </w:r>
      <w:r w:rsidRPr="00AF03DE">
        <w:rPr>
          <w:rFonts w:ascii="Times New Roman" w:hAnsi="Times New Roman"/>
          <w:bCs/>
          <w:sz w:val="24"/>
          <w:szCs w:val="24"/>
          <w:lang w:val="nl-NL"/>
        </w:rPr>
        <w:t xml:space="preserve">/2025 ước tính tăng 6,93% so với cùng kỳ năm trước, đạt mức tăng cao nhất so với </w:t>
      </w:r>
      <w:r>
        <w:rPr>
          <w:rFonts w:ascii="Times New Roman" w:hAnsi="Times New Roman"/>
          <w:bCs/>
          <w:sz w:val="24"/>
          <w:szCs w:val="24"/>
          <w:lang w:val="nl-NL"/>
        </w:rPr>
        <w:t>Quý 1</w:t>
      </w:r>
      <w:r w:rsidRPr="00AF03DE">
        <w:rPr>
          <w:rFonts w:ascii="Times New Roman" w:hAnsi="Times New Roman"/>
          <w:bCs/>
          <w:sz w:val="24"/>
          <w:szCs w:val="24"/>
          <w:lang w:val="nl-NL"/>
        </w:rPr>
        <w:t xml:space="preserve"> các năm trong giai đoạn 2020-2025. Trong đó, khu vực nông, lâm nghiệp và thủy sản tăng 3,74%, đóng góp 6,09% vào mức tăng tổng giá trị tăng thêm của toàn nền kinh tế; khu vực công nghiệp và xây dựng tăng 7,42%, đóng góp 40,17%; khu vực dịch vụ tăng 7,70%, đóng góp 53,74%.</w:t>
      </w:r>
    </w:p>
    <w:p w14:paraId="791E39D3" w14:textId="77777777" w:rsidR="00184D02" w:rsidRPr="00BE4311" w:rsidRDefault="00184D02" w:rsidP="00184D02">
      <w:pPr>
        <w:shd w:val="clear" w:color="auto" w:fill="FFFFFF"/>
        <w:tabs>
          <w:tab w:val="left" w:pos="426"/>
        </w:tabs>
        <w:spacing w:before="120" w:after="0" w:line="240" w:lineRule="auto"/>
        <w:jc w:val="both"/>
        <w:rPr>
          <w:rFonts w:ascii="Times New Roman" w:hAnsi="Times New Roman"/>
          <w:bCs/>
          <w:sz w:val="24"/>
          <w:szCs w:val="24"/>
          <w:lang w:val="nl-NL"/>
        </w:rPr>
      </w:pPr>
      <w:r w:rsidRPr="00BE4311">
        <w:rPr>
          <w:rFonts w:ascii="Times New Roman" w:hAnsi="Times New Roman"/>
          <w:bCs/>
          <w:sz w:val="24"/>
          <w:szCs w:val="24"/>
          <w:lang w:val="nl-NL"/>
        </w:rPr>
        <w:t>Hoạt động sản xuất công nghiệp duy trì ổn định trong Quý 1 với trụ cột là ngành công nghiệp chế biến, chế tạo, tăng 9,28% so với cùng kỳ năm trước, đóng góp 2,33%. Nhóm dịch vụ cũng có mức tăng trưởng tích cực khi các hoạt động thương mại diễn ra sôi nổi trong dịp Tết Nguyên đán và du lịch hồi phục mạnh mẽ với số lượng khách quốc tế đến Việt Nam tăng cao, vận tải và kho bãi; dịch vụ lưu trú và ăn uống; bán buôn và bán lẻ; sửa chữa ô tô, mô tô, xe máy và xe có động cơ khác là các ngành có mức tăng lớn trong nhóm dịch vụ.</w:t>
      </w:r>
    </w:p>
    <w:p w14:paraId="179D470B" w14:textId="77777777" w:rsidR="00184D02" w:rsidRPr="00BE4311" w:rsidRDefault="00184D02" w:rsidP="00184D02">
      <w:pPr>
        <w:shd w:val="clear" w:color="auto" w:fill="FFFFFF"/>
        <w:tabs>
          <w:tab w:val="left" w:pos="426"/>
        </w:tabs>
        <w:spacing w:before="120" w:after="0" w:line="240" w:lineRule="auto"/>
        <w:jc w:val="both"/>
        <w:rPr>
          <w:rFonts w:ascii="Times New Roman" w:hAnsi="Times New Roman"/>
          <w:bCs/>
          <w:sz w:val="24"/>
          <w:szCs w:val="24"/>
          <w:lang w:val="nl-NL"/>
        </w:rPr>
      </w:pPr>
      <w:r w:rsidRPr="00BE4311">
        <w:rPr>
          <w:rFonts w:ascii="Times New Roman" w:hAnsi="Times New Roman"/>
          <w:bCs/>
          <w:sz w:val="24"/>
          <w:szCs w:val="24"/>
          <w:lang w:val="nl-NL"/>
        </w:rPr>
        <w:t xml:space="preserve">Mặc dù tăng trưởng GDP Quý 1/2025 ở mức cao, việc Mỹ áp mức thuế đối ứng cao lên hàng hóa Việt Nam có thể </w:t>
      </w:r>
      <w:r>
        <w:rPr>
          <w:rFonts w:ascii="Times New Roman" w:hAnsi="Times New Roman"/>
          <w:bCs/>
          <w:sz w:val="24"/>
          <w:szCs w:val="24"/>
          <w:lang w:val="nl-NL"/>
        </w:rPr>
        <w:t>ảnh hưởng tiêu cực</w:t>
      </w:r>
      <w:r w:rsidRPr="00BE4311">
        <w:rPr>
          <w:rFonts w:ascii="Times New Roman" w:hAnsi="Times New Roman"/>
          <w:bCs/>
          <w:sz w:val="24"/>
          <w:szCs w:val="24"/>
          <w:lang w:val="nl-NL"/>
        </w:rPr>
        <w:t xml:space="preserve"> đến mục tiêu tăng trưởng GDP 8% trong năm 2025. Các thay đổi về thể chế, tinh giản biên chế </w:t>
      </w:r>
      <w:bookmarkStart w:id="1" w:name="_Hlk195623297"/>
      <w:r w:rsidRPr="00BE4311">
        <w:rPr>
          <w:rFonts w:ascii="Times New Roman" w:hAnsi="Times New Roman"/>
          <w:bCs/>
          <w:sz w:val="24"/>
          <w:szCs w:val="24"/>
          <w:lang w:val="nl-NL"/>
        </w:rPr>
        <w:t xml:space="preserve">khu vực công, đẩy mạnh chuyển đổi số và đổi mới sáng tạo </w:t>
      </w:r>
      <w:bookmarkEnd w:id="1"/>
      <w:r w:rsidRPr="00BE4311">
        <w:rPr>
          <w:rFonts w:ascii="Times New Roman" w:hAnsi="Times New Roman"/>
          <w:bCs/>
          <w:sz w:val="24"/>
          <w:szCs w:val="24"/>
          <w:lang w:val="nl-NL"/>
        </w:rPr>
        <w:t>có thể cần nhiều thời gian để tác động sâu rộng vào nền kinh tế. Do đó, đầu tư công vẫn sẽ là điểm sáng trong động lực tăng trưởng năm 2025.</w:t>
      </w:r>
      <w:r>
        <w:rPr>
          <w:rFonts w:ascii="Times New Roman" w:hAnsi="Times New Roman"/>
          <w:bCs/>
          <w:sz w:val="24"/>
          <w:szCs w:val="24"/>
          <w:lang w:val="nl-NL"/>
        </w:rPr>
        <w:t xml:space="preserve"> Ngoài ra, việc dồn đơn hàng tập trung trước thời điểm chính thức công bố mức thuế đối ứng sau đàm phán cũng sẽ giúp xuất khẩu trở thành động lực tăng trưởng trong Quý 2, tuy nhiên để ngỏ rủi ro cho phần còn lại của năm.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184D02" w:rsidRPr="00335FD1" w14:paraId="35A05785" w14:textId="77777777" w:rsidTr="00B16BF8">
        <w:trPr>
          <w:trHeight w:val="504"/>
          <w:jc w:val="center"/>
        </w:trPr>
        <w:tc>
          <w:tcPr>
            <w:tcW w:w="9900" w:type="dxa"/>
            <w:tcBorders>
              <w:bottom w:val="single" w:sz="4" w:space="0" w:color="auto"/>
            </w:tcBorders>
            <w:shd w:val="clear" w:color="auto" w:fill="auto"/>
          </w:tcPr>
          <w:p w14:paraId="07BB4059" w14:textId="77777777" w:rsidR="00184D02" w:rsidRPr="002907DF" w:rsidRDefault="00184D02" w:rsidP="00B16BF8">
            <w:pPr>
              <w:tabs>
                <w:tab w:val="left" w:pos="426"/>
              </w:tabs>
              <w:spacing w:before="120" w:line="360" w:lineRule="auto"/>
              <w:jc w:val="both"/>
              <w:rPr>
                <w:rFonts w:ascii="Times New Roman" w:hAnsi="Times New Roman"/>
                <w:b/>
                <w:sz w:val="22"/>
                <w:szCs w:val="22"/>
                <w:lang w:val="nl-NL"/>
              </w:rPr>
            </w:pPr>
            <w:r w:rsidRPr="002907DF">
              <w:rPr>
                <w:rFonts w:ascii="Times New Roman" w:hAnsi="Times New Roman"/>
                <w:b/>
                <w:sz w:val="22"/>
                <w:szCs w:val="22"/>
                <w:lang w:val="nl-NL"/>
              </w:rPr>
              <w:lastRenderedPageBreak/>
              <w:t>Hình 1: Tăng trưởng GDP theo quý qua các năm</w:t>
            </w:r>
          </w:p>
        </w:tc>
      </w:tr>
      <w:tr w:rsidR="00184D02" w:rsidRPr="00EA2E8D" w14:paraId="37F30565" w14:textId="77777777" w:rsidTr="00B16BF8">
        <w:trPr>
          <w:trHeight w:val="4085"/>
          <w:jc w:val="center"/>
        </w:trPr>
        <w:tc>
          <w:tcPr>
            <w:tcW w:w="9900" w:type="dxa"/>
            <w:tcBorders>
              <w:top w:val="single" w:sz="4" w:space="0" w:color="auto"/>
              <w:bottom w:val="single" w:sz="4" w:space="0" w:color="auto"/>
            </w:tcBorders>
            <w:shd w:val="clear" w:color="auto" w:fill="auto"/>
          </w:tcPr>
          <w:p w14:paraId="634A6434" w14:textId="77777777" w:rsidR="00184D02" w:rsidRPr="002907DF" w:rsidRDefault="00184D02" w:rsidP="00B16BF8">
            <w:pPr>
              <w:tabs>
                <w:tab w:val="left" w:pos="426"/>
              </w:tabs>
              <w:spacing w:before="120" w:line="360" w:lineRule="auto"/>
              <w:jc w:val="center"/>
              <w:rPr>
                <w:rFonts w:ascii="Times New Roman" w:hAnsi="Times New Roman"/>
                <w:bCs/>
                <w:sz w:val="22"/>
                <w:szCs w:val="22"/>
                <w:lang w:val="nl-NL"/>
              </w:rPr>
            </w:pPr>
            <w:r w:rsidRPr="002907DF">
              <w:rPr>
                <w:rFonts w:ascii="Times New Roman" w:hAnsi="Times New Roman"/>
                <w:bCs/>
                <w:noProof/>
                <w:lang w:val="nl-NL"/>
              </w:rPr>
              <w:drawing>
                <wp:inline distT="0" distB="0" distL="0" distR="0" wp14:anchorId="356D7131" wp14:editId="79101FB1">
                  <wp:extent cx="5974080" cy="294279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8216" cy="2984236"/>
                          </a:xfrm>
                          <a:prstGeom prst="rect">
                            <a:avLst/>
                          </a:prstGeom>
                          <a:noFill/>
                        </pic:spPr>
                      </pic:pic>
                    </a:graphicData>
                  </a:graphic>
                </wp:inline>
              </w:drawing>
            </w:r>
          </w:p>
        </w:tc>
      </w:tr>
      <w:tr w:rsidR="00184D02" w:rsidRPr="00EA2E8D" w14:paraId="2C3CCE39" w14:textId="77777777" w:rsidTr="00B16BF8">
        <w:trPr>
          <w:trHeight w:val="474"/>
          <w:jc w:val="center"/>
        </w:trPr>
        <w:tc>
          <w:tcPr>
            <w:tcW w:w="9900" w:type="dxa"/>
            <w:tcBorders>
              <w:top w:val="single" w:sz="4" w:space="0" w:color="auto"/>
            </w:tcBorders>
            <w:shd w:val="clear" w:color="auto" w:fill="auto"/>
          </w:tcPr>
          <w:p w14:paraId="0122B9C1" w14:textId="77777777" w:rsidR="00184D02" w:rsidRPr="002907DF" w:rsidRDefault="00184D02" w:rsidP="00B16BF8">
            <w:pPr>
              <w:tabs>
                <w:tab w:val="left" w:pos="426"/>
              </w:tabs>
              <w:spacing w:before="120"/>
              <w:jc w:val="both"/>
              <w:rPr>
                <w:rFonts w:ascii="Times New Roman" w:hAnsi="Times New Roman"/>
                <w:bCs/>
                <w:i/>
                <w:iCs/>
                <w:lang w:val="nl-NL"/>
              </w:rPr>
            </w:pPr>
            <w:r w:rsidRPr="002907DF">
              <w:rPr>
                <w:rFonts w:ascii="Times New Roman" w:hAnsi="Times New Roman"/>
                <w:bCs/>
                <w:i/>
                <w:iCs/>
                <w:lang w:val="nl-NL"/>
              </w:rPr>
              <w:t>Nguồn: Tổng Cục Thống Kê</w:t>
            </w:r>
          </w:p>
        </w:tc>
      </w:tr>
    </w:tbl>
    <w:p w14:paraId="33C02186" w14:textId="77777777" w:rsidR="00184D02" w:rsidRPr="00122384" w:rsidRDefault="00184D02" w:rsidP="00184D02">
      <w:pPr>
        <w:shd w:val="clear" w:color="auto" w:fill="FFFFFF"/>
        <w:tabs>
          <w:tab w:val="left" w:pos="426"/>
        </w:tabs>
        <w:spacing w:before="120" w:after="0" w:line="240" w:lineRule="auto"/>
        <w:jc w:val="both"/>
        <w:rPr>
          <w:rFonts w:ascii="Times New Roman" w:eastAsia="Times New Roman" w:hAnsi="Times New Roman"/>
          <w:b/>
          <w:bCs/>
          <w:sz w:val="24"/>
          <w:szCs w:val="24"/>
          <w:lang w:val="nl-NL"/>
        </w:rPr>
      </w:pPr>
      <w:r w:rsidRPr="00122384">
        <w:rPr>
          <w:rFonts w:ascii="Times New Roman" w:eastAsia="Times New Roman" w:hAnsi="Times New Roman"/>
          <w:b/>
          <w:bCs/>
          <w:sz w:val="24"/>
          <w:szCs w:val="24"/>
          <w:lang w:val="nl-NL"/>
        </w:rPr>
        <w:t>Lạm</w:t>
      </w:r>
      <w:r w:rsidRPr="00122384">
        <w:rPr>
          <w:rFonts w:ascii="Times New Roman" w:hAnsi="Times New Roman"/>
          <w:b/>
          <w:sz w:val="24"/>
          <w:szCs w:val="24"/>
          <w:lang w:val="nl-NL"/>
        </w:rPr>
        <w:t xml:space="preserve"> </w:t>
      </w:r>
      <w:r w:rsidRPr="00122384">
        <w:rPr>
          <w:rFonts w:ascii="Times New Roman" w:eastAsia="Times New Roman" w:hAnsi="Times New Roman"/>
          <w:b/>
          <w:bCs/>
          <w:sz w:val="24"/>
          <w:szCs w:val="24"/>
          <w:lang w:val="nl-NL"/>
        </w:rPr>
        <w:t>phát</w:t>
      </w:r>
    </w:p>
    <w:p w14:paraId="6CD2D53A" w14:textId="77777777" w:rsidR="00184D02" w:rsidRDefault="00184D02" w:rsidP="00184D02">
      <w:pPr>
        <w:spacing w:after="120" w:line="240" w:lineRule="auto"/>
        <w:jc w:val="both"/>
        <w:rPr>
          <w:rFonts w:ascii="Times New Roman" w:hAnsi="Times New Roman"/>
          <w:sz w:val="24"/>
          <w:szCs w:val="24"/>
          <w:highlight w:val="yellow"/>
          <w:lang w:val="nl-NL"/>
        </w:rPr>
      </w:pPr>
      <w:r w:rsidRPr="007D5F5D">
        <w:rPr>
          <w:rFonts w:ascii="Times New Roman" w:hAnsi="Times New Roman"/>
          <w:sz w:val="24"/>
          <w:szCs w:val="24"/>
          <w:lang w:val="nl-NL"/>
        </w:rPr>
        <w:t xml:space="preserve">Tính chung </w:t>
      </w:r>
      <w:r>
        <w:rPr>
          <w:rFonts w:ascii="Times New Roman" w:hAnsi="Times New Roman"/>
          <w:sz w:val="24"/>
          <w:szCs w:val="24"/>
          <w:lang w:val="nl-NL"/>
        </w:rPr>
        <w:t>Quý 1/2025</w:t>
      </w:r>
      <w:r w:rsidRPr="007D5F5D">
        <w:rPr>
          <w:rFonts w:ascii="Times New Roman" w:hAnsi="Times New Roman"/>
          <w:sz w:val="24"/>
          <w:szCs w:val="24"/>
          <w:lang w:val="nl-NL"/>
        </w:rPr>
        <w:t>, CPI</w:t>
      </w:r>
      <w:r>
        <w:rPr>
          <w:rFonts w:ascii="Times New Roman" w:hAnsi="Times New Roman"/>
          <w:sz w:val="24"/>
          <w:szCs w:val="24"/>
          <w:lang w:val="nl-NL"/>
        </w:rPr>
        <w:t xml:space="preserve"> chỉ</w:t>
      </w:r>
      <w:r w:rsidRPr="007D5F5D">
        <w:rPr>
          <w:rFonts w:ascii="Times New Roman" w:hAnsi="Times New Roman"/>
          <w:sz w:val="24"/>
          <w:szCs w:val="24"/>
          <w:lang w:val="nl-NL"/>
        </w:rPr>
        <w:t xml:space="preserve"> tăng 3,22% so với cùng kỳ</w:t>
      </w:r>
      <w:r>
        <w:rPr>
          <w:rFonts w:ascii="Times New Roman" w:hAnsi="Times New Roman"/>
          <w:sz w:val="24"/>
          <w:szCs w:val="24"/>
          <w:lang w:val="nl-NL"/>
        </w:rPr>
        <w:t>, được hỗ trợ bởi chỉ số giá giao thông giảm nhờ giá dầu giảm</w:t>
      </w:r>
      <w:r w:rsidRPr="007D5F5D">
        <w:rPr>
          <w:rFonts w:ascii="Times New Roman" w:hAnsi="Times New Roman"/>
          <w:sz w:val="24"/>
          <w:szCs w:val="24"/>
          <w:lang w:val="nl-NL"/>
        </w:rPr>
        <w:t>; lạm phát cơ bản tăng 3,01%.</w:t>
      </w:r>
      <w:r>
        <w:rPr>
          <w:rFonts w:ascii="Times New Roman" w:hAnsi="Times New Roman"/>
          <w:sz w:val="24"/>
          <w:szCs w:val="24"/>
          <w:lang w:val="nl-NL"/>
        </w:rPr>
        <w:t xml:space="preserve"> Các nhóm mặt hàng có mức tăng giá lớn trong quý bao gồm Dịch vụ y tế (+18,8% so với cùng kỳ năm trước) và Nhà ở và vật liệu xây dựng (+5,11%), trong khi các nhóm mặt hàng khác có mức tăng thấp.</w:t>
      </w:r>
    </w:p>
    <w:p w14:paraId="6F4AF576" w14:textId="77777777" w:rsidR="00184D02" w:rsidRPr="00EA2E8D" w:rsidRDefault="00184D02" w:rsidP="00184D02">
      <w:pPr>
        <w:spacing w:after="120" w:line="240" w:lineRule="auto"/>
        <w:jc w:val="both"/>
        <w:rPr>
          <w:rFonts w:ascii="Times New Roman" w:hAnsi="Times New Roman"/>
          <w:sz w:val="24"/>
          <w:szCs w:val="24"/>
          <w:highlight w:val="yellow"/>
          <w:lang w:val="nl-NL"/>
        </w:rPr>
      </w:pPr>
      <w:r w:rsidRPr="00122384">
        <w:rPr>
          <w:rFonts w:ascii="Times New Roman" w:hAnsi="Times New Roman"/>
          <w:sz w:val="24"/>
          <w:szCs w:val="24"/>
          <w:lang w:val="nl-NL"/>
        </w:rPr>
        <w:t>Đánh giá về lạm phát năm 2025, chúng tôi cho rằng có hai áp lực lớn đến từ (1) Việt Nam tiếp tục lộ trình thị trường hóa đối với các dịch vụ do Nhà nước quản lý (điện, học phí, dịch vụ y tế) và (2) Chính phủ thực hiện chính sách tiền tệ và tài khóa mở rộng, chấp nhận mức mất giá đồng tiền lớn hơn để thúc đẩy kinh tế.</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6"/>
      </w:tblGrid>
      <w:tr w:rsidR="00184D02" w:rsidRPr="00335FD1" w14:paraId="03BFD8C2" w14:textId="77777777" w:rsidTr="00B16BF8">
        <w:trPr>
          <w:trHeight w:val="471"/>
          <w:jc w:val="center"/>
        </w:trPr>
        <w:tc>
          <w:tcPr>
            <w:tcW w:w="9846" w:type="dxa"/>
            <w:tcBorders>
              <w:bottom w:val="single" w:sz="4" w:space="0" w:color="auto"/>
            </w:tcBorders>
          </w:tcPr>
          <w:p w14:paraId="29B79AF1" w14:textId="77777777" w:rsidR="00184D02" w:rsidRPr="008614F8" w:rsidRDefault="00184D02" w:rsidP="00B16BF8">
            <w:pPr>
              <w:tabs>
                <w:tab w:val="left" w:pos="426"/>
              </w:tabs>
              <w:spacing w:before="120" w:line="360" w:lineRule="auto"/>
              <w:jc w:val="both"/>
              <w:rPr>
                <w:rFonts w:ascii="Times New Roman" w:hAnsi="Times New Roman"/>
                <w:b/>
                <w:sz w:val="22"/>
                <w:szCs w:val="22"/>
                <w:lang w:val="nl-NL"/>
              </w:rPr>
            </w:pPr>
            <w:r w:rsidRPr="008614F8">
              <w:rPr>
                <w:rFonts w:ascii="Times New Roman" w:hAnsi="Times New Roman"/>
                <w:b/>
                <w:sz w:val="22"/>
                <w:szCs w:val="22"/>
                <w:lang w:val="nl-NL"/>
              </w:rPr>
              <w:t>Hình 2: Lạm phát Việt Nam qua các tháng</w:t>
            </w:r>
          </w:p>
        </w:tc>
      </w:tr>
      <w:tr w:rsidR="00184D02" w:rsidRPr="00EA2E8D" w14:paraId="6B5DCCA9" w14:textId="77777777" w:rsidTr="00B16BF8">
        <w:trPr>
          <w:trHeight w:val="3905"/>
          <w:jc w:val="center"/>
        </w:trPr>
        <w:tc>
          <w:tcPr>
            <w:tcW w:w="9846" w:type="dxa"/>
            <w:tcBorders>
              <w:top w:val="single" w:sz="4" w:space="0" w:color="auto"/>
              <w:bottom w:val="single" w:sz="4" w:space="0" w:color="auto"/>
            </w:tcBorders>
          </w:tcPr>
          <w:p w14:paraId="71EB4FB5" w14:textId="77777777" w:rsidR="00184D02" w:rsidRPr="008614F8" w:rsidRDefault="00184D02" w:rsidP="00B16BF8">
            <w:pPr>
              <w:tabs>
                <w:tab w:val="left" w:pos="426"/>
              </w:tabs>
              <w:spacing w:before="120" w:line="360" w:lineRule="auto"/>
              <w:jc w:val="center"/>
              <w:rPr>
                <w:rFonts w:ascii="Times New Roman" w:hAnsi="Times New Roman"/>
                <w:bCs/>
                <w:sz w:val="22"/>
                <w:szCs w:val="22"/>
                <w:lang w:val="nl-NL"/>
              </w:rPr>
            </w:pPr>
            <w:r w:rsidRPr="008614F8">
              <w:rPr>
                <w:rFonts w:ascii="Times New Roman" w:hAnsi="Times New Roman"/>
                <w:bCs/>
                <w:noProof/>
                <w:lang w:val="nl-NL"/>
              </w:rPr>
              <w:drawing>
                <wp:inline distT="0" distB="0" distL="0" distR="0" wp14:anchorId="7CFF838F" wp14:editId="737560D1">
                  <wp:extent cx="6055862" cy="2621280"/>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1332" cy="2636633"/>
                          </a:xfrm>
                          <a:prstGeom prst="rect">
                            <a:avLst/>
                          </a:prstGeom>
                          <a:noFill/>
                        </pic:spPr>
                      </pic:pic>
                    </a:graphicData>
                  </a:graphic>
                </wp:inline>
              </w:drawing>
            </w:r>
          </w:p>
        </w:tc>
      </w:tr>
      <w:tr w:rsidR="00184D02" w:rsidRPr="002907DF" w14:paraId="65F1315D" w14:textId="77777777" w:rsidTr="00B16BF8">
        <w:trPr>
          <w:trHeight w:val="443"/>
          <w:jc w:val="center"/>
        </w:trPr>
        <w:tc>
          <w:tcPr>
            <w:tcW w:w="9846" w:type="dxa"/>
            <w:tcBorders>
              <w:top w:val="single" w:sz="4" w:space="0" w:color="auto"/>
            </w:tcBorders>
          </w:tcPr>
          <w:p w14:paraId="08815D9E" w14:textId="77777777" w:rsidR="00184D02" w:rsidRPr="008614F8" w:rsidRDefault="00184D02" w:rsidP="00B16BF8">
            <w:pPr>
              <w:tabs>
                <w:tab w:val="left" w:pos="426"/>
              </w:tabs>
              <w:spacing w:before="120" w:line="360" w:lineRule="auto"/>
              <w:jc w:val="both"/>
              <w:rPr>
                <w:rFonts w:ascii="Times New Roman" w:hAnsi="Times New Roman"/>
                <w:bCs/>
                <w:i/>
                <w:iCs/>
                <w:lang w:val="nl-NL"/>
              </w:rPr>
            </w:pPr>
            <w:r w:rsidRPr="008614F8">
              <w:rPr>
                <w:rFonts w:ascii="Times New Roman" w:hAnsi="Times New Roman"/>
                <w:bCs/>
                <w:i/>
                <w:iCs/>
                <w:lang w:val="nl-NL"/>
              </w:rPr>
              <w:t>Nguồn: Tổng Cục Thống Kê</w:t>
            </w:r>
          </w:p>
        </w:tc>
      </w:tr>
    </w:tbl>
    <w:p w14:paraId="70FFBB1D" w14:textId="77777777" w:rsidR="00184D02" w:rsidRPr="002907DF" w:rsidRDefault="00184D02" w:rsidP="00184D02">
      <w:pPr>
        <w:shd w:val="clear" w:color="auto" w:fill="FFFFFF"/>
        <w:tabs>
          <w:tab w:val="left" w:pos="426"/>
        </w:tabs>
        <w:spacing w:after="0" w:line="240" w:lineRule="auto"/>
        <w:jc w:val="both"/>
        <w:rPr>
          <w:rFonts w:ascii="Times New Roman" w:hAnsi="Times New Roman"/>
          <w:b/>
          <w:sz w:val="24"/>
          <w:szCs w:val="24"/>
          <w:lang w:val="nl-NL"/>
        </w:rPr>
      </w:pPr>
      <w:r w:rsidRPr="002907DF">
        <w:rPr>
          <w:rFonts w:ascii="Times New Roman" w:eastAsia="Times New Roman" w:hAnsi="Times New Roman"/>
          <w:b/>
          <w:bCs/>
          <w:sz w:val="24"/>
          <w:szCs w:val="24"/>
          <w:lang w:val="nl-NL"/>
        </w:rPr>
        <w:lastRenderedPageBreak/>
        <w:t>Hoạt động xuất nhập khẩu hàng hoá</w:t>
      </w:r>
    </w:p>
    <w:p w14:paraId="1DBA2AD1" w14:textId="77777777" w:rsidR="00184D02" w:rsidRPr="002907DF" w:rsidRDefault="00184D02" w:rsidP="00184D02">
      <w:pPr>
        <w:shd w:val="clear" w:color="auto" w:fill="FFFFFF"/>
        <w:tabs>
          <w:tab w:val="left" w:pos="426"/>
        </w:tabs>
        <w:spacing w:before="120" w:after="0" w:line="240" w:lineRule="auto"/>
        <w:jc w:val="both"/>
        <w:rPr>
          <w:rFonts w:ascii="Times New Roman" w:eastAsia="Times New Roman" w:hAnsi="Times New Roman"/>
          <w:sz w:val="24"/>
          <w:szCs w:val="24"/>
          <w:lang w:val="nl-NL"/>
        </w:rPr>
      </w:pPr>
      <w:r w:rsidRPr="002907DF">
        <w:rPr>
          <w:rFonts w:ascii="Times New Roman" w:eastAsia="Times New Roman" w:hAnsi="Times New Roman"/>
          <w:sz w:val="24"/>
          <w:szCs w:val="24"/>
          <w:lang w:val="nl-NL"/>
        </w:rPr>
        <w:t>Tính chung Quý 1/2025, tổng kim ngạch xuất, nhập khẩu hàng hóa đạt 202,52 tỷ USD, tăng 13,7% so với cùng kỳ năm trước, trong đó xuất khẩu tăng 10,6%; nhập khẩu tăng 17,0%. Cán cân thương mại hàng hóa xuất siêu 3,16 tỷ USD.</w:t>
      </w:r>
    </w:p>
    <w:p w14:paraId="0A096155" w14:textId="77777777" w:rsidR="00184D02" w:rsidRPr="002907DF" w:rsidRDefault="00184D02" w:rsidP="00184D02">
      <w:pPr>
        <w:pStyle w:val="ListParagraph"/>
        <w:numPr>
          <w:ilvl w:val="0"/>
          <w:numId w:val="23"/>
        </w:numPr>
        <w:shd w:val="clear" w:color="auto" w:fill="FFFFFF"/>
        <w:tabs>
          <w:tab w:val="left" w:pos="426"/>
        </w:tabs>
        <w:spacing w:before="120" w:after="0" w:line="240" w:lineRule="auto"/>
        <w:jc w:val="both"/>
        <w:rPr>
          <w:rFonts w:ascii="Times New Roman" w:eastAsia="Times New Roman" w:hAnsi="Times New Roman"/>
          <w:sz w:val="24"/>
          <w:szCs w:val="24"/>
          <w:lang w:val="nl-NL"/>
        </w:rPr>
      </w:pPr>
      <w:r w:rsidRPr="002907DF">
        <w:rPr>
          <w:rFonts w:ascii="Times New Roman" w:eastAsia="Times New Roman" w:hAnsi="Times New Roman"/>
          <w:sz w:val="24"/>
          <w:szCs w:val="24"/>
          <w:lang w:val="nl-NL"/>
        </w:rPr>
        <w:t>Tính chung Quý 1/2025, kim ngạch xuất khẩu hàng hóa đạt 102,84 tỷ USD, tăng 10,6% so với cùng kỳ năm trước. Trong đó, khu vực kinh tế trong nước đạt 29,02 tỷ USD, tăng 15,0%, chiếm 28,2% tổng kim ngạch xuất khẩu; khu vực có vốn đầu tư nước ngoài (kể cả dầu thô) đạt 73,82 tỷ USD, tăng 9,0%, chiếm 71,8%. Về cơ cấu nhóm hàng xuất khẩu Quý 1/2025, nhóm hàng công nghiệp chế biến đạt 90,92 tỷ USD, chiếm 88,4%.</w:t>
      </w:r>
    </w:p>
    <w:p w14:paraId="24E79F58" w14:textId="77777777" w:rsidR="00184D02" w:rsidRPr="002907DF" w:rsidRDefault="00184D02" w:rsidP="00184D02">
      <w:pPr>
        <w:pStyle w:val="ListParagraph"/>
        <w:numPr>
          <w:ilvl w:val="0"/>
          <w:numId w:val="23"/>
        </w:numPr>
        <w:shd w:val="clear" w:color="auto" w:fill="FFFFFF"/>
        <w:tabs>
          <w:tab w:val="left" w:pos="426"/>
        </w:tabs>
        <w:spacing w:before="120" w:after="0" w:line="240" w:lineRule="auto"/>
        <w:jc w:val="both"/>
        <w:rPr>
          <w:rFonts w:ascii="Times New Roman" w:eastAsia="Times New Roman" w:hAnsi="Times New Roman"/>
          <w:sz w:val="24"/>
          <w:szCs w:val="24"/>
          <w:lang w:val="nl-NL"/>
        </w:rPr>
      </w:pPr>
      <w:r w:rsidRPr="002907DF">
        <w:rPr>
          <w:rFonts w:ascii="Times New Roman" w:eastAsia="Times New Roman" w:hAnsi="Times New Roman"/>
          <w:sz w:val="24"/>
          <w:szCs w:val="24"/>
          <w:lang w:val="nl-NL"/>
        </w:rPr>
        <w:t>Tính chung Quý 1/2025, kim ngạch nhập khẩu hàng hóa đạt 99,68 tỷ USD, tăng 17,0% so với cùng kỳ năm trước, trong đó khu vực kinh tế trong nước đạt 36,78 tỷ USD, tăng 19,3%; khu vực có vốn đầu tư nước ngoài đạt 62,9 tỷ USD, tăng 15,8%. Về cơ cấu nhóm hàng nhập khẩu Quý 1/2025, nhóm hàng tư liệu sản xuất đạt 93,51 tỷ USD, chiếm 93,8%.</w:t>
      </w:r>
    </w:p>
    <w:p w14:paraId="64D8C5EA" w14:textId="77777777" w:rsidR="00184D02" w:rsidRPr="002907DF" w:rsidRDefault="00184D02" w:rsidP="00184D02">
      <w:pPr>
        <w:shd w:val="clear" w:color="auto" w:fill="FFFFFF"/>
        <w:tabs>
          <w:tab w:val="left" w:pos="426"/>
        </w:tabs>
        <w:spacing w:before="120" w:after="0" w:line="240" w:lineRule="auto"/>
        <w:jc w:val="both"/>
        <w:rPr>
          <w:rFonts w:ascii="Times New Roman" w:hAnsi="Times New Roman"/>
          <w:b/>
          <w:sz w:val="24"/>
          <w:szCs w:val="24"/>
          <w:lang w:val="nl-NL"/>
        </w:rPr>
      </w:pPr>
      <w:r w:rsidRPr="002907DF">
        <w:rPr>
          <w:rFonts w:ascii="Times New Roman" w:eastAsia="Times New Roman" w:hAnsi="Times New Roman"/>
          <w:b/>
          <w:bCs/>
          <w:sz w:val="24"/>
          <w:szCs w:val="24"/>
          <w:lang w:val="nl-NL"/>
        </w:rPr>
        <w:t>Hoạt động đầu tư</w:t>
      </w:r>
    </w:p>
    <w:p w14:paraId="6B2D7EC4" w14:textId="77777777" w:rsidR="00184D02" w:rsidRPr="008614F8" w:rsidRDefault="00184D02" w:rsidP="00184D02">
      <w:pPr>
        <w:shd w:val="clear" w:color="auto" w:fill="FFFFFF"/>
        <w:tabs>
          <w:tab w:val="left" w:pos="426"/>
        </w:tabs>
        <w:spacing w:before="120" w:after="0" w:line="240" w:lineRule="auto"/>
        <w:jc w:val="both"/>
        <w:rPr>
          <w:rFonts w:ascii="Times New Roman" w:eastAsia="Times New Roman" w:hAnsi="Times New Roman"/>
          <w:sz w:val="24"/>
          <w:szCs w:val="24"/>
          <w:lang w:val="nl-NL"/>
        </w:rPr>
      </w:pPr>
      <w:r w:rsidRPr="008614F8">
        <w:rPr>
          <w:rFonts w:ascii="Times New Roman" w:eastAsia="Times New Roman" w:hAnsi="Times New Roman"/>
          <w:sz w:val="24"/>
          <w:szCs w:val="24"/>
          <w:lang w:val="nl-NL"/>
        </w:rPr>
        <w:t xml:space="preserve">Vốn đầu tư thực hiện toàn xã hội Quý 1/2025 theo giá hiện hành ước đạt 666,5 nghìn tỷ đồng, tăng 8,3% so với cùng kỳ năm trước. Đáng chú ý, vốn đầu tư từ ngân sách Nhà nước đạt 117 nghìn tỷ đồng (+19,8% so với cùng kỳ). </w:t>
      </w:r>
    </w:p>
    <w:p w14:paraId="4B652076" w14:textId="77777777" w:rsidR="00184D02" w:rsidRPr="002907DF" w:rsidRDefault="00184D02" w:rsidP="00184D02">
      <w:pPr>
        <w:shd w:val="clear" w:color="auto" w:fill="FFFFFF"/>
        <w:tabs>
          <w:tab w:val="left" w:pos="426"/>
        </w:tabs>
        <w:spacing w:before="120" w:after="0" w:line="240" w:lineRule="auto"/>
        <w:jc w:val="both"/>
        <w:rPr>
          <w:rFonts w:ascii="Times New Roman" w:eastAsia="Times New Roman" w:hAnsi="Times New Roman"/>
          <w:sz w:val="24"/>
          <w:szCs w:val="24"/>
          <w:lang w:val="nl-NL"/>
        </w:rPr>
      </w:pPr>
      <w:r w:rsidRPr="002907DF">
        <w:rPr>
          <w:rFonts w:ascii="Times New Roman" w:eastAsia="Times New Roman" w:hAnsi="Times New Roman"/>
          <w:sz w:val="24"/>
          <w:szCs w:val="24"/>
          <w:lang w:val="nl-NL"/>
        </w:rPr>
        <w:t>Tổng vốn đầu tư nước ngoài đăng ký vào Việt Nam tính đến ngày 31/3/2025 đạt 10,98 tỷ USD, tăng 34,7% so với cùng kỳ năm trước. Vốn đầu tư nước ngoài thực hiện tại Việt Nam ba tháng đầu năm 2025 ước đạt 4,96 tỷ USD, tăng 7,2% so với cùng kỳ năm trước.</w:t>
      </w:r>
    </w:p>
    <w:p w14:paraId="019B2111" w14:textId="77777777" w:rsidR="00184D02" w:rsidRPr="002907DF" w:rsidRDefault="00184D02" w:rsidP="00184D02">
      <w:pPr>
        <w:shd w:val="clear" w:color="auto" w:fill="FFFFFF"/>
        <w:tabs>
          <w:tab w:val="left" w:pos="426"/>
        </w:tabs>
        <w:spacing w:before="120" w:after="0" w:line="240" w:lineRule="auto"/>
        <w:jc w:val="both"/>
        <w:rPr>
          <w:rFonts w:ascii="Times New Roman" w:eastAsia="Times New Roman" w:hAnsi="Times New Roman"/>
          <w:sz w:val="24"/>
          <w:szCs w:val="24"/>
          <w:lang w:val="nl-NL"/>
        </w:rPr>
      </w:pPr>
      <w:r w:rsidRPr="002907DF">
        <w:rPr>
          <w:rFonts w:ascii="Times New Roman" w:eastAsia="Times New Roman" w:hAnsi="Times New Roman"/>
          <w:sz w:val="24"/>
          <w:szCs w:val="24"/>
          <w:lang w:val="nl-NL"/>
        </w:rPr>
        <w:t>Đầu tư của Việt Nam ra nước ngoài trong ba tháng đầu năm 2025 có 30 dự án được cấp mới giấy chứng nhận đầu tư với tổng số vốn của phía Việt Nam là 233,6 triệu USD, gấp 9,4 lần cùng kỳ năm trước; có 05 lượt dự án điều chỉnh vốn với số vốn điều chỉnh tăng 5,4 triệu USD, gấp 24,3 lần. Tính chung tổng vốn đầu tư của Việt Nam ra nước ngoài (vốn cấp mới và điều chỉnh) đạt gần 239 triệu USD, gấp 9,5 lần cùng kỳ năm trước.</w:t>
      </w:r>
    </w:p>
    <w:p w14:paraId="3750469E" w14:textId="77777777" w:rsidR="00184D02" w:rsidRPr="002907DF" w:rsidRDefault="00184D02" w:rsidP="00184D02">
      <w:pPr>
        <w:shd w:val="clear" w:color="auto" w:fill="FFFFFF"/>
        <w:spacing w:before="120" w:after="0" w:line="240" w:lineRule="auto"/>
        <w:jc w:val="both"/>
        <w:rPr>
          <w:rFonts w:ascii="Times New Roman" w:hAnsi="Times New Roman"/>
          <w:b/>
          <w:sz w:val="24"/>
          <w:szCs w:val="24"/>
          <w:lang w:val="nl-NL"/>
        </w:rPr>
      </w:pPr>
      <w:r w:rsidRPr="002907DF">
        <w:rPr>
          <w:rFonts w:ascii="Times New Roman" w:hAnsi="Times New Roman"/>
          <w:b/>
          <w:sz w:val="24"/>
          <w:szCs w:val="24"/>
          <w:lang w:val="nl-NL"/>
        </w:rPr>
        <w:t>Thị trường cổ phiếu</w:t>
      </w:r>
    </w:p>
    <w:p w14:paraId="1DB1F325" w14:textId="77777777" w:rsidR="00184D02" w:rsidRDefault="00184D02" w:rsidP="00184D02">
      <w:pPr>
        <w:shd w:val="clear" w:color="auto" w:fill="FFFFFF"/>
        <w:tabs>
          <w:tab w:val="left" w:pos="426"/>
        </w:tabs>
        <w:spacing w:before="120" w:after="0" w:line="240" w:lineRule="auto"/>
        <w:jc w:val="both"/>
        <w:rPr>
          <w:rFonts w:ascii="Times New Roman" w:hAnsi="Times New Roman"/>
          <w:bCs/>
          <w:sz w:val="24"/>
          <w:szCs w:val="24"/>
          <w:lang w:val="nl-NL"/>
        </w:rPr>
      </w:pPr>
      <w:r w:rsidRPr="00747E67">
        <w:rPr>
          <w:rFonts w:ascii="Times New Roman" w:hAnsi="Times New Roman"/>
          <w:bCs/>
          <w:sz w:val="24"/>
          <w:szCs w:val="24"/>
          <w:lang w:val="nl-NL"/>
        </w:rPr>
        <w:t>Trong Quý I năm 2025, thị trường chứng khoán Việt Nam ghi nhận diễn biến tương đối tích cực, với chỉ số VN-Index chốt phiên ngày 31/3/2025 ở mức 1.304,1 điểm, tăng 3,16% so với thời điểm đầu năm. Tuy nhiên, đây vẫn là mức tăng trưởng thấp nhất trong các quý I của ba năm gần đây.</w:t>
      </w:r>
      <w:r>
        <w:rPr>
          <w:rFonts w:ascii="Times New Roman" w:hAnsi="Times New Roman"/>
          <w:bCs/>
          <w:sz w:val="24"/>
          <w:szCs w:val="24"/>
          <w:lang w:val="nl-NL"/>
        </w:rPr>
        <w:t xml:space="preserve"> </w:t>
      </w:r>
      <w:r w:rsidRPr="00747E67">
        <w:rPr>
          <w:rFonts w:ascii="Times New Roman" w:hAnsi="Times New Roman"/>
          <w:bCs/>
          <w:sz w:val="24"/>
          <w:szCs w:val="24"/>
          <w:lang w:val="nl-NL"/>
        </w:rPr>
        <w:t>Trong suốt quý, VN-Index dao động chủ yếu trong khoảng 1.200 – 1.250 điểm, chịu áp lực từ hoạt động bán ròng kéo dài của khối ngoại (tương đương cùng kỳ năm 2024) và tâm lý thận trọng trước những bất ổn liên quan đến chính sách thuế quan của Hoa Kỳ. Thanh khoản trên sàn HOSE duy trì ở mức khá, với giá trị giao dịch bình quân đạt 16,4 nghìn tỷ đồng mỗi ngày, tăng 9,5% so với quý trước, song vẫn giảm 23,2% so với cùng kỳ năm trước. Ngoài ra, mặt bằng định giá hiện tại của thị trường được đánh giá là hấp dẫn, với hệ số P/E của VN-Index ở mức 11,6 lần — thấp hơn khoảng 25% so với mức trung bình giai đoạn 2016 đến nay</w:t>
      </w:r>
      <w:r>
        <w:rPr>
          <w:rFonts w:ascii="Times New Roman" w:hAnsi="Times New Roman"/>
          <w:bCs/>
          <w:sz w:val="24"/>
          <w:szCs w:val="24"/>
          <w:lang w:val="nl-NL"/>
        </w:rPr>
        <w:t xml:space="preserve">, </w:t>
      </w:r>
      <w:r w:rsidRPr="00747E67">
        <w:rPr>
          <w:rFonts w:ascii="Times New Roman" w:hAnsi="Times New Roman"/>
          <w:bCs/>
          <w:sz w:val="24"/>
          <w:szCs w:val="24"/>
          <w:lang w:val="nl-NL"/>
        </w:rPr>
        <w:t>từ đó tạo cơ hội cho các nhà đầu tư dài hạn.</w:t>
      </w:r>
      <w:r>
        <w:rPr>
          <w:rFonts w:ascii="Times New Roman" w:hAnsi="Times New Roman"/>
          <w:bCs/>
          <w:sz w:val="24"/>
          <w:szCs w:val="24"/>
          <w:lang w:val="nl-NL"/>
        </w:rPr>
        <w:t xml:space="preserve"> </w:t>
      </w:r>
      <w:r w:rsidRPr="00747E67">
        <w:rPr>
          <w:rFonts w:ascii="Times New Roman" w:hAnsi="Times New Roman"/>
          <w:bCs/>
          <w:sz w:val="24"/>
          <w:szCs w:val="24"/>
          <w:lang w:val="nl-NL"/>
        </w:rPr>
        <w:t>Triển vọng thị trường trong phần còn lại của năm được hỗ trợ bởi một số yếu tố tích cực như sự quay trở lại của dòng tiền từ nhà đầu tư cá nhân trong bối cảnh mặt bằng lãi suất thấp, cùng với kỳ vọng vào các cải cách thể chế, tinh giản bộ máy hành chính, thúc đẩy chuyển đổi số và đổi mới sáng tạo.</w:t>
      </w:r>
      <w:r>
        <w:rPr>
          <w:rFonts w:ascii="Times New Roman" w:hAnsi="Times New Roman"/>
          <w:bCs/>
          <w:sz w:val="24"/>
          <w:szCs w:val="24"/>
          <w:lang w:val="nl-NL"/>
        </w:rPr>
        <w:t xml:space="preserve"> </w:t>
      </w:r>
      <w:r w:rsidRPr="00747E67">
        <w:rPr>
          <w:rFonts w:ascii="Times New Roman" w:hAnsi="Times New Roman"/>
          <w:bCs/>
          <w:sz w:val="24"/>
          <w:szCs w:val="24"/>
          <w:lang w:val="nl-NL"/>
        </w:rPr>
        <w:t>Tâm lý t</w:t>
      </w:r>
      <w:r>
        <w:rPr>
          <w:rFonts w:ascii="Times New Roman" w:hAnsi="Times New Roman"/>
          <w:bCs/>
          <w:sz w:val="24"/>
          <w:szCs w:val="24"/>
          <w:lang w:val="nl-NL"/>
        </w:rPr>
        <w:t>h</w:t>
      </w:r>
      <w:r w:rsidRPr="00747E67">
        <w:rPr>
          <w:rFonts w:ascii="Times New Roman" w:hAnsi="Times New Roman"/>
          <w:bCs/>
          <w:sz w:val="24"/>
          <w:szCs w:val="24"/>
          <w:lang w:val="nl-NL"/>
        </w:rPr>
        <w:t xml:space="preserve">ị trường </w:t>
      </w:r>
      <w:r>
        <w:rPr>
          <w:rFonts w:ascii="Times New Roman" w:hAnsi="Times New Roman"/>
          <w:bCs/>
          <w:sz w:val="24"/>
          <w:szCs w:val="24"/>
          <w:lang w:val="nl-NL"/>
        </w:rPr>
        <w:t xml:space="preserve">cuối năm dự báo sẽ </w:t>
      </w:r>
      <w:r w:rsidRPr="00747E67">
        <w:rPr>
          <w:rFonts w:ascii="Times New Roman" w:hAnsi="Times New Roman"/>
          <w:bCs/>
          <w:sz w:val="24"/>
          <w:szCs w:val="24"/>
          <w:lang w:val="nl-NL"/>
        </w:rPr>
        <w:t>được củng cố bởi kỳ vọng Việt Nam có thể được nâng hạng lên thị trường mới nổi bởi FTSE trong năm 202</w:t>
      </w:r>
      <w:r>
        <w:rPr>
          <w:rFonts w:ascii="Times New Roman" w:hAnsi="Times New Roman"/>
          <w:bCs/>
          <w:sz w:val="24"/>
          <w:szCs w:val="24"/>
          <w:lang w:val="nl-NL"/>
        </w:rPr>
        <w:t xml:space="preserve">6. </w:t>
      </w:r>
      <w:r w:rsidRPr="00747E67">
        <w:rPr>
          <w:rFonts w:ascii="Times New Roman" w:hAnsi="Times New Roman"/>
          <w:bCs/>
          <w:sz w:val="24"/>
          <w:szCs w:val="24"/>
          <w:lang w:val="nl-NL"/>
        </w:rPr>
        <w:t>Tuy nhiên, các yếu tố rủi ro vẫn hiện hữu, đặc biệt là những diễn biến bất lợi liên quan đến chính sách thuế quan của Hoa Kỳ từ đầu tháng 4/2025</w:t>
      </w:r>
      <w:r>
        <w:rPr>
          <w:rFonts w:ascii="Times New Roman" w:hAnsi="Times New Roman"/>
          <w:bCs/>
          <w:sz w:val="24"/>
          <w:szCs w:val="24"/>
          <w:lang w:val="nl-NL"/>
        </w:rPr>
        <w:t xml:space="preserve"> gây ra cuộc chiến thương mại leo thang</w:t>
      </w:r>
      <w:r w:rsidRPr="00747E67">
        <w:rPr>
          <w:rFonts w:ascii="Times New Roman" w:hAnsi="Times New Roman"/>
          <w:bCs/>
          <w:sz w:val="24"/>
          <w:szCs w:val="24"/>
          <w:lang w:val="nl-NL"/>
        </w:rPr>
        <w:t xml:space="preserve">. </w:t>
      </w:r>
      <w:r>
        <w:rPr>
          <w:rFonts w:ascii="Times New Roman" w:hAnsi="Times New Roman"/>
          <w:bCs/>
          <w:sz w:val="24"/>
          <w:szCs w:val="24"/>
          <w:lang w:val="nl-NL"/>
        </w:rPr>
        <w:t>Diễn biến của cuộc chiến thương mại</w:t>
      </w:r>
      <w:r w:rsidRPr="00747E67">
        <w:rPr>
          <w:rFonts w:ascii="Times New Roman" w:hAnsi="Times New Roman"/>
          <w:bCs/>
          <w:sz w:val="24"/>
          <w:szCs w:val="24"/>
          <w:lang w:val="nl-NL"/>
        </w:rPr>
        <w:t xml:space="preserve"> này đã và đang gây ra tác động tiêu cực đối với nền kinh tế và thị trường chứng khoán Việt Nam, và có thể tiếp tục ảnh hưởng đến diễn biến thị trường trong những tháng còn lại của năm.</w:t>
      </w:r>
    </w:p>
    <w:p w14:paraId="3B64BB6F" w14:textId="77777777" w:rsidR="00184D02" w:rsidRDefault="00184D02" w:rsidP="00184D02">
      <w:pPr>
        <w:shd w:val="clear" w:color="auto" w:fill="FFFFFF"/>
        <w:tabs>
          <w:tab w:val="left" w:pos="426"/>
        </w:tabs>
        <w:spacing w:before="120" w:after="0" w:line="240" w:lineRule="auto"/>
        <w:jc w:val="both"/>
        <w:rPr>
          <w:rFonts w:ascii="Times New Roman" w:hAnsi="Times New Roman"/>
          <w:bCs/>
          <w:sz w:val="24"/>
          <w:szCs w:val="24"/>
          <w:lang w:val="nl-NL"/>
        </w:rPr>
      </w:pPr>
    </w:p>
    <w:p w14:paraId="59B0436E" w14:textId="77777777" w:rsidR="00184D02" w:rsidRDefault="00184D02" w:rsidP="00184D02">
      <w:pPr>
        <w:shd w:val="clear" w:color="auto" w:fill="FFFFFF"/>
        <w:tabs>
          <w:tab w:val="left" w:pos="426"/>
        </w:tabs>
        <w:spacing w:before="120" w:after="0" w:line="240" w:lineRule="auto"/>
        <w:jc w:val="both"/>
        <w:rPr>
          <w:rFonts w:ascii="Times New Roman" w:hAnsi="Times New Roman"/>
          <w:bCs/>
          <w:sz w:val="24"/>
          <w:szCs w:val="24"/>
          <w:lang w:val="nl-NL"/>
        </w:rPr>
      </w:pPr>
    </w:p>
    <w:p w14:paraId="4EC985EB" w14:textId="77777777" w:rsidR="00184D02" w:rsidRPr="002907DF" w:rsidRDefault="00184D02" w:rsidP="00184D02">
      <w:pPr>
        <w:shd w:val="clear" w:color="auto" w:fill="FFFFFF"/>
        <w:tabs>
          <w:tab w:val="left" w:pos="426"/>
        </w:tabs>
        <w:spacing w:before="120" w:after="0" w:line="240" w:lineRule="auto"/>
        <w:jc w:val="both"/>
        <w:rPr>
          <w:rFonts w:ascii="Times New Roman" w:hAnsi="Times New Roman"/>
          <w:b/>
          <w:sz w:val="24"/>
          <w:szCs w:val="24"/>
          <w:lang w:val="nl-NL"/>
        </w:rPr>
      </w:pPr>
      <w:r w:rsidRPr="002907DF">
        <w:rPr>
          <w:rFonts w:ascii="Times New Roman" w:hAnsi="Times New Roman"/>
          <w:b/>
          <w:sz w:val="24"/>
          <w:szCs w:val="24"/>
          <w:lang w:val="nl-NL"/>
        </w:rPr>
        <w:lastRenderedPageBreak/>
        <w:t>Thị trường trái phiếu</w:t>
      </w:r>
    </w:p>
    <w:p w14:paraId="24235A0C" w14:textId="77777777" w:rsidR="00184D02" w:rsidRDefault="00184D02" w:rsidP="00184D02">
      <w:pPr>
        <w:shd w:val="clear" w:color="auto" w:fill="FFFFFF"/>
        <w:tabs>
          <w:tab w:val="left" w:pos="540"/>
        </w:tabs>
        <w:spacing w:before="120" w:after="0" w:line="240" w:lineRule="auto"/>
        <w:jc w:val="both"/>
        <w:rPr>
          <w:rFonts w:ascii="Times New Roman" w:hAnsi="Times New Roman"/>
          <w:bCs/>
          <w:sz w:val="24"/>
          <w:szCs w:val="24"/>
          <w:lang w:val="nl-NL"/>
        </w:rPr>
      </w:pPr>
      <w:r w:rsidRPr="009930DC">
        <w:rPr>
          <w:rFonts w:ascii="Times New Roman" w:hAnsi="Times New Roman"/>
          <w:bCs/>
          <w:sz w:val="24"/>
          <w:szCs w:val="24"/>
          <w:lang w:val="nl-NL"/>
        </w:rPr>
        <w:t xml:space="preserve">Trong </w:t>
      </w:r>
      <w:r>
        <w:rPr>
          <w:rFonts w:ascii="Times New Roman" w:hAnsi="Times New Roman"/>
          <w:bCs/>
          <w:sz w:val="24"/>
          <w:szCs w:val="24"/>
          <w:lang w:val="nl-NL"/>
        </w:rPr>
        <w:t>Quý 1/2025</w:t>
      </w:r>
      <w:r w:rsidRPr="009930DC">
        <w:rPr>
          <w:rFonts w:ascii="Times New Roman" w:hAnsi="Times New Roman"/>
          <w:bCs/>
          <w:sz w:val="24"/>
          <w:szCs w:val="24"/>
          <w:lang w:val="nl-NL"/>
        </w:rPr>
        <w:t xml:space="preserve">, thị trường trái phiếu Chính phủ ghi nhận những diễn biến tích cực trên cả thị trường sơ cấp và thứ cấp. Trên thị trường sơ cấp, Kho bạc Nhà nước đã tổ chức 48 phiên đấu thầu với tổng giá trị gọi thầu đạt 159.500 tỷ đồng, trong đó tổng giá trị trúng thầu là 110.440 tỷ đồng, tương đương 99,5% kế hoạch </w:t>
      </w:r>
      <w:r>
        <w:rPr>
          <w:rFonts w:ascii="Times New Roman" w:hAnsi="Times New Roman"/>
          <w:bCs/>
          <w:sz w:val="24"/>
          <w:szCs w:val="24"/>
          <w:lang w:val="nl-NL"/>
        </w:rPr>
        <w:t>Quý 1</w:t>
      </w:r>
      <w:r w:rsidRPr="009930DC">
        <w:rPr>
          <w:rFonts w:ascii="Times New Roman" w:hAnsi="Times New Roman"/>
          <w:bCs/>
          <w:sz w:val="24"/>
          <w:szCs w:val="24"/>
          <w:lang w:val="nl-NL"/>
        </w:rPr>
        <w:t xml:space="preserve"> và 22% kế hoạch cả năm. Kỳ hạn 10 năm tiếp tục chiếm ưu thế tuyệt đối, đóng góp khoảng 90% tổng giá trị trúng thầu. Lãi suất trúng thầu trung bình có xu hướng tăng nhẹ trong tháng 1 và 2, sau đó giảm nhẹ trong tháng 3, dao động quanh mức 2,84–2,94%/năm, trong khi kỳ hạn phát hành bình quân giảm từ 11,28 năm trong tháng 1 xuống còn 9,82 năm vào tháng 3.</w:t>
      </w:r>
      <w:r>
        <w:rPr>
          <w:rFonts w:ascii="Times New Roman" w:hAnsi="Times New Roman"/>
          <w:bCs/>
          <w:sz w:val="24"/>
          <w:szCs w:val="24"/>
          <w:lang w:val="nl-NL"/>
        </w:rPr>
        <w:t xml:space="preserve"> </w:t>
      </w:r>
      <w:r w:rsidRPr="009930DC">
        <w:rPr>
          <w:rFonts w:ascii="Times New Roman" w:hAnsi="Times New Roman"/>
          <w:bCs/>
          <w:sz w:val="24"/>
          <w:szCs w:val="24"/>
          <w:lang w:val="nl-NL"/>
        </w:rPr>
        <w:t>Trên thị trường thứ cấp, tổng giá trị giao dịch Outright trong quý đạt khoảng 546.724 tỷ đồng và Repo khoảng 245.095 tỷ đồng, với thanh khoản bình quân/ngày của cả hai loại giao dịch đều tăng mạnh qua từng tháng. Trái phiếu kỳ hạn 10, 15 và 30 năm tiếp tục chiếm tỷ trọng lớn trong tổng giá trị giao dịch. Đáng chú ý, nhà đầu tư nước ngoài duy trì xu hướng mua ròng liên tục trong cả ba tháng đầu năm với tổng giá trị mua ròng đạt 2.312 tỷ đồng, phản ánh niềm tin vào triển vọng ổn định của thị trường TPCP Việt Nam trong bối cảnh lãi suất đang ở mức thấp.</w:t>
      </w:r>
    </w:p>
    <w:p w14:paraId="10A56E8B" w14:textId="358E7342" w:rsidR="00184D02" w:rsidRDefault="00184D02" w:rsidP="00184D02">
      <w:pPr>
        <w:shd w:val="clear" w:color="auto" w:fill="FFFFFF"/>
        <w:tabs>
          <w:tab w:val="left" w:pos="540"/>
        </w:tabs>
        <w:spacing w:before="120" w:after="0" w:line="240" w:lineRule="auto"/>
        <w:jc w:val="both"/>
        <w:rPr>
          <w:rFonts w:ascii="Times New Roman" w:hAnsi="Times New Roman"/>
          <w:bCs/>
          <w:sz w:val="24"/>
          <w:szCs w:val="24"/>
          <w:lang w:val="nl-NL"/>
        </w:rPr>
      </w:pPr>
      <w:r w:rsidRPr="00D629EB">
        <w:rPr>
          <w:rFonts w:ascii="Times New Roman" w:hAnsi="Times New Roman"/>
          <w:bCs/>
          <w:sz w:val="24"/>
          <w:szCs w:val="24"/>
          <w:lang w:val="nl-NL"/>
        </w:rPr>
        <w:t xml:space="preserve">Trong </w:t>
      </w:r>
      <w:r>
        <w:rPr>
          <w:rFonts w:ascii="Times New Roman" w:hAnsi="Times New Roman"/>
          <w:bCs/>
          <w:sz w:val="24"/>
          <w:szCs w:val="24"/>
          <w:lang w:val="nl-NL"/>
        </w:rPr>
        <w:t>Quý 1/2025</w:t>
      </w:r>
      <w:r w:rsidRPr="00D629EB">
        <w:rPr>
          <w:rFonts w:ascii="Times New Roman" w:hAnsi="Times New Roman"/>
          <w:bCs/>
          <w:sz w:val="24"/>
          <w:szCs w:val="24"/>
          <w:lang w:val="nl-NL"/>
        </w:rPr>
        <w:t xml:space="preserve">, thị trường trái phiếu doanh nghiệp ghi nhận những diễn biến trái chiều giữa hoạt động phát hành, mua lại và giao dịch thứ cấp. Về phát hành, tổng giá trị phát hành TPDN trong quý đạt khoảng 16,253 tỷ đồng, bao gồm 15,753 tỷ đồng phát hành ra công chúng và 500 tỷ đồng phát hành riêng lẻ. </w:t>
      </w:r>
      <w:r>
        <w:rPr>
          <w:rFonts w:ascii="Times New Roman" w:hAnsi="Times New Roman"/>
          <w:bCs/>
          <w:sz w:val="24"/>
          <w:szCs w:val="24"/>
          <w:lang w:val="nl-NL"/>
        </w:rPr>
        <w:t>K</w:t>
      </w:r>
      <w:r w:rsidRPr="00D629EB">
        <w:rPr>
          <w:rFonts w:ascii="Times New Roman" w:hAnsi="Times New Roman"/>
          <w:bCs/>
          <w:sz w:val="24"/>
          <w:szCs w:val="24"/>
          <w:lang w:val="nl-NL"/>
        </w:rPr>
        <w:t>hông có đợt phát hành nào trong tháng 2</w:t>
      </w:r>
      <w:r>
        <w:rPr>
          <w:rFonts w:ascii="Times New Roman" w:hAnsi="Times New Roman"/>
          <w:bCs/>
          <w:sz w:val="24"/>
          <w:szCs w:val="24"/>
          <w:lang w:val="nl-NL"/>
        </w:rPr>
        <w:t xml:space="preserve"> do trùng vào kỳ nghỉ Tết Nguyên Đán. </w:t>
      </w:r>
      <w:r w:rsidRPr="00D629EB">
        <w:rPr>
          <w:rFonts w:ascii="Times New Roman" w:hAnsi="Times New Roman"/>
          <w:bCs/>
          <w:sz w:val="24"/>
          <w:szCs w:val="24"/>
          <w:lang w:val="nl-NL"/>
        </w:rPr>
        <w:t>Hoạt động mua lại trước hạn tiếp tục duy trì, với tổng giá trị trong quý đạt 13,683 tỷ đồng, giảm mạnh so với cùng kỳ năm trước. Riêng trong tháng 2, giá trị mua lại chỉ đạt hơn 2,500 tỷ đồng – mức thấp nhất trong quý. Trong 9 tháng còn lại của năm 2025, dự kiến sẽ có khoảng 172,963 tỷ đồng TPDN đáo hạn, trong đó trái phiếu bất động sản tiếp tục chiếm tỷ trọng lớn (hơn 54%) – cho thấy áp lực đáo hạn vẫn còn lớn với nhóm ngành này.</w:t>
      </w:r>
      <w:r>
        <w:rPr>
          <w:rFonts w:ascii="Times New Roman" w:hAnsi="Times New Roman"/>
          <w:bCs/>
          <w:sz w:val="24"/>
          <w:szCs w:val="24"/>
          <w:lang w:val="nl-NL"/>
        </w:rPr>
        <w:t xml:space="preserve"> </w:t>
      </w:r>
      <w:r w:rsidRPr="00D629EB">
        <w:rPr>
          <w:rFonts w:ascii="Times New Roman" w:hAnsi="Times New Roman"/>
          <w:bCs/>
          <w:sz w:val="24"/>
          <w:szCs w:val="24"/>
          <w:lang w:val="nl-NL"/>
        </w:rPr>
        <w:t xml:space="preserve">Về thông tin bất thường, tháng 1 không ghi nhận trường hợp chậm trả, nhưng sang tháng 2 có 1 mã trái phiếu chậm trả lãi, và đến tháng 3 xuất hiện 5 mã chậm trả lãi (305 tỷ đồng) và 2 mã chậm trả gốc (355 tỷ đồng), phản ánh rủi ro </w:t>
      </w:r>
      <w:r>
        <w:rPr>
          <w:rFonts w:ascii="Times New Roman" w:hAnsi="Times New Roman"/>
          <w:bCs/>
          <w:sz w:val="24"/>
          <w:szCs w:val="24"/>
          <w:lang w:val="nl-NL"/>
        </w:rPr>
        <w:t>chậm trả</w:t>
      </w:r>
      <w:r w:rsidRPr="00D629EB">
        <w:rPr>
          <w:rFonts w:ascii="Times New Roman" w:hAnsi="Times New Roman"/>
          <w:bCs/>
          <w:sz w:val="24"/>
          <w:szCs w:val="24"/>
          <w:lang w:val="nl-NL"/>
        </w:rPr>
        <w:t xml:space="preserve"> vẫn hiện hữu tr</w:t>
      </w:r>
      <w:r>
        <w:rPr>
          <w:rFonts w:ascii="Times New Roman" w:hAnsi="Times New Roman"/>
          <w:bCs/>
          <w:sz w:val="24"/>
          <w:szCs w:val="24"/>
          <w:lang w:val="nl-NL"/>
        </w:rPr>
        <w:t>ên thị trường</w:t>
      </w:r>
      <w:r w:rsidRPr="00D629EB">
        <w:rPr>
          <w:rFonts w:ascii="Times New Roman" w:hAnsi="Times New Roman"/>
          <w:bCs/>
          <w:sz w:val="24"/>
          <w:szCs w:val="24"/>
          <w:lang w:val="nl-NL"/>
        </w:rPr>
        <w:t>.</w:t>
      </w:r>
      <w:r>
        <w:rPr>
          <w:rFonts w:ascii="Times New Roman" w:hAnsi="Times New Roman"/>
          <w:bCs/>
          <w:sz w:val="24"/>
          <w:szCs w:val="24"/>
          <w:lang w:val="nl-NL"/>
        </w:rPr>
        <w:t xml:space="preserve"> </w:t>
      </w:r>
      <w:r w:rsidRPr="00D629EB">
        <w:rPr>
          <w:rFonts w:ascii="Times New Roman" w:hAnsi="Times New Roman"/>
          <w:bCs/>
          <w:sz w:val="24"/>
          <w:szCs w:val="24"/>
          <w:lang w:val="nl-NL"/>
        </w:rPr>
        <w:t>Trên thị trường thứ cấp, hoạt động giao dịch trái phiếu riêng lẻ tăng trở lại trong tháng 3, đưa tổng giá trị giao dịch trong quý lên 274,477 tỷ đồng, với thanh khoản bình quân phiên đạt 4,714 tỷ đồng, giảm nhẹ so với quý trước nhưng vẫn cho thấy dòng tiền đang tìm kiếm cơ hội trên thị trường TPDN</w:t>
      </w:r>
      <w:r>
        <w:rPr>
          <w:rFonts w:ascii="Times New Roman" w:hAnsi="Times New Roman"/>
          <w:bCs/>
          <w:sz w:val="24"/>
          <w:szCs w:val="24"/>
          <w:lang w:val="nl-NL"/>
        </w:rPr>
        <w:t>.</w:t>
      </w:r>
    </w:p>
    <w:p w14:paraId="70E12DD2" w14:textId="5225D692" w:rsidR="001C4468" w:rsidRPr="00E93BC5" w:rsidRDefault="001C4468" w:rsidP="00184D02">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b/>
          <w:sz w:val="24"/>
          <w:szCs w:val="24"/>
          <w:lang w:val="nl-NL"/>
        </w:rPr>
        <w:t xml:space="preserve">IV. </w:t>
      </w:r>
      <w:r w:rsidR="008978F2" w:rsidRPr="00E93BC5">
        <w:rPr>
          <w:rFonts w:ascii="Times New Roman" w:hAnsi="Times New Roman"/>
          <w:b/>
          <w:sz w:val="24"/>
          <w:szCs w:val="24"/>
          <w:lang w:val="nl-NL"/>
        </w:rPr>
        <w:tab/>
      </w:r>
      <w:r w:rsidRPr="00E93BC5">
        <w:rPr>
          <w:rFonts w:ascii="Times New Roman" w:hAnsi="Times New Roman"/>
          <w:b/>
          <w:sz w:val="24"/>
          <w:szCs w:val="24"/>
          <w:lang w:val="nl-NL"/>
        </w:rPr>
        <w:t>C</w:t>
      </w:r>
      <w:r w:rsidR="00846481" w:rsidRPr="00E93BC5">
        <w:rPr>
          <w:rFonts w:ascii="Times New Roman" w:hAnsi="Times New Roman"/>
          <w:b/>
          <w:sz w:val="24"/>
          <w:szCs w:val="24"/>
          <w:lang w:val="nl-NL"/>
        </w:rPr>
        <w:t>HI TIẾT CÁC CHỈ TIÊU HOẠT ĐỘNG CỦA QUỸ</w:t>
      </w:r>
    </w:p>
    <w:p w14:paraId="09A7C01D" w14:textId="77777777" w:rsidR="001C4468" w:rsidRPr="00E93BC5" w:rsidRDefault="001C4468" w:rsidP="008978F2">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b/>
          <w:sz w:val="24"/>
          <w:szCs w:val="24"/>
          <w:lang w:val="nl-NL"/>
        </w:rPr>
      </w:pPr>
      <w:r w:rsidRPr="00E93BC5">
        <w:rPr>
          <w:rFonts w:ascii="Times New Roman" w:hAnsi="Times New Roman"/>
          <w:b/>
          <w:sz w:val="24"/>
          <w:szCs w:val="24"/>
          <w:lang w:val="nl-NL"/>
        </w:rPr>
        <w:t>Số liệu chi tiết hoạt động của Quỹ</w:t>
      </w:r>
    </w:p>
    <w:p w14:paraId="0381BE87" w14:textId="77777777" w:rsidR="008A4832" w:rsidRPr="00E93BC5" w:rsidRDefault="008A4832" w:rsidP="008A4832">
      <w:pPr>
        <w:pStyle w:val="ListParagraph"/>
        <w:shd w:val="clear" w:color="auto" w:fill="FFFFFF"/>
        <w:tabs>
          <w:tab w:val="left" w:pos="540"/>
        </w:tabs>
        <w:spacing w:before="120" w:after="0" w:line="240" w:lineRule="auto"/>
        <w:ind w:left="0"/>
        <w:jc w:val="both"/>
        <w:rPr>
          <w:rFonts w:ascii="Times New Roman" w:hAnsi="Times New Roman"/>
          <w:b/>
          <w:sz w:val="24"/>
          <w:szCs w:val="24"/>
          <w:lang w:val="nl-NL"/>
        </w:rPr>
      </w:pPr>
    </w:p>
    <w:tbl>
      <w:tblPr>
        <w:tblStyle w:val="TableGrid"/>
        <w:tblW w:w="0" w:type="auto"/>
        <w:tblLook w:val="04A0" w:firstRow="1" w:lastRow="0" w:firstColumn="1" w:lastColumn="0" w:noHBand="0" w:noVBand="1"/>
      </w:tblPr>
      <w:tblGrid>
        <w:gridCol w:w="2988"/>
        <w:gridCol w:w="2008"/>
        <w:gridCol w:w="2526"/>
        <w:gridCol w:w="2286"/>
      </w:tblGrid>
      <w:tr w:rsidR="008978F2" w:rsidRPr="00E70B8F" w14:paraId="737AFC9F" w14:textId="77777777" w:rsidTr="00184D02">
        <w:trPr>
          <w:trHeight w:val="631"/>
        </w:trPr>
        <w:tc>
          <w:tcPr>
            <w:tcW w:w="2988" w:type="dxa"/>
          </w:tcPr>
          <w:p w14:paraId="2376F80B" w14:textId="77777777" w:rsidR="008978F2" w:rsidRPr="00E93BC5" w:rsidRDefault="008978F2" w:rsidP="008978F2">
            <w:pPr>
              <w:tabs>
                <w:tab w:val="left" w:pos="540"/>
              </w:tabs>
              <w:spacing w:before="120"/>
              <w:jc w:val="center"/>
              <w:rPr>
                <w:rFonts w:ascii="Times New Roman" w:hAnsi="Times New Roman"/>
                <w:b/>
                <w:sz w:val="24"/>
                <w:szCs w:val="24"/>
                <w:lang w:val="nl-NL"/>
              </w:rPr>
            </w:pPr>
            <w:r w:rsidRPr="00E93BC5">
              <w:rPr>
                <w:rFonts w:ascii="Times New Roman" w:hAnsi="Times New Roman"/>
                <w:b/>
                <w:sz w:val="24"/>
                <w:szCs w:val="24"/>
                <w:lang w:val="nl-NL"/>
              </w:rPr>
              <w:t>Chỉ tiêu</w:t>
            </w:r>
          </w:p>
        </w:tc>
        <w:tc>
          <w:tcPr>
            <w:tcW w:w="2008" w:type="dxa"/>
          </w:tcPr>
          <w:p w14:paraId="26167DE9" w14:textId="77777777" w:rsidR="008978F2" w:rsidRPr="00E93BC5" w:rsidRDefault="008978F2" w:rsidP="00B3750F">
            <w:pPr>
              <w:tabs>
                <w:tab w:val="left" w:pos="540"/>
              </w:tabs>
              <w:spacing w:before="120"/>
              <w:jc w:val="both"/>
              <w:rPr>
                <w:rFonts w:ascii="Times New Roman" w:hAnsi="Times New Roman"/>
                <w:b/>
                <w:sz w:val="24"/>
                <w:szCs w:val="24"/>
                <w:lang w:val="nl-NL"/>
              </w:rPr>
            </w:pPr>
            <w:r w:rsidRPr="00E93BC5">
              <w:rPr>
                <w:rFonts w:ascii="Times New Roman" w:eastAsia="Times New Roman" w:hAnsi="Times New Roman"/>
                <w:sz w:val="24"/>
                <w:szCs w:val="24"/>
                <w:lang w:val="nl-NL"/>
              </w:rPr>
              <w:t>1 năm đến thời điểm báo cáo (%)</w:t>
            </w:r>
          </w:p>
        </w:tc>
        <w:tc>
          <w:tcPr>
            <w:tcW w:w="2526" w:type="dxa"/>
          </w:tcPr>
          <w:p w14:paraId="47E92B29" w14:textId="77777777" w:rsidR="008978F2" w:rsidRPr="00E93BC5" w:rsidRDefault="008978F2" w:rsidP="00B3750F">
            <w:pPr>
              <w:tabs>
                <w:tab w:val="left" w:pos="540"/>
              </w:tabs>
              <w:spacing w:before="120"/>
              <w:jc w:val="both"/>
              <w:rPr>
                <w:rFonts w:ascii="Times New Roman" w:hAnsi="Times New Roman"/>
                <w:b/>
                <w:sz w:val="24"/>
                <w:szCs w:val="24"/>
                <w:lang w:val="nl-NL"/>
              </w:rPr>
            </w:pPr>
            <w:r w:rsidRPr="00E93BC5">
              <w:rPr>
                <w:rFonts w:ascii="Times New Roman" w:eastAsia="Times New Roman" w:hAnsi="Times New Roman"/>
                <w:sz w:val="24"/>
                <w:szCs w:val="24"/>
                <w:lang w:val="nl-NL"/>
              </w:rPr>
              <w:t>3 năm gần nhất tính đến thời điểm báo cáo (%)</w:t>
            </w:r>
          </w:p>
        </w:tc>
        <w:tc>
          <w:tcPr>
            <w:tcW w:w="2286" w:type="dxa"/>
          </w:tcPr>
          <w:p w14:paraId="5729A3BA" w14:textId="77777777" w:rsidR="008978F2" w:rsidRPr="00E93BC5" w:rsidRDefault="008978F2" w:rsidP="00B3750F">
            <w:pPr>
              <w:tabs>
                <w:tab w:val="left" w:pos="540"/>
              </w:tabs>
              <w:spacing w:before="120"/>
              <w:jc w:val="both"/>
              <w:rPr>
                <w:rFonts w:ascii="Times New Roman" w:hAnsi="Times New Roman"/>
                <w:b/>
                <w:sz w:val="24"/>
                <w:szCs w:val="24"/>
                <w:lang w:val="nl-NL"/>
              </w:rPr>
            </w:pPr>
            <w:r w:rsidRPr="00E93BC5">
              <w:rPr>
                <w:rFonts w:ascii="Times New Roman" w:eastAsia="Times New Roman" w:hAnsi="Times New Roman"/>
                <w:sz w:val="24"/>
                <w:szCs w:val="24"/>
                <w:lang w:val="nl-NL"/>
              </w:rPr>
              <w:t>Từ khi thành lập đến thời điểm báo cáo (%)</w:t>
            </w:r>
          </w:p>
        </w:tc>
      </w:tr>
      <w:tr w:rsidR="001A5984" w:rsidRPr="00E93BC5" w14:paraId="3B808C2A" w14:textId="77777777" w:rsidTr="00184D02">
        <w:trPr>
          <w:trHeight w:val="170"/>
        </w:trPr>
        <w:tc>
          <w:tcPr>
            <w:tcW w:w="2988" w:type="dxa"/>
            <w:vAlign w:val="center"/>
          </w:tcPr>
          <w:p w14:paraId="503A48BC" w14:textId="77777777" w:rsidR="001A5984" w:rsidRPr="00E93BC5" w:rsidRDefault="001A5984" w:rsidP="00184D02">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A</w:t>
            </w:r>
          </w:p>
        </w:tc>
        <w:tc>
          <w:tcPr>
            <w:tcW w:w="2008" w:type="dxa"/>
            <w:vAlign w:val="center"/>
          </w:tcPr>
          <w:p w14:paraId="67054091" w14:textId="77777777" w:rsidR="001A5984" w:rsidRPr="00E93BC5" w:rsidRDefault="001A5984" w:rsidP="00184D02">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1</w:t>
            </w:r>
          </w:p>
        </w:tc>
        <w:tc>
          <w:tcPr>
            <w:tcW w:w="2526" w:type="dxa"/>
            <w:vAlign w:val="center"/>
          </w:tcPr>
          <w:p w14:paraId="4F8AE692" w14:textId="77777777" w:rsidR="001A5984" w:rsidRPr="00E93BC5" w:rsidRDefault="001A5984" w:rsidP="00184D02">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2</w:t>
            </w:r>
          </w:p>
        </w:tc>
        <w:tc>
          <w:tcPr>
            <w:tcW w:w="2286" w:type="dxa"/>
            <w:vAlign w:val="center"/>
          </w:tcPr>
          <w:p w14:paraId="1EBC5E76" w14:textId="77777777" w:rsidR="001A5984" w:rsidRPr="00E93BC5" w:rsidRDefault="001A5984" w:rsidP="00184D02">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3</w:t>
            </w:r>
          </w:p>
        </w:tc>
      </w:tr>
      <w:tr w:rsidR="00A1471B" w:rsidRPr="00E93BC5" w14:paraId="47AA22B4" w14:textId="77777777" w:rsidTr="00184D02">
        <w:trPr>
          <w:trHeight w:val="631"/>
        </w:trPr>
        <w:tc>
          <w:tcPr>
            <w:tcW w:w="2988" w:type="dxa"/>
            <w:vAlign w:val="center"/>
          </w:tcPr>
          <w:p w14:paraId="4D8E030B" w14:textId="77777777" w:rsidR="00A1471B" w:rsidRPr="00E93BC5" w:rsidRDefault="00A1471B" w:rsidP="00184D02">
            <w:pPr>
              <w:tabs>
                <w:tab w:val="left" w:pos="540"/>
              </w:tabs>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Tăng trưởng thu nhập/1 đơn vị CCQ</w:t>
            </w:r>
          </w:p>
        </w:tc>
        <w:tc>
          <w:tcPr>
            <w:tcW w:w="2008" w:type="dxa"/>
            <w:vAlign w:val="center"/>
          </w:tcPr>
          <w:p w14:paraId="5C17AA64" w14:textId="3333DAE4" w:rsidR="00A1471B" w:rsidRPr="00E93BC5" w:rsidRDefault="00EA2E8D" w:rsidP="00184D02">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5,42</w:t>
            </w:r>
          </w:p>
        </w:tc>
        <w:tc>
          <w:tcPr>
            <w:tcW w:w="2526" w:type="dxa"/>
            <w:vAlign w:val="center"/>
          </w:tcPr>
          <w:p w14:paraId="12F09FAA" w14:textId="2EA7BC12" w:rsidR="00A1471B" w:rsidRPr="00E93BC5" w:rsidRDefault="00EA2E8D" w:rsidP="00184D02">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5,50</w:t>
            </w:r>
          </w:p>
        </w:tc>
        <w:tc>
          <w:tcPr>
            <w:tcW w:w="2286" w:type="dxa"/>
            <w:vAlign w:val="center"/>
          </w:tcPr>
          <w:p w14:paraId="3429EE5D" w14:textId="34786B78" w:rsidR="000D3844" w:rsidRPr="00E93BC5" w:rsidRDefault="007F3703" w:rsidP="00184D02">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7,</w:t>
            </w:r>
            <w:r w:rsidR="00EA2E8D">
              <w:rPr>
                <w:rFonts w:ascii="Times New Roman" w:eastAsia="Times New Roman" w:hAnsi="Times New Roman"/>
                <w:sz w:val="24"/>
                <w:szCs w:val="24"/>
                <w:lang w:val="nl-NL"/>
              </w:rPr>
              <w:t>46</w:t>
            </w:r>
          </w:p>
        </w:tc>
      </w:tr>
      <w:tr w:rsidR="00A1471B" w:rsidRPr="00E93BC5" w14:paraId="71417A3E" w14:textId="77777777" w:rsidTr="00184D02">
        <w:trPr>
          <w:trHeight w:val="631"/>
        </w:trPr>
        <w:tc>
          <w:tcPr>
            <w:tcW w:w="2988" w:type="dxa"/>
            <w:vAlign w:val="center"/>
          </w:tcPr>
          <w:p w14:paraId="650220B7" w14:textId="77777777" w:rsidR="00A1471B" w:rsidRPr="00E93BC5" w:rsidRDefault="00A1471B" w:rsidP="00184D02">
            <w:pPr>
              <w:tabs>
                <w:tab w:val="left" w:pos="540"/>
              </w:tabs>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Tăng trưởng Vốn/1 đơn vị CCQ</w:t>
            </w:r>
          </w:p>
        </w:tc>
        <w:tc>
          <w:tcPr>
            <w:tcW w:w="2008" w:type="dxa"/>
            <w:vAlign w:val="center"/>
          </w:tcPr>
          <w:p w14:paraId="1DADF7B5" w14:textId="77777777" w:rsidR="00A1471B" w:rsidRPr="00E93BC5" w:rsidRDefault="00EA2990" w:rsidP="00184D02">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0,00</w:t>
            </w:r>
          </w:p>
        </w:tc>
        <w:tc>
          <w:tcPr>
            <w:tcW w:w="2526" w:type="dxa"/>
            <w:vAlign w:val="center"/>
          </w:tcPr>
          <w:p w14:paraId="36048B75" w14:textId="1A2FBF9A" w:rsidR="00A1471B" w:rsidRPr="00E93BC5" w:rsidRDefault="0026726B" w:rsidP="00184D02">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0,00</w:t>
            </w:r>
          </w:p>
        </w:tc>
        <w:tc>
          <w:tcPr>
            <w:tcW w:w="2286" w:type="dxa"/>
            <w:vAlign w:val="center"/>
          </w:tcPr>
          <w:p w14:paraId="6766E3E3" w14:textId="77777777" w:rsidR="00A1471B" w:rsidRPr="00E93BC5" w:rsidRDefault="00A1471B" w:rsidP="00184D02">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0,00</w:t>
            </w:r>
          </w:p>
        </w:tc>
      </w:tr>
      <w:tr w:rsidR="00EA2E8D" w:rsidRPr="00E93BC5" w14:paraId="5902C92F" w14:textId="77777777" w:rsidTr="00184D02">
        <w:trPr>
          <w:trHeight w:val="631"/>
        </w:trPr>
        <w:tc>
          <w:tcPr>
            <w:tcW w:w="2988" w:type="dxa"/>
            <w:vAlign w:val="center"/>
          </w:tcPr>
          <w:p w14:paraId="77FB833F" w14:textId="77777777" w:rsidR="00EA2E8D" w:rsidRPr="00E93BC5" w:rsidRDefault="00EA2E8D" w:rsidP="00184D02">
            <w:pPr>
              <w:tabs>
                <w:tab w:val="left" w:pos="540"/>
              </w:tabs>
              <w:jc w:val="both"/>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Tổng tăng trưởng/1 đơn vị CCQ</w:t>
            </w:r>
          </w:p>
        </w:tc>
        <w:tc>
          <w:tcPr>
            <w:tcW w:w="2008" w:type="dxa"/>
            <w:vAlign w:val="center"/>
          </w:tcPr>
          <w:p w14:paraId="06E7094B" w14:textId="5215FE4F" w:rsidR="00EA2E8D" w:rsidRPr="00EA2E8D" w:rsidRDefault="00EA2E8D" w:rsidP="00184D02">
            <w:pPr>
              <w:tabs>
                <w:tab w:val="left" w:pos="540"/>
              </w:tabs>
              <w:jc w:val="center"/>
              <w:rPr>
                <w:rFonts w:ascii="Times New Roman" w:eastAsia="Times New Roman" w:hAnsi="Times New Roman"/>
                <w:b/>
                <w:bCs/>
                <w:sz w:val="24"/>
                <w:szCs w:val="24"/>
                <w:lang w:val="nl-NL"/>
              </w:rPr>
            </w:pPr>
            <w:r w:rsidRPr="00EA2E8D">
              <w:rPr>
                <w:rFonts w:ascii="Times New Roman" w:eastAsia="Times New Roman" w:hAnsi="Times New Roman"/>
                <w:b/>
                <w:bCs/>
                <w:sz w:val="24"/>
                <w:szCs w:val="24"/>
                <w:lang w:val="nl-NL"/>
              </w:rPr>
              <w:t>5,42</w:t>
            </w:r>
          </w:p>
        </w:tc>
        <w:tc>
          <w:tcPr>
            <w:tcW w:w="2526" w:type="dxa"/>
            <w:vAlign w:val="center"/>
          </w:tcPr>
          <w:p w14:paraId="685C2A08" w14:textId="4E4EC5F4" w:rsidR="00EA2E8D" w:rsidRPr="00EA2E8D" w:rsidRDefault="00EA2E8D" w:rsidP="00184D02">
            <w:pPr>
              <w:tabs>
                <w:tab w:val="left" w:pos="540"/>
              </w:tabs>
              <w:jc w:val="center"/>
              <w:rPr>
                <w:rFonts w:ascii="Times New Roman" w:eastAsia="Times New Roman" w:hAnsi="Times New Roman"/>
                <w:b/>
                <w:bCs/>
                <w:sz w:val="24"/>
                <w:szCs w:val="24"/>
                <w:lang w:val="nl-NL"/>
              </w:rPr>
            </w:pPr>
            <w:r w:rsidRPr="00EA2E8D">
              <w:rPr>
                <w:rFonts w:ascii="Times New Roman" w:eastAsia="Times New Roman" w:hAnsi="Times New Roman"/>
                <w:b/>
                <w:bCs/>
                <w:sz w:val="24"/>
                <w:szCs w:val="24"/>
                <w:lang w:val="nl-NL"/>
              </w:rPr>
              <w:t>5,50</w:t>
            </w:r>
          </w:p>
        </w:tc>
        <w:tc>
          <w:tcPr>
            <w:tcW w:w="2286" w:type="dxa"/>
            <w:vAlign w:val="center"/>
          </w:tcPr>
          <w:p w14:paraId="32C5600E" w14:textId="6EB11F85" w:rsidR="00EA2E8D" w:rsidRPr="00EA2E8D" w:rsidRDefault="00EA2E8D" w:rsidP="00184D02">
            <w:pPr>
              <w:tabs>
                <w:tab w:val="left" w:pos="540"/>
              </w:tabs>
              <w:jc w:val="center"/>
              <w:rPr>
                <w:rFonts w:ascii="Times New Roman" w:eastAsia="Times New Roman" w:hAnsi="Times New Roman"/>
                <w:b/>
                <w:bCs/>
                <w:sz w:val="24"/>
                <w:szCs w:val="24"/>
                <w:lang w:val="nl-NL"/>
              </w:rPr>
            </w:pPr>
            <w:r w:rsidRPr="00EA2E8D">
              <w:rPr>
                <w:rFonts w:ascii="Times New Roman" w:eastAsia="Times New Roman" w:hAnsi="Times New Roman"/>
                <w:b/>
                <w:bCs/>
                <w:sz w:val="24"/>
                <w:szCs w:val="24"/>
                <w:lang w:val="nl-NL"/>
              </w:rPr>
              <w:t>7,46</w:t>
            </w:r>
          </w:p>
        </w:tc>
      </w:tr>
      <w:tr w:rsidR="00A1471B" w:rsidRPr="00E93BC5" w14:paraId="1E074C94" w14:textId="77777777" w:rsidTr="00184D02">
        <w:trPr>
          <w:trHeight w:val="641"/>
        </w:trPr>
        <w:tc>
          <w:tcPr>
            <w:tcW w:w="2988" w:type="dxa"/>
            <w:vAlign w:val="center"/>
          </w:tcPr>
          <w:p w14:paraId="5AECF095" w14:textId="77777777" w:rsidR="00A1471B" w:rsidRPr="00E93BC5" w:rsidRDefault="00A1471B" w:rsidP="00184D02">
            <w:pPr>
              <w:tabs>
                <w:tab w:val="left" w:pos="540"/>
              </w:tabs>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 xml:space="preserve">Tăng trưởng hàng năm </w:t>
            </w:r>
            <w:r w:rsidR="00DE2CF5" w:rsidRPr="00E93BC5">
              <w:rPr>
                <w:rFonts w:ascii="Times New Roman" w:eastAsia="Times New Roman" w:hAnsi="Times New Roman"/>
                <w:sz w:val="24"/>
                <w:szCs w:val="24"/>
                <w:lang w:val="nl-NL"/>
              </w:rPr>
              <w:t>NAV</w:t>
            </w:r>
            <w:r w:rsidRPr="00E93BC5">
              <w:rPr>
                <w:rFonts w:ascii="Times New Roman" w:eastAsia="Times New Roman" w:hAnsi="Times New Roman"/>
                <w:sz w:val="24"/>
                <w:szCs w:val="24"/>
                <w:lang w:val="nl-NL"/>
              </w:rPr>
              <w:t>/1 đơn vị CCQ</w:t>
            </w:r>
          </w:p>
        </w:tc>
        <w:tc>
          <w:tcPr>
            <w:tcW w:w="2008" w:type="dxa"/>
            <w:vAlign w:val="center"/>
          </w:tcPr>
          <w:p w14:paraId="4ED65C2B" w14:textId="7230B3F3" w:rsidR="00A1471B" w:rsidRPr="00E93BC5" w:rsidRDefault="00EA2E8D" w:rsidP="00184D02">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5,42</w:t>
            </w:r>
          </w:p>
        </w:tc>
        <w:tc>
          <w:tcPr>
            <w:tcW w:w="2526" w:type="dxa"/>
            <w:vAlign w:val="center"/>
          </w:tcPr>
          <w:p w14:paraId="109AC7DF" w14:textId="4BF5B87D" w:rsidR="00A1471B" w:rsidRPr="00E93BC5" w:rsidRDefault="00EA2E8D" w:rsidP="00184D02">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5,51</w:t>
            </w:r>
          </w:p>
        </w:tc>
        <w:tc>
          <w:tcPr>
            <w:tcW w:w="2286" w:type="dxa"/>
            <w:vAlign w:val="center"/>
          </w:tcPr>
          <w:p w14:paraId="1CF27F38" w14:textId="55061423" w:rsidR="00A1471B" w:rsidRPr="00E93BC5" w:rsidRDefault="0026726B" w:rsidP="00184D02">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4,</w:t>
            </w:r>
            <w:r w:rsidR="00EA2E8D">
              <w:rPr>
                <w:rFonts w:ascii="Times New Roman" w:eastAsia="Times New Roman" w:hAnsi="Times New Roman"/>
                <w:sz w:val="24"/>
                <w:szCs w:val="24"/>
                <w:lang w:val="nl-NL"/>
              </w:rPr>
              <w:t>87</w:t>
            </w:r>
          </w:p>
        </w:tc>
      </w:tr>
      <w:tr w:rsidR="008978F2" w:rsidRPr="00E93BC5" w14:paraId="4CA7923F" w14:textId="77777777" w:rsidTr="00184D02">
        <w:trPr>
          <w:trHeight w:val="631"/>
        </w:trPr>
        <w:tc>
          <w:tcPr>
            <w:tcW w:w="2988" w:type="dxa"/>
            <w:vAlign w:val="center"/>
          </w:tcPr>
          <w:p w14:paraId="19119D50" w14:textId="77777777" w:rsidR="008978F2" w:rsidRPr="00E93BC5" w:rsidRDefault="008978F2" w:rsidP="00184D02">
            <w:pPr>
              <w:tabs>
                <w:tab w:val="left" w:pos="540"/>
              </w:tabs>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Tăng trưởng của danh mục cơ cấu</w:t>
            </w:r>
          </w:p>
        </w:tc>
        <w:tc>
          <w:tcPr>
            <w:tcW w:w="2008" w:type="dxa"/>
            <w:vAlign w:val="center"/>
          </w:tcPr>
          <w:p w14:paraId="53CCCDD8" w14:textId="77777777" w:rsidR="008978F2" w:rsidRPr="00E93BC5" w:rsidRDefault="008978F2" w:rsidP="00184D02">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(1)</w:t>
            </w:r>
          </w:p>
        </w:tc>
        <w:tc>
          <w:tcPr>
            <w:tcW w:w="2526" w:type="dxa"/>
            <w:vAlign w:val="center"/>
          </w:tcPr>
          <w:p w14:paraId="7301B1C1" w14:textId="77777777" w:rsidR="008978F2" w:rsidRPr="00E93BC5" w:rsidRDefault="008978F2" w:rsidP="00184D02">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(1)</w:t>
            </w:r>
          </w:p>
        </w:tc>
        <w:tc>
          <w:tcPr>
            <w:tcW w:w="2286" w:type="dxa"/>
            <w:vAlign w:val="center"/>
          </w:tcPr>
          <w:p w14:paraId="230D3499" w14:textId="77777777" w:rsidR="008978F2" w:rsidRPr="00E93BC5" w:rsidRDefault="008978F2" w:rsidP="00184D02">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(1)</w:t>
            </w:r>
          </w:p>
        </w:tc>
      </w:tr>
      <w:tr w:rsidR="008978F2" w:rsidRPr="00E93BC5" w14:paraId="5FA9276C" w14:textId="77777777" w:rsidTr="00184D02">
        <w:trPr>
          <w:trHeight w:val="631"/>
        </w:trPr>
        <w:tc>
          <w:tcPr>
            <w:tcW w:w="2988" w:type="dxa"/>
            <w:vAlign w:val="center"/>
          </w:tcPr>
          <w:p w14:paraId="53A24B5C" w14:textId="77777777" w:rsidR="008978F2" w:rsidRPr="00E93BC5" w:rsidRDefault="008978F2" w:rsidP="00184D02">
            <w:pPr>
              <w:tabs>
                <w:tab w:val="left" w:pos="540"/>
              </w:tabs>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lastRenderedPageBreak/>
              <w:t>Thay đổi giá trị thị trường của 1 đơn vị CCQ</w:t>
            </w:r>
          </w:p>
        </w:tc>
        <w:tc>
          <w:tcPr>
            <w:tcW w:w="2008" w:type="dxa"/>
            <w:vAlign w:val="center"/>
          </w:tcPr>
          <w:p w14:paraId="1431E569" w14:textId="77777777" w:rsidR="008978F2" w:rsidRPr="00E93BC5" w:rsidRDefault="008978F2" w:rsidP="00184D02">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(2)</w:t>
            </w:r>
          </w:p>
        </w:tc>
        <w:tc>
          <w:tcPr>
            <w:tcW w:w="2526" w:type="dxa"/>
            <w:vAlign w:val="center"/>
          </w:tcPr>
          <w:p w14:paraId="593AB094" w14:textId="77777777" w:rsidR="008978F2" w:rsidRPr="00E93BC5" w:rsidRDefault="008978F2" w:rsidP="00184D02">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(2)</w:t>
            </w:r>
          </w:p>
        </w:tc>
        <w:tc>
          <w:tcPr>
            <w:tcW w:w="2286" w:type="dxa"/>
            <w:vAlign w:val="center"/>
          </w:tcPr>
          <w:p w14:paraId="3B9509E3" w14:textId="77777777" w:rsidR="008978F2" w:rsidRPr="00E93BC5" w:rsidRDefault="008978F2" w:rsidP="00184D02">
            <w:pPr>
              <w:tabs>
                <w:tab w:val="left" w:pos="540"/>
              </w:tabs>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N/A (2)</w:t>
            </w:r>
          </w:p>
        </w:tc>
      </w:tr>
    </w:tbl>
    <w:p w14:paraId="69EE7079" w14:textId="77777777" w:rsidR="00920E4F" w:rsidRPr="00E93BC5" w:rsidRDefault="00920E4F" w:rsidP="00B3750F">
      <w:pPr>
        <w:shd w:val="clear" w:color="auto" w:fill="FFFFFF"/>
        <w:tabs>
          <w:tab w:val="left" w:pos="540"/>
        </w:tabs>
        <w:spacing w:before="120" w:after="0" w:line="240" w:lineRule="auto"/>
        <w:jc w:val="both"/>
        <w:rPr>
          <w:rFonts w:ascii="Times New Roman" w:hAnsi="Times New Roman"/>
          <w:b/>
          <w:i/>
          <w:sz w:val="24"/>
          <w:szCs w:val="24"/>
          <w:u w:val="single"/>
          <w:lang w:val="nl-NL"/>
        </w:rPr>
      </w:pPr>
    </w:p>
    <w:p w14:paraId="775A51E4" w14:textId="2E00A609" w:rsidR="00D034B8" w:rsidRPr="00E93BC5" w:rsidRDefault="00D034B8" w:rsidP="00B3750F">
      <w:pPr>
        <w:shd w:val="clear" w:color="auto" w:fill="FFFFFF"/>
        <w:tabs>
          <w:tab w:val="left" w:pos="540"/>
        </w:tabs>
        <w:spacing w:before="120" w:after="0" w:line="240" w:lineRule="auto"/>
        <w:jc w:val="both"/>
        <w:rPr>
          <w:rFonts w:ascii="Times New Roman" w:hAnsi="Times New Roman"/>
          <w:b/>
          <w:i/>
          <w:sz w:val="24"/>
          <w:szCs w:val="24"/>
          <w:u w:val="single"/>
          <w:lang w:val="nl-NL"/>
        </w:rPr>
      </w:pPr>
      <w:r w:rsidRPr="00E93BC5">
        <w:rPr>
          <w:rFonts w:ascii="Times New Roman" w:hAnsi="Times New Roman"/>
          <w:b/>
          <w:i/>
          <w:sz w:val="24"/>
          <w:szCs w:val="24"/>
          <w:u w:val="single"/>
          <w:lang w:val="nl-NL"/>
        </w:rPr>
        <w:t xml:space="preserve">Ghi chú: </w:t>
      </w:r>
    </w:p>
    <w:p w14:paraId="4EBF1746" w14:textId="74A96912" w:rsidR="00D034B8" w:rsidRPr="00E93BC5" w:rsidRDefault="009671DB" w:rsidP="00EC3E69">
      <w:pPr>
        <w:shd w:val="clear" w:color="auto" w:fill="FFFFFF"/>
        <w:tabs>
          <w:tab w:val="left" w:pos="1080"/>
        </w:tabs>
        <w:spacing w:before="120" w:after="0" w:line="240" w:lineRule="auto"/>
        <w:ind w:left="1170" w:hanging="1170"/>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Pr="00E93BC5">
        <w:rPr>
          <w:rFonts w:ascii="Times New Roman" w:hAnsi="Times New Roman"/>
          <w:i/>
          <w:sz w:val="24"/>
          <w:szCs w:val="24"/>
          <w:lang w:val="nl-NL"/>
        </w:rPr>
        <w:t>(1)</w:t>
      </w:r>
      <w:r w:rsidR="00D034B8" w:rsidRPr="00E93BC5">
        <w:rPr>
          <w:rFonts w:ascii="Times New Roman" w:hAnsi="Times New Roman"/>
          <w:i/>
          <w:sz w:val="24"/>
          <w:szCs w:val="24"/>
          <w:lang w:val="nl-NL"/>
        </w:rPr>
        <w:t xml:space="preserve">: </w:t>
      </w:r>
      <w:r w:rsidR="00D034B8" w:rsidRPr="00E93BC5">
        <w:rPr>
          <w:rFonts w:ascii="Times New Roman" w:hAnsi="Times New Roman"/>
          <w:i/>
          <w:sz w:val="24"/>
          <w:szCs w:val="24"/>
          <w:lang w:val="nl-NL"/>
        </w:rPr>
        <w:tab/>
      </w:r>
      <w:r w:rsidR="00686487" w:rsidRPr="00E93BC5">
        <w:rPr>
          <w:rFonts w:ascii="Times New Roman" w:hAnsi="Times New Roman"/>
          <w:i/>
          <w:sz w:val="24"/>
          <w:szCs w:val="24"/>
          <w:lang w:val="nl-NL"/>
        </w:rPr>
        <w:t>Quỹ không sử dụng danh mục cơ cấu.</w:t>
      </w:r>
    </w:p>
    <w:p w14:paraId="71D9E6AC" w14:textId="31E0EE8D" w:rsidR="00F54FAC" w:rsidRPr="00E93BC5" w:rsidRDefault="009671DB" w:rsidP="00F54FAC">
      <w:pPr>
        <w:shd w:val="clear" w:color="auto" w:fill="FFFFFF"/>
        <w:tabs>
          <w:tab w:val="left" w:pos="540"/>
          <w:tab w:val="left" w:pos="1080"/>
        </w:tabs>
        <w:spacing w:before="120" w:after="0" w:line="240" w:lineRule="auto"/>
        <w:ind w:left="1170" w:hanging="1170"/>
        <w:jc w:val="both"/>
        <w:rPr>
          <w:rFonts w:ascii="Times New Roman" w:hAnsi="Times New Roman"/>
          <w:i/>
          <w:sz w:val="24"/>
          <w:szCs w:val="24"/>
          <w:lang w:val="nl-NL"/>
        </w:rPr>
      </w:pPr>
      <w:r w:rsidRPr="00E93BC5">
        <w:rPr>
          <w:rFonts w:ascii="Times New Roman" w:hAnsi="Times New Roman"/>
          <w:i/>
          <w:sz w:val="24"/>
          <w:szCs w:val="24"/>
          <w:lang w:val="nl-NL"/>
        </w:rPr>
        <w:t>N/A</w:t>
      </w:r>
      <w:r w:rsidR="00CC754B" w:rsidRPr="00E93BC5">
        <w:rPr>
          <w:rFonts w:ascii="Times New Roman" w:hAnsi="Times New Roman"/>
          <w:i/>
          <w:sz w:val="24"/>
          <w:szCs w:val="24"/>
          <w:lang w:val="nl-NL"/>
        </w:rPr>
        <w:t xml:space="preserve"> </w:t>
      </w:r>
      <w:r w:rsidRPr="00E93BC5">
        <w:rPr>
          <w:rFonts w:ascii="Times New Roman" w:hAnsi="Times New Roman"/>
          <w:i/>
          <w:sz w:val="24"/>
          <w:szCs w:val="24"/>
          <w:lang w:val="nl-NL"/>
        </w:rPr>
        <w:t>(2):</w:t>
      </w:r>
      <w:r w:rsidRPr="00E93BC5">
        <w:rPr>
          <w:rFonts w:ascii="Times New Roman" w:hAnsi="Times New Roman"/>
          <w:i/>
          <w:sz w:val="24"/>
          <w:szCs w:val="24"/>
          <w:lang w:val="nl-NL"/>
        </w:rPr>
        <w:tab/>
      </w:r>
      <w:r w:rsidR="00686487" w:rsidRPr="00E93BC5">
        <w:rPr>
          <w:rFonts w:ascii="Times New Roman" w:hAnsi="Times New Roman"/>
          <w:i/>
          <w:sz w:val="24"/>
          <w:szCs w:val="24"/>
          <w:lang w:val="nl-NL"/>
        </w:rPr>
        <w:t>Chứng chỉ quỹ của Quỹ không được niêm yết trên thị trường chứng khoán.</w:t>
      </w:r>
    </w:p>
    <w:p w14:paraId="6102235B" w14:textId="7003F046" w:rsidR="008F48C6" w:rsidRDefault="001C4468"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 xml:space="preserve">● Biểu đồ tăng trưởng </w:t>
      </w:r>
      <w:r w:rsidR="00C703B2" w:rsidRPr="00E93BC5">
        <w:rPr>
          <w:rFonts w:ascii="Times New Roman" w:hAnsi="Times New Roman"/>
          <w:sz w:val="24"/>
          <w:szCs w:val="24"/>
          <w:lang w:val="nl-NL"/>
        </w:rPr>
        <w:t xml:space="preserve">NAV/CCQ </w:t>
      </w:r>
      <w:r w:rsidRPr="00E93BC5">
        <w:rPr>
          <w:rFonts w:ascii="Times New Roman" w:hAnsi="Times New Roman"/>
          <w:sz w:val="24"/>
          <w:szCs w:val="24"/>
          <w:lang w:val="nl-NL"/>
        </w:rPr>
        <w:t xml:space="preserve"> của Quỹ trong </w:t>
      </w:r>
      <w:r w:rsidR="00E46772" w:rsidRPr="00E93BC5">
        <w:rPr>
          <w:rFonts w:ascii="Times New Roman" w:hAnsi="Times New Roman"/>
          <w:sz w:val="24"/>
          <w:szCs w:val="24"/>
          <w:lang w:val="nl-NL"/>
        </w:rPr>
        <w:t>3 tháng</w:t>
      </w:r>
      <w:r w:rsidRPr="00E93BC5">
        <w:rPr>
          <w:rFonts w:ascii="Times New Roman" w:hAnsi="Times New Roman"/>
          <w:sz w:val="24"/>
          <w:szCs w:val="24"/>
          <w:lang w:val="nl-NL"/>
        </w:rPr>
        <w:t xml:space="preserve"> gần nhấ</w:t>
      </w:r>
      <w:r w:rsidR="004F5C05" w:rsidRPr="00E93BC5">
        <w:rPr>
          <w:rFonts w:ascii="Times New Roman" w:hAnsi="Times New Roman"/>
          <w:sz w:val="24"/>
          <w:szCs w:val="24"/>
          <w:lang w:val="nl-NL"/>
        </w:rPr>
        <w:t>t:</w:t>
      </w:r>
    </w:p>
    <w:p w14:paraId="5BFB6A82" w14:textId="3D0832EC" w:rsidR="003D48DA" w:rsidRPr="00E93BC5" w:rsidRDefault="00EA2E8D" w:rsidP="00B3750F">
      <w:pPr>
        <w:shd w:val="clear" w:color="auto" w:fill="FFFFFF"/>
        <w:tabs>
          <w:tab w:val="left" w:pos="540"/>
        </w:tabs>
        <w:spacing w:before="120" w:after="0" w:line="240" w:lineRule="auto"/>
        <w:jc w:val="both"/>
        <w:rPr>
          <w:rFonts w:ascii="Times New Roman" w:hAnsi="Times New Roman"/>
          <w:sz w:val="24"/>
          <w:szCs w:val="24"/>
          <w:lang w:val="nl-NL"/>
        </w:rPr>
      </w:pPr>
      <w:r>
        <w:rPr>
          <w:noProof/>
        </w:rPr>
        <w:drawing>
          <wp:inline distT="0" distB="0" distL="0" distR="0" wp14:anchorId="0F2DAB38" wp14:editId="113F8E56">
            <wp:extent cx="6286500" cy="2967990"/>
            <wp:effectExtent l="0" t="0" r="0" b="3810"/>
            <wp:docPr id="1449662032" name="Chart 1">
              <a:extLst xmlns:a="http://schemas.openxmlformats.org/drawingml/2006/main">
                <a:ext uri="{FF2B5EF4-FFF2-40B4-BE49-F238E27FC236}">
                  <a16:creationId xmlns:a16="http://schemas.microsoft.com/office/drawing/2014/main" id="{48AF34A5-2F36-4DFA-9772-D255510B5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47275C" w14:textId="190929CE" w:rsidR="001C4468" w:rsidRPr="00FC60EB" w:rsidRDefault="001C4468" w:rsidP="00B3750F">
      <w:pPr>
        <w:shd w:val="clear" w:color="auto" w:fill="FFFFFF"/>
        <w:tabs>
          <w:tab w:val="left" w:pos="540"/>
        </w:tabs>
        <w:spacing w:before="120" w:after="0" w:line="240" w:lineRule="auto"/>
        <w:jc w:val="both"/>
        <w:rPr>
          <w:rFonts w:ascii="Times New Roman" w:hAnsi="Times New Roman"/>
          <w:sz w:val="24"/>
          <w:szCs w:val="24"/>
          <w:lang w:val="nl-NL"/>
        </w:rPr>
      </w:pPr>
      <w:r w:rsidRPr="00FC60EB">
        <w:rPr>
          <w:rFonts w:ascii="Times New Roman" w:hAnsi="Times New Roman"/>
          <w:sz w:val="24"/>
          <w:szCs w:val="24"/>
          <w:lang w:val="nl-NL"/>
        </w:rPr>
        <w:t>● Thay đổi giá trị tài sả</w:t>
      </w:r>
      <w:r w:rsidR="004F5C05" w:rsidRPr="00FC60EB">
        <w:rPr>
          <w:rFonts w:ascii="Times New Roman" w:hAnsi="Times New Roman"/>
          <w:sz w:val="24"/>
          <w:szCs w:val="24"/>
          <w:lang w:val="nl-NL"/>
        </w:rPr>
        <w:t>n ròng:</w:t>
      </w:r>
    </w:p>
    <w:p w14:paraId="0F959536" w14:textId="77777777" w:rsidR="008A4BAD" w:rsidRPr="00E93BC5" w:rsidRDefault="008A4BAD" w:rsidP="00B3750F">
      <w:pPr>
        <w:shd w:val="clear" w:color="auto" w:fill="FFFFFF"/>
        <w:tabs>
          <w:tab w:val="left" w:pos="540"/>
        </w:tabs>
        <w:spacing w:before="120" w:after="0" w:line="240" w:lineRule="auto"/>
        <w:jc w:val="both"/>
        <w:rPr>
          <w:rFonts w:ascii="Times New Roman" w:hAnsi="Times New Roman"/>
          <w:sz w:val="24"/>
          <w:szCs w:val="24"/>
          <w:lang w:val="nl-NL"/>
        </w:rPr>
      </w:pPr>
    </w:p>
    <w:tbl>
      <w:tblPr>
        <w:tblW w:w="98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621"/>
        <w:gridCol w:w="1810"/>
        <w:gridCol w:w="1722"/>
        <w:gridCol w:w="1718"/>
      </w:tblGrid>
      <w:tr w:rsidR="001C4468" w:rsidRPr="00E93BC5" w14:paraId="0DF92A85" w14:textId="77777777" w:rsidTr="00486F0E">
        <w:trPr>
          <w:trHeight w:val="661"/>
        </w:trPr>
        <w:tc>
          <w:tcPr>
            <w:tcW w:w="2341" w:type="pct"/>
            <w:shd w:val="clear" w:color="auto" w:fill="auto"/>
          </w:tcPr>
          <w:p w14:paraId="61BDCFE8" w14:textId="77777777" w:rsidR="001C4468" w:rsidRPr="00E93BC5" w:rsidRDefault="001C4468" w:rsidP="004F5C05">
            <w:pPr>
              <w:tabs>
                <w:tab w:val="left" w:pos="540"/>
              </w:tabs>
              <w:spacing w:before="120" w:after="0" w:line="240"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Chỉ tiêu</w:t>
            </w:r>
          </w:p>
        </w:tc>
        <w:tc>
          <w:tcPr>
            <w:tcW w:w="917" w:type="pct"/>
            <w:shd w:val="clear" w:color="auto" w:fill="auto"/>
          </w:tcPr>
          <w:p w14:paraId="49DDEF2B" w14:textId="6182AEB7" w:rsidR="001C4468" w:rsidRPr="00E93BC5" w:rsidRDefault="00F54FAC" w:rsidP="004F5C05">
            <w:pPr>
              <w:tabs>
                <w:tab w:val="left" w:pos="540"/>
              </w:tabs>
              <w:spacing w:before="120"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w:t>
            </w:r>
            <w:r w:rsidR="00FC60EB">
              <w:rPr>
                <w:rFonts w:ascii="Times New Roman" w:eastAsia="Times New Roman" w:hAnsi="Times New Roman"/>
                <w:b/>
                <w:sz w:val="24"/>
                <w:szCs w:val="24"/>
                <w:lang w:val="nl-NL"/>
              </w:rPr>
              <w:t>5</w:t>
            </w:r>
          </w:p>
        </w:tc>
        <w:tc>
          <w:tcPr>
            <w:tcW w:w="872" w:type="pct"/>
            <w:shd w:val="clear" w:color="auto" w:fill="auto"/>
          </w:tcPr>
          <w:p w14:paraId="622D1012" w14:textId="30AB2396" w:rsidR="001C4468" w:rsidRPr="00E93BC5" w:rsidRDefault="00F54FAC" w:rsidP="004F5C05">
            <w:pPr>
              <w:tabs>
                <w:tab w:val="left" w:pos="540"/>
              </w:tabs>
              <w:spacing w:before="120"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31/03/202</w:t>
            </w:r>
            <w:r w:rsidR="00FC60EB">
              <w:rPr>
                <w:rFonts w:ascii="Times New Roman" w:eastAsia="Times New Roman" w:hAnsi="Times New Roman"/>
                <w:b/>
                <w:sz w:val="24"/>
                <w:szCs w:val="24"/>
                <w:lang w:val="nl-NL"/>
              </w:rPr>
              <w:t>4</w:t>
            </w:r>
          </w:p>
        </w:tc>
        <w:tc>
          <w:tcPr>
            <w:tcW w:w="870" w:type="pct"/>
            <w:shd w:val="clear" w:color="auto" w:fill="auto"/>
          </w:tcPr>
          <w:p w14:paraId="75CE7F5E" w14:textId="77777777" w:rsidR="001C4468" w:rsidRPr="00E93BC5" w:rsidRDefault="001C4468" w:rsidP="004F5C05">
            <w:pPr>
              <w:tabs>
                <w:tab w:val="left" w:pos="540"/>
              </w:tabs>
              <w:spacing w:before="120" w:after="0" w:line="240"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Tỷ lệ thay đổi</w:t>
            </w:r>
          </w:p>
        </w:tc>
      </w:tr>
      <w:tr w:rsidR="001C4468" w:rsidRPr="00E93BC5" w14:paraId="2FE93D38" w14:textId="77777777" w:rsidTr="008A4BAD">
        <w:trPr>
          <w:trHeight w:val="427"/>
        </w:trPr>
        <w:tc>
          <w:tcPr>
            <w:tcW w:w="2341" w:type="pct"/>
            <w:shd w:val="clear" w:color="auto" w:fill="auto"/>
          </w:tcPr>
          <w:p w14:paraId="2AE0DD0D"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A</w:t>
            </w:r>
          </w:p>
        </w:tc>
        <w:tc>
          <w:tcPr>
            <w:tcW w:w="917" w:type="pct"/>
            <w:shd w:val="clear" w:color="auto" w:fill="auto"/>
          </w:tcPr>
          <w:p w14:paraId="0F8D000F"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1</w:t>
            </w:r>
          </w:p>
        </w:tc>
        <w:tc>
          <w:tcPr>
            <w:tcW w:w="872" w:type="pct"/>
            <w:shd w:val="clear" w:color="auto" w:fill="auto"/>
          </w:tcPr>
          <w:p w14:paraId="2F480C1A"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2</w:t>
            </w:r>
          </w:p>
        </w:tc>
        <w:tc>
          <w:tcPr>
            <w:tcW w:w="870" w:type="pct"/>
            <w:shd w:val="clear" w:color="auto" w:fill="auto"/>
          </w:tcPr>
          <w:p w14:paraId="7A051450" w14:textId="77777777" w:rsidR="001C4468" w:rsidRPr="00E93BC5"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3=</w:t>
            </w:r>
            <w:r w:rsidR="00A67095" w:rsidRPr="00E93BC5">
              <w:rPr>
                <w:rFonts w:ascii="Times New Roman" w:eastAsia="Times New Roman" w:hAnsi="Times New Roman"/>
                <w:sz w:val="24"/>
                <w:szCs w:val="24"/>
                <w:lang w:val="nl-NL"/>
              </w:rPr>
              <w:t xml:space="preserve"> </w:t>
            </w:r>
            <w:r w:rsidRPr="00E93BC5">
              <w:rPr>
                <w:rFonts w:ascii="Times New Roman" w:eastAsia="Times New Roman" w:hAnsi="Times New Roman"/>
                <w:sz w:val="24"/>
                <w:szCs w:val="24"/>
                <w:lang w:val="nl-NL"/>
              </w:rPr>
              <w:t>((1)</w:t>
            </w:r>
            <w:r w:rsidR="00E668DD" w:rsidRPr="00E93BC5">
              <w:rPr>
                <w:rFonts w:ascii="Times New Roman" w:eastAsia="Times New Roman" w:hAnsi="Times New Roman"/>
                <w:sz w:val="24"/>
                <w:szCs w:val="24"/>
                <w:lang w:val="nl-NL"/>
              </w:rPr>
              <w:t xml:space="preserve"> </w:t>
            </w:r>
            <w:r w:rsidRPr="00E93BC5">
              <w:rPr>
                <w:rFonts w:ascii="Times New Roman" w:eastAsia="Times New Roman" w:hAnsi="Times New Roman"/>
                <w:sz w:val="24"/>
                <w:szCs w:val="24"/>
                <w:lang w:val="nl-NL"/>
              </w:rPr>
              <w:t>-</w:t>
            </w:r>
            <w:r w:rsidR="00E668DD" w:rsidRPr="00E93BC5">
              <w:rPr>
                <w:rFonts w:ascii="Times New Roman" w:eastAsia="Times New Roman" w:hAnsi="Times New Roman"/>
                <w:sz w:val="24"/>
                <w:szCs w:val="24"/>
                <w:lang w:val="nl-NL"/>
              </w:rPr>
              <w:t xml:space="preserve"> </w:t>
            </w:r>
            <w:r w:rsidRPr="00E93BC5">
              <w:rPr>
                <w:rFonts w:ascii="Times New Roman" w:eastAsia="Times New Roman" w:hAnsi="Times New Roman"/>
                <w:sz w:val="24"/>
                <w:szCs w:val="24"/>
                <w:lang w:val="nl-NL"/>
              </w:rPr>
              <w:t>(2))/(2)</w:t>
            </w:r>
          </w:p>
        </w:tc>
      </w:tr>
      <w:tr w:rsidR="00FC60EB" w:rsidRPr="00E93BC5" w14:paraId="6584EB3F" w14:textId="77777777" w:rsidTr="008A4BAD">
        <w:trPr>
          <w:trHeight w:val="661"/>
        </w:trPr>
        <w:tc>
          <w:tcPr>
            <w:tcW w:w="2341" w:type="pct"/>
            <w:shd w:val="clear" w:color="auto" w:fill="auto"/>
          </w:tcPr>
          <w:p w14:paraId="21DE6670" w14:textId="77777777" w:rsidR="00FC60EB" w:rsidRPr="00E93BC5" w:rsidRDefault="00FC60EB" w:rsidP="00FC60EB">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Giá trị tài sản ròng (NAV) của Quỹ</w:t>
            </w:r>
          </w:p>
        </w:tc>
        <w:tc>
          <w:tcPr>
            <w:tcW w:w="917" w:type="pct"/>
            <w:shd w:val="clear" w:color="auto" w:fill="auto"/>
            <w:vAlign w:val="center"/>
          </w:tcPr>
          <w:p w14:paraId="6C0C8909" w14:textId="78CA8344" w:rsidR="00FC60EB" w:rsidRPr="00E93BC5" w:rsidRDefault="00FC60EB" w:rsidP="00FC60EB">
            <w:pPr>
              <w:tabs>
                <w:tab w:val="left" w:pos="540"/>
              </w:tabs>
              <w:spacing w:before="120" w:after="0" w:line="240" w:lineRule="auto"/>
              <w:jc w:val="center"/>
              <w:rPr>
                <w:rFonts w:ascii="Times New Roman" w:eastAsia="Times New Roman" w:hAnsi="Times New Roman"/>
                <w:sz w:val="24"/>
                <w:szCs w:val="24"/>
                <w:lang w:val="nl-NL"/>
              </w:rPr>
            </w:pPr>
            <w:r w:rsidRPr="00FC60EB">
              <w:rPr>
                <w:rFonts w:ascii="Times New Roman" w:eastAsia="Times New Roman" w:hAnsi="Times New Roman"/>
                <w:bCs/>
                <w:color w:val="000000"/>
                <w:sz w:val="24"/>
                <w:szCs w:val="24"/>
                <w:lang w:val="en-SG" w:eastAsia="en-SG"/>
              </w:rPr>
              <w:t>132</w:t>
            </w:r>
            <w:r>
              <w:rPr>
                <w:rFonts w:ascii="Times New Roman" w:eastAsia="Times New Roman" w:hAnsi="Times New Roman"/>
                <w:bCs/>
                <w:color w:val="000000"/>
                <w:sz w:val="24"/>
                <w:szCs w:val="24"/>
                <w:lang w:val="en-SG" w:eastAsia="en-SG"/>
              </w:rPr>
              <w:t>.</w:t>
            </w:r>
            <w:r w:rsidRPr="00FC60EB">
              <w:rPr>
                <w:rFonts w:ascii="Times New Roman" w:eastAsia="Times New Roman" w:hAnsi="Times New Roman"/>
                <w:bCs/>
                <w:color w:val="000000"/>
                <w:sz w:val="24"/>
                <w:szCs w:val="24"/>
                <w:lang w:val="en-SG" w:eastAsia="en-SG"/>
              </w:rPr>
              <w:t>876</w:t>
            </w:r>
            <w:r>
              <w:rPr>
                <w:rFonts w:ascii="Times New Roman" w:eastAsia="Times New Roman" w:hAnsi="Times New Roman"/>
                <w:bCs/>
                <w:color w:val="000000"/>
                <w:sz w:val="24"/>
                <w:szCs w:val="24"/>
                <w:lang w:val="en-SG" w:eastAsia="en-SG"/>
              </w:rPr>
              <w:t>.</w:t>
            </w:r>
            <w:r w:rsidRPr="00FC60EB">
              <w:rPr>
                <w:rFonts w:ascii="Times New Roman" w:eastAsia="Times New Roman" w:hAnsi="Times New Roman"/>
                <w:bCs/>
                <w:color w:val="000000"/>
                <w:sz w:val="24"/>
                <w:szCs w:val="24"/>
                <w:lang w:val="en-SG" w:eastAsia="en-SG"/>
              </w:rPr>
              <w:t>965</w:t>
            </w:r>
            <w:r>
              <w:rPr>
                <w:rFonts w:ascii="Times New Roman" w:eastAsia="Times New Roman" w:hAnsi="Times New Roman"/>
                <w:bCs/>
                <w:color w:val="000000"/>
                <w:sz w:val="24"/>
                <w:szCs w:val="24"/>
                <w:lang w:val="en-SG" w:eastAsia="en-SG"/>
              </w:rPr>
              <w:t>.</w:t>
            </w:r>
            <w:r w:rsidRPr="00FC60EB">
              <w:rPr>
                <w:rFonts w:ascii="Times New Roman" w:eastAsia="Times New Roman" w:hAnsi="Times New Roman"/>
                <w:bCs/>
                <w:color w:val="000000"/>
                <w:sz w:val="24"/>
                <w:szCs w:val="24"/>
                <w:lang w:val="en-SG" w:eastAsia="en-SG"/>
              </w:rPr>
              <w:t>610</w:t>
            </w:r>
          </w:p>
        </w:tc>
        <w:tc>
          <w:tcPr>
            <w:tcW w:w="872" w:type="pct"/>
            <w:shd w:val="clear" w:color="auto" w:fill="auto"/>
            <w:vAlign w:val="center"/>
          </w:tcPr>
          <w:p w14:paraId="37F220DF" w14:textId="286D319F" w:rsidR="00FC60EB" w:rsidRPr="00E93BC5" w:rsidRDefault="00FC60EB" w:rsidP="00FC60EB">
            <w:pPr>
              <w:tabs>
                <w:tab w:val="left" w:pos="540"/>
              </w:tabs>
              <w:spacing w:before="120" w:after="0" w:line="240" w:lineRule="auto"/>
              <w:jc w:val="center"/>
              <w:rPr>
                <w:rFonts w:ascii="Times New Roman" w:eastAsia="Times New Roman" w:hAnsi="Times New Roman"/>
                <w:color w:val="000000"/>
                <w:sz w:val="24"/>
                <w:szCs w:val="24"/>
              </w:rPr>
            </w:pPr>
            <w:r w:rsidRPr="00F54FAC">
              <w:rPr>
                <w:rFonts w:ascii="Times New Roman" w:eastAsia="Times New Roman" w:hAnsi="Times New Roman"/>
                <w:bCs/>
                <w:color w:val="000000"/>
                <w:sz w:val="24"/>
                <w:szCs w:val="24"/>
                <w:lang w:val="en-SG" w:eastAsia="en-SG"/>
              </w:rPr>
              <w:t>126.050.218.376</w:t>
            </w:r>
          </w:p>
        </w:tc>
        <w:tc>
          <w:tcPr>
            <w:tcW w:w="870" w:type="pct"/>
            <w:shd w:val="clear" w:color="auto" w:fill="auto"/>
            <w:vAlign w:val="center"/>
          </w:tcPr>
          <w:p w14:paraId="5EE3D590" w14:textId="3850F742" w:rsidR="00FC60EB" w:rsidRPr="00E93BC5" w:rsidRDefault="00FC60EB" w:rsidP="00FC60EB">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5,42</w:t>
            </w:r>
            <w:r w:rsidRPr="00E93BC5">
              <w:rPr>
                <w:rFonts w:ascii="Times New Roman" w:eastAsia="Times New Roman" w:hAnsi="Times New Roman"/>
                <w:sz w:val="24"/>
                <w:szCs w:val="24"/>
                <w:lang w:val="nl-NL"/>
              </w:rPr>
              <w:t>%</w:t>
            </w:r>
          </w:p>
        </w:tc>
      </w:tr>
      <w:tr w:rsidR="00FC60EB" w:rsidRPr="00E93BC5" w14:paraId="22C141F9" w14:textId="77777777" w:rsidTr="008A4BAD">
        <w:trPr>
          <w:trHeight w:val="644"/>
        </w:trPr>
        <w:tc>
          <w:tcPr>
            <w:tcW w:w="2341" w:type="pct"/>
            <w:shd w:val="clear" w:color="auto" w:fill="auto"/>
          </w:tcPr>
          <w:p w14:paraId="3741CC58" w14:textId="77777777" w:rsidR="00FC60EB" w:rsidRPr="00E93BC5" w:rsidRDefault="00FC60EB" w:rsidP="00FC60EB">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Giá trị tài sản ròng (NAV) trên 1 đơn vị CCQ</w:t>
            </w:r>
          </w:p>
        </w:tc>
        <w:tc>
          <w:tcPr>
            <w:tcW w:w="917" w:type="pct"/>
            <w:shd w:val="clear" w:color="auto" w:fill="auto"/>
            <w:vAlign w:val="center"/>
          </w:tcPr>
          <w:p w14:paraId="72491A7E" w14:textId="3F05AD10" w:rsidR="00FC60EB" w:rsidRPr="00E93BC5" w:rsidRDefault="00FC60EB" w:rsidP="00FC60EB">
            <w:pPr>
              <w:tabs>
                <w:tab w:val="left" w:pos="540"/>
              </w:tabs>
              <w:spacing w:before="120" w:after="0" w:line="240" w:lineRule="auto"/>
              <w:jc w:val="center"/>
              <w:rPr>
                <w:rFonts w:ascii="Times New Roman" w:eastAsia="Times New Roman" w:hAnsi="Times New Roman"/>
                <w:bCs/>
                <w:color w:val="000000"/>
                <w:sz w:val="24"/>
                <w:szCs w:val="24"/>
                <w:lang w:val="en-SG" w:eastAsia="en-SG"/>
              </w:rPr>
            </w:pPr>
            <w:r w:rsidRPr="00FC60EB">
              <w:rPr>
                <w:rFonts w:ascii="Times New Roman" w:eastAsia="Times New Roman" w:hAnsi="Times New Roman"/>
                <w:bCs/>
                <w:color w:val="000000"/>
                <w:sz w:val="24"/>
                <w:szCs w:val="24"/>
                <w:lang w:val="en-SG" w:eastAsia="en-SG"/>
              </w:rPr>
              <w:t>13</w:t>
            </w:r>
            <w:r>
              <w:rPr>
                <w:rFonts w:ascii="Times New Roman" w:eastAsia="Times New Roman" w:hAnsi="Times New Roman"/>
                <w:bCs/>
                <w:color w:val="000000"/>
                <w:sz w:val="24"/>
                <w:szCs w:val="24"/>
                <w:lang w:val="en-SG" w:eastAsia="en-SG"/>
              </w:rPr>
              <w:t>.</w:t>
            </w:r>
            <w:r w:rsidRPr="00FC60EB">
              <w:rPr>
                <w:rFonts w:ascii="Times New Roman" w:eastAsia="Times New Roman" w:hAnsi="Times New Roman"/>
                <w:bCs/>
                <w:color w:val="000000"/>
                <w:sz w:val="24"/>
                <w:szCs w:val="24"/>
                <w:lang w:val="en-SG" w:eastAsia="en-SG"/>
              </w:rPr>
              <w:t>302</w:t>
            </w:r>
            <w:r>
              <w:rPr>
                <w:rFonts w:ascii="Times New Roman" w:eastAsia="Times New Roman" w:hAnsi="Times New Roman"/>
                <w:bCs/>
                <w:color w:val="000000"/>
                <w:sz w:val="24"/>
                <w:szCs w:val="24"/>
                <w:lang w:val="en-SG" w:eastAsia="en-SG"/>
              </w:rPr>
              <w:t>,</w:t>
            </w:r>
            <w:r w:rsidRPr="00FC60EB">
              <w:rPr>
                <w:rFonts w:ascii="Times New Roman" w:eastAsia="Times New Roman" w:hAnsi="Times New Roman"/>
                <w:bCs/>
                <w:color w:val="000000"/>
                <w:sz w:val="24"/>
                <w:szCs w:val="24"/>
                <w:lang w:val="en-SG" w:eastAsia="en-SG"/>
              </w:rPr>
              <w:t>09</w:t>
            </w:r>
          </w:p>
        </w:tc>
        <w:tc>
          <w:tcPr>
            <w:tcW w:w="872" w:type="pct"/>
            <w:shd w:val="clear" w:color="auto" w:fill="auto"/>
            <w:vAlign w:val="center"/>
          </w:tcPr>
          <w:p w14:paraId="798A3B65" w14:textId="513B8C91" w:rsidR="00FC60EB" w:rsidRPr="00E93BC5" w:rsidRDefault="00FC60EB" w:rsidP="00FC60EB">
            <w:pPr>
              <w:tabs>
                <w:tab w:val="left" w:pos="540"/>
              </w:tabs>
              <w:spacing w:before="120" w:after="0" w:line="240" w:lineRule="auto"/>
              <w:jc w:val="center"/>
              <w:rPr>
                <w:rFonts w:ascii="Times New Roman" w:eastAsia="Times New Roman" w:hAnsi="Times New Roman"/>
                <w:bCs/>
                <w:color w:val="000000"/>
                <w:sz w:val="24"/>
                <w:szCs w:val="24"/>
                <w:lang w:val="en-SG" w:eastAsia="en-SG"/>
              </w:rPr>
            </w:pPr>
            <w:r w:rsidRPr="00F54FAC">
              <w:rPr>
                <w:rFonts w:ascii="Times New Roman" w:eastAsia="Times New Roman" w:hAnsi="Times New Roman"/>
                <w:bCs/>
                <w:color w:val="000000"/>
                <w:sz w:val="24"/>
                <w:szCs w:val="24"/>
                <w:lang w:val="en-SG" w:eastAsia="en-SG"/>
              </w:rPr>
              <w:t>12.618,49</w:t>
            </w:r>
          </w:p>
        </w:tc>
        <w:tc>
          <w:tcPr>
            <w:tcW w:w="870" w:type="pct"/>
            <w:shd w:val="clear" w:color="auto" w:fill="auto"/>
            <w:vAlign w:val="center"/>
          </w:tcPr>
          <w:p w14:paraId="471599FC" w14:textId="02B5BDD0" w:rsidR="00FC60EB" w:rsidRPr="00E93BC5" w:rsidRDefault="00FC60EB" w:rsidP="00FC60EB">
            <w:pPr>
              <w:tabs>
                <w:tab w:val="left" w:pos="540"/>
              </w:tabs>
              <w:spacing w:before="120" w:after="0" w:line="240" w:lineRule="auto"/>
              <w:jc w:val="center"/>
              <w:rPr>
                <w:rFonts w:ascii="Times New Roman" w:eastAsia="Times New Roman" w:hAnsi="Times New Roman"/>
                <w:bCs/>
                <w:color w:val="000000"/>
                <w:sz w:val="24"/>
                <w:szCs w:val="24"/>
                <w:lang w:val="en-SG" w:eastAsia="en-SG"/>
              </w:rPr>
            </w:pPr>
            <w:r>
              <w:rPr>
                <w:rFonts w:ascii="Times New Roman" w:eastAsia="Times New Roman" w:hAnsi="Times New Roman"/>
                <w:bCs/>
                <w:color w:val="000000"/>
                <w:sz w:val="24"/>
                <w:szCs w:val="24"/>
                <w:lang w:val="en-SG" w:eastAsia="en-SG"/>
              </w:rPr>
              <w:t>5,42</w:t>
            </w:r>
            <w:r w:rsidRPr="00E93BC5">
              <w:rPr>
                <w:rFonts w:ascii="Times New Roman" w:eastAsia="Times New Roman" w:hAnsi="Times New Roman"/>
                <w:bCs/>
                <w:color w:val="000000"/>
                <w:sz w:val="24"/>
                <w:szCs w:val="24"/>
                <w:lang w:val="en-SG" w:eastAsia="en-SG"/>
              </w:rPr>
              <w:t>%</w:t>
            </w:r>
          </w:p>
        </w:tc>
      </w:tr>
    </w:tbl>
    <w:p w14:paraId="6B0CB6BC" w14:textId="4207B77F" w:rsidR="00445F8E" w:rsidRPr="00E93BC5" w:rsidRDefault="00DC0D58" w:rsidP="00B3750F">
      <w:pPr>
        <w:shd w:val="clear" w:color="auto" w:fill="FFFFFF"/>
        <w:tabs>
          <w:tab w:val="left" w:pos="540"/>
        </w:tabs>
        <w:spacing w:before="120" w:after="0" w:line="360" w:lineRule="auto"/>
        <w:jc w:val="both"/>
        <w:rPr>
          <w:rFonts w:ascii="Times New Roman" w:hAnsi="Times New Roman"/>
          <w:sz w:val="24"/>
          <w:szCs w:val="24"/>
          <w:lang w:val="nl-NL"/>
        </w:rPr>
      </w:pPr>
      <w:r w:rsidRPr="00E93BC5">
        <w:rPr>
          <w:rFonts w:ascii="Times New Roman" w:hAnsi="Times New Roman"/>
          <w:sz w:val="24"/>
          <w:szCs w:val="24"/>
          <w:lang w:val="nl-NL"/>
        </w:rPr>
        <w:t>T</w:t>
      </w:r>
      <w:r w:rsidR="00B84DD0" w:rsidRPr="00E93BC5">
        <w:rPr>
          <w:rFonts w:ascii="Times New Roman" w:hAnsi="Times New Roman"/>
          <w:sz w:val="24"/>
          <w:szCs w:val="24"/>
          <w:lang w:val="nl-NL"/>
        </w:rPr>
        <w:t xml:space="preserve">rong giai đoạn từ </w:t>
      </w:r>
      <w:r w:rsidR="00F54FAC">
        <w:rPr>
          <w:rFonts w:ascii="Times New Roman" w:hAnsi="Times New Roman"/>
          <w:sz w:val="24"/>
          <w:szCs w:val="24"/>
          <w:lang w:val="nl-NL"/>
        </w:rPr>
        <w:t>31/03/202</w:t>
      </w:r>
      <w:r w:rsidR="00FC60EB">
        <w:rPr>
          <w:rFonts w:ascii="Times New Roman" w:hAnsi="Times New Roman"/>
          <w:sz w:val="24"/>
          <w:szCs w:val="24"/>
          <w:lang w:val="nl-NL"/>
        </w:rPr>
        <w:t>4</w:t>
      </w:r>
      <w:r w:rsidR="00B84DD0" w:rsidRPr="00E93BC5">
        <w:rPr>
          <w:rFonts w:ascii="Times New Roman" w:hAnsi="Times New Roman"/>
          <w:sz w:val="24"/>
          <w:szCs w:val="24"/>
          <w:lang w:val="nl-NL"/>
        </w:rPr>
        <w:t xml:space="preserve"> đến </w:t>
      </w:r>
      <w:r w:rsidR="00F54FAC">
        <w:rPr>
          <w:rFonts w:ascii="Times New Roman" w:hAnsi="Times New Roman"/>
          <w:sz w:val="24"/>
          <w:szCs w:val="24"/>
          <w:lang w:val="nl-NL"/>
        </w:rPr>
        <w:t>31/03/202</w:t>
      </w:r>
      <w:r w:rsidR="00FC60EB">
        <w:rPr>
          <w:rFonts w:ascii="Times New Roman" w:hAnsi="Times New Roman"/>
          <w:sz w:val="24"/>
          <w:szCs w:val="24"/>
          <w:lang w:val="nl-NL"/>
        </w:rPr>
        <w:t>5</w:t>
      </w:r>
      <w:r w:rsidR="00D672F8" w:rsidRPr="00E93BC5">
        <w:rPr>
          <w:rFonts w:ascii="Times New Roman" w:hAnsi="Times New Roman"/>
          <w:sz w:val="24"/>
          <w:szCs w:val="24"/>
          <w:lang w:val="nl-NL"/>
        </w:rPr>
        <w:t xml:space="preserve"> </w:t>
      </w:r>
      <w:r w:rsidR="00730E8A" w:rsidRPr="00E93BC5">
        <w:rPr>
          <w:rFonts w:ascii="Times New Roman" w:hAnsi="Times New Roman"/>
          <w:sz w:val="24"/>
          <w:szCs w:val="24"/>
          <w:lang w:val="nl-NL"/>
        </w:rPr>
        <w:t>g</w:t>
      </w:r>
      <w:r w:rsidR="00697B7E" w:rsidRPr="00E93BC5">
        <w:rPr>
          <w:rFonts w:ascii="Times New Roman" w:hAnsi="Times New Roman"/>
          <w:sz w:val="24"/>
          <w:szCs w:val="24"/>
          <w:lang w:val="nl-NL"/>
        </w:rPr>
        <w:t xml:space="preserve">iá trị tài sản ròng của Quỹ tăng </w:t>
      </w:r>
      <w:r w:rsidR="00FC60EB">
        <w:rPr>
          <w:rFonts w:ascii="Times New Roman" w:hAnsi="Times New Roman"/>
          <w:sz w:val="24"/>
          <w:szCs w:val="24"/>
          <w:lang w:val="nl-NL"/>
        </w:rPr>
        <w:t>5,42</w:t>
      </w:r>
      <w:r w:rsidR="00050A6F" w:rsidRPr="00E93BC5">
        <w:rPr>
          <w:rFonts w:ascii="Times New Roman" w:hAnsi="Times New Roman"/>
          <w:sz w:val="24"/>
          <w:szCs w:val="24"/>
          <w:lang w:val="nl-NL"/>
        </w:rPr>
        <w:t>%</w:t>
      </w:r>
      <w:r w:rsidR="00730E8A" w:rsidRPr="00E93BC5">
        <w:rPr>
          <w:rFonts w:ascii="Times New Roman" w:hAnsi="Times New Roman"/>
          <w:sz w:val="24"/>
          <w:szCs w:val="24"/>
          <w:lang w:val="nl-NL"/>
        </w:rPr>
        <w:t xml:space="preserve"> </w:t>
      </w:r>
      <w:r w:rsidR="00B84DD0" w:rsidRPr="00E93BC5">
        <w:rPr>
          <w:rFonts w:ascii="Times New Roman" w:hAnsi="Times New Roman"/>
          <w:sz w:val="24"/>
          <w:szCs w:val="24"/>
          <w:lang w:val="nl-NL"/>
        </w:rPr>
        <w:t>chủ yếu do lợi nh</w:t>
      </w:r>
      <w:r w:rsidR="008E3939" w:rsidRPr="00E93BC5">
        <w:rPr>
          <w:rFonts w:ascii="Times New Roman" w:hAnsi="Times New Roman"/>
          <w:sz w:val="24"/>
          <w:szCs w:val="24"/>
          <w:lang w:val="nl-NL"/>
        </w:rPr>
        <w:t>u</w:t>
      </w:r>
      <w:r w:rsidR="00B84DD0" w:rsidRPr="00E93BC5">
        <w:rPr>
          <w:rFonts w:ascii="Times New Roman" w:hAnsi="Times New Roman"/>
          <w:sz w:val="24"/>
          <w:szCs w:val="24"/>
          <w:lang w:val="nl-NL"/>
        </w:rPr>
        <w:t>ận từ kết quả đầu tư mang lại</w:t>
      </w:r>
      <w:r w:rsidR="008E3939" w:rsidRPr="00E93BC5">
        <w:rPr>
          <w:rFonts w:ascii="Times New Roman" w:hAnsi="Times New Roman"/>
          <w:sz w:val="24"/>
          <w:szCs w:val="24"/>
          <w:lang w:val="nl-NL"/>
        </w:rPr>
        <w:t>.</w:t>
      </w:r>
    </w:p>
    <w:p w14:paraId="61CB3CDC" w14:textId="77777777" w:rsidR="001C4468" w:rsidRPr="00E93BC5" w:rsidRDefault="001C4468" w:rsidP="001A5984">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b/>
          <w:sz w:val="24"/>
          <w:szCs w:val="24"/>
          <w:lang w:val="nl-NL"/>
        </w:rPr>
      </w:pPr>
      <w:r w:rsidRPr="00E93BC5">
        <w:rPr>
          <w:rFonts w:ascii="Times New Roman" w:hAnsi="Times New Roman"/>
          <w:b/>
          <w:sz w:val="24"/>
          <w:szCs w:val="24"/>
          <w:lang w:val="nl-NL"/>
        </w:rPr>
        <w:t>Thống kê về Nhà đầu tư nắm giữ Chứng chỉ quỹ tại thời điểm báo cáo (tại thời điểm gần nhất):</w:t>
      </w:r>
    </w:p>
    <w:tbl>
      <w:tblPr>
        <w:tblW w:w="9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94"/>
        <w:gridCol w:w="2073"/>
        <w:gridCol w:w="2341"/>
        <w:gridCol w:w="1705"/>
      </w:tblGrid>
      <w:tr w:rsidR="001C4468" w:rsidRPr="00E93BC5" w14:paraId="623333E6" w14:textId="77777777" w:rsidTr="001A5984">
        <w:tc>
          <w:tcPr>
            <w:tcW w:w="1882" w:type="pct"/>
            <w:shd w:val="clear" w:color="auto" w:fill="auto"/>
            <w:vAlign w:val="center"/>
          </w:tcPr>
          <w:p w14:paraId="4CEAB9C9"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Quy mô nắm giữ (Đơn vị)</w:t>
            </w:r>
          </w:p>
        </w:tc>
        <w:tc>
          <w:tcPr>
            <w:tcW w:w="1056" w:type="pct"/>
            <w:shd w:val="clear" w:color="auto" w:fill="auto"/>
            <w:vAlign w:val="center"/>
          </w:tcPr>
          <w:p w14:paraId="63E62324"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Số lượng Nhà đầu tư nắm giữ</w:t>
            </w:r>
          </w:p>
        </w:tc>
        <w:tc>
          <w:tcPr>
            <w:tcW w:w="1193" w:type="pct"/>
            <w:shd w:val="clear" w:color="auto" w:fill="auto"/>
            <w:vAlign w:val="center"/>
          </w:tcPr>
          <w:p w14:paraId="0EDF1517"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Số lượng đơn vị Chứng chỉ quỹ nắm giữ</w:t>
            </w:r>
          </w:p>
        </w:tc>
        <w:tc>
          <w:tcPr>
            <w:tcW w:w="870" w:type="pct"/>
            <w:shd w:val="clear" w:color="auto" w:fill="auto"/>
            <w:vAlign w:val="center"/>
          </w:tcPr>
          <w:p w14:paraId="1F38D43F" w14:textId="77777777" w:rsidR="001C4468" w:rsidRPr="00E93BC5"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Tỷ lệ nắm giữ</w:t>
            </w:r>
          </w:p>
        </w:tc>
      </w:tr>
      <w:tr w:rsidR="001C4468" w:rsidRPr="00E93BC5" w14:paraId="721C9E6F" w14:textId="77777777" w:rsidTr="001E511A">
        <w:trPr>
          <w:trHeight w:val="337"/>
        </w:trPr>
        <w:tc>
          <w:tcPr>
            <w:tcW w:w="1882" w:type="pct"/>
            <w:shd w:val="clear" w:color="auto" w:fill="auto"/>
            <w:vAlign w:val="center"/>
          </w:tcPr>
          <w:p w14:paraId="615AF58A" w14:textId="77777777" w:rsidR="001C4468" w:rsidRPr="00E93BC5"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E93BC5">
              <w:rPr>
                <w:rFonts w:ascii="Times New Roman" w:eastAsia="Times New Roman" w:hAnsi="Times New Roman"/>
                <w:i/>
                <w:color w:val="1F497D" w:themeColor="text2"/>
                <w:sz w:val="24"/>
                <w:szCs w:val="24"/>
                <w:lang w:val="nl-NL"/>
              </w:rPr>
              <w:t>A</w:t>
            </w:r>
          </w:p>
        </w:tc>
        <w:tc>
          <w:tcPr>
            <w:tcW w:w="1056" w:type="pct"/>
            <w:shd w:val="clear" w:color="auto" w:fill="auto"/>
            <w:vAlign w:val="center"/>
          </w:tcPr>
          <w:p w14:paraId="798A9A0D" w14:textId="77777777" w:rsidR="001C4468" w:rsidRPr="00E93BC5"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E93BC5">
              <w:rPr>
                <w:rFonts w:ascii="Times New Roman" w:eastAsia="Times New Roman" w:hAnsi="Times New Roman"/>
                <w:i/>
                <w:color w:val="1F497D" w:themeColor="text2"/>
                <w:sz w:val="24"/>
                <w:szCs w:val="24"/>
                <w:lang w:val="nl-NL"/>
              </w:rPr>
              <w:t>1</w:t>
            </w:r>
          </w:p>
        </w:tc>
        <w:tc>
          <w:tcPr>
            <w:tcW w:w="1193" w:type="pct"/>
            <w:shd w:val="clear" w:color="auto" w:fill="auto"/>
            <w:vAlign w:val="center"/>
          </w:tcPr>
          <w:p w14:paraId="5544ECA4" w14:textId="77777777" w:rsidR="001C4468" w:rsidRPr="00E93BC5"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E93BC5">
              <w:rPr>
                <w:rFonts w:ascii="Times New Roman" w:eastAsia="Times New Roman" w:hAnsi="Times New Roman"/>
                <w:i/>
                <w:color w:val="1F497D" w:themeColor="text2"/>
                <w:sz w:val="24"/>
                <w:szCs w:val="24"/>
                <w:lang w:val="nl-NL"/>
              </w:rPr>
              <w:t>2</w:t>
            </w:r>
          </w:p>
        </w:tc>
        <w:tc>
          <w:tcPr>
            <w:tcW w:w="870" w:type="pct"/>
            <w:shd w:val="clear" w:color="auto" w:fill="auto"/>
            <w:vAlign w:val="center"/>
          </w:tcPr>
          <w:p w14:paraId="50373C99" w14:textId="77777777" w:rsidR="001C4468" w:rsidRPr="00E93BC5"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E93BC5">
              <w:rPr>
                <w:rFonts w:ascii="Times New Roman" w:eastAsia="Times New Roman" w:hAnsi="Times New Roman"/>
                <w:i/>
                <w:color w:val="1F497D" w:themeColor="text2"/>
                <w:sz w:val="24"/>
                <w:szCs w:val="24"/>
                <w:lang w:val="nl-NL"/>
              </w:rPr>
              <w:t>3</w:t>
            </w:r>
          </w:p>
        </w:tc>
      </w:tr>
      <w:tr w:rsidR="007D6CE8" w:rsidRPr="00E93BC5" w14:paraId="33807B71" w14:textId="77777777" w:rsidTr="001A5984">
        <w:tc>
          <w:tcPr>
            <w:tcW w:w="1882" w:type="pct"/>
            <w:shd w:val="clear" w:color="auto" w:fill="auto"/>
            <w:vAlign w:val="center"/>
          </w:tcPr>
          <w:p w14:paraId="4EF6F4E5"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Dưới 5</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000</w:t>
            </w:r>
          </w:p>
        </w:tc>
        <w:tc>
          <w:tcPr>
            <w:tcW w:w="1056" w:type="pct"/>
            <w:shd w:val="clear" w:color="auto" w:fill="auto"/>
            <w:vAlign w:val="center"/>
          </w:tcPr>
          <w:p w14:paraId="731DD6AC" w14:textId="7841C214" w:rsidR="007D6CE8" w:rsidRPr="00E93BC5" w:rsidRDefault="00CB4E70"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1</w:t>
            </w:r>
            <w:r w:rsidR="0026726B">
              <w:rPr>
                <w:rFonts w:ascii="Times New Roman" w:eastAsia="Times New Roman" w:hAnsi="Times New Roman"/>
                <w:sz w:val="24"/>
                <w:szCs w:val="24"/>
                <w:lang w:val="nl-NL"/>
              </w:rPr>
              <w:t>1</w:t>
            </w:r>
            <w:r w:rsidR="00916A60">
              <w:rPr>
                <w:rFonts w:ascii="Times New Roman" w:eastAsia="Times New Roman" w:hAnsi="Times New Roman"/>
                <w:sz w:val="24"/>
                <w:szCs w:val="24"/>
                <w:lang w:val="nl-NL"/>
              </w:rPr>
              <w:t>6</w:t>
            </w:r>
          </w:p>
        </w:tc>
        <w:tc>
          <w:tcPr>
            <w:tcW w:w="1193" w:type="pct"/>
            <w:shd w:val="clear" w:color="auto" w:fill="auto"/>
            <w:vAlign w:val="center"/>
          </w:tcPr>
          <w:p w14:paraId="5AC16A63" w14:textId="67A04D80" w:rsidR="007D6CE8" w:rsidRPr="00E93BC5" w:rsidRDefault="00916A60" w:rsidP="001A5984">
            <w:pPr>
              <w:tabs>
                <w:tab w:val="left" w:pos="540"/>
              </w:tabs>
              <w:spacing w:before="120" w:after="0" w:line="240" w:lineRule="auto"/>
              <w:jc w:val="center"/>
              <w:rPr>
                <w:rFonts w:ascii="Times New Roman" w:eastAsia="Times New Roman" w:hAnsi="Times New Roman"/>
                <w:sz w:val="24"/>
                <w:szCs w:val="24"/>
                <w:lang w:val="nl-NL"/>
              </w:rPr>
            </w:pPr>
            <w:r w:rsidRPr="00916A60">
              <w:rPr>
                <w:rFonts w:ascii="Times New Roman" w:eastAsia="Times New Roman" w:hAnsi="Times New Roman"/>
                <w:sz w:val="24"/>
                <w:szCs w:val="24"/>
                <w:lang w:val="nl-NL"/>
              </w:rPr>
              <w:t>29</w:t>
            </w:r>
            <w:r>
              <w:rPr>
                <w:rFonts w:ascii="Times New Roman" w:eastAsia="Times New Roman" w:hAnsi="Times New Roman"/>
                <w:sz w:val="24"/>
                <w:szCs w:val="24"/>
                <w:lang w:val="nl-NL"/>
              </w:rPr>
              <w:t>.</w:t>
            </w:r>
            <w:r w:rsidRPr="00916A60">
              <w:rPr>
                <w:rFonts w:ascii="Times New Roman" w:eastAsia="Times New Roman" w:hAnsi="Times New Roman"/>
                <w:sz w:val="24"/>
                <w:szCs w:val="24"/>
                <w:lang w:val="nl-NL"/>
              </w:rPr>
              <w:t>687</w:t>
            </w:r>
            <w:r>
              <w:rPr>
                <w:rFonts w:ascii="Times New Roman" w:eastAsia="Times New Roman" w:hAnsi="Times New Roman"/>
                <w:sz w:val="24"/>
                <w:szCs w:val="24"/>
                <w:lang w:val="nl-NL"/>
              </w:rPr>
              <w:t>,</w:t>
            </w:r>
            <w:r w:rsidRPr="00916A60">
              <w:rPr>
                <w:rFonts w:ascii="Times New Roman" w:eastAsia="Times New Roman" w:hAnsi="Times New Roman"/>
                <w:sz w:val="24"/>
                <w:szCs w:val="24"/>
                <w:lang w:val="nl-NL"/>
              </w:rPr>
              <w:t>15</w:t>
            </w:r>
          </w:p>
        </w:tc>
        <w:tc>
          <w:tcPr>
            <w:tcW w:w="870" w:type="pct"/>
            <w:shd w:val="clear" w:color="auto" w:fill="auto"/>
            <w:vAlign w:val="center"/>
          </w:tcPr>
          <w:p w14:paraId="491B3301" w14:textId="5518DBD3"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r w:rsidR="00B85125" w:rsidRPr="00E93BC5">
              <w:rPr>
                <w:rFonts w:ascii="Times New Roman" w:eastAsia="Times New Roman" w:hAnsi="Times New Roman"/>
                <w:sz w:val="24"/>
                <w:szCs w:val="24"/>
                <w:lang w:val="nl-NL"/>
              </w:rPr>
              <w:t>,</w:t>
            </w:r>
            <w:r w:rsidR="008E0B75" w:rsidRPr="00E93BC5">
              <w:rPr>
                <w:rFonts w:ascii="Times New Roman" w:eastAsia="Times New Roman" w:hAnsi="Times New Roman"/>
                <w:sz w:val="24"/>
                <w:szCs w:val="24"/>
                <w:lang w:val="nl-NL"/>
              </w:rPr>
              <w:t>3</w:t>
            </w:r>
            <w:r w:rsidR="00524184">
              <w:rPr>
                <w:rFonts w:ascii="Times New Roman" w:eastAsia="Times New Roman" w:hAnsi="Times New Roman"/>
                <w:sz w:val="24"/>
                <w:szCs w:val="24"/>
                <w:lang w:val="nl-NL"/>
              </w:rPr>
              <w:t>0</w:t>
            </w:r>
            <w:r w:rsidRPr="00E93BC5">
              <w:rPr>
                <w:rFonts w:ascii="Times New Roman" w:eastAsia="Times New Roman" w:hAnsi="Times New Roman"/>
                <w:sz w:val="24"/>
                <w:szCs w:val="24"/>
                <w:lang w:val="nl-NL"/>
              </w:rPr>
              <w:t>%</w:t>
            </w:r>
          </w:p>
        </w:tc>
      </w:tr>
      <w:tr w:rsidR="007D6CE8" w:rsidRPr="00E93BC5" w14:paraId="214727B5" w14:textId="77777777" w:rsidTr="001A5984">
        <w:tc>
          <w:tcPr>
            <w:tcW w:w="1882" w:type="pct"/>
            <w:shd w:val="clear" w:color="auto" w:fill="auto"/>
            <w:vAlign w:val="center"/>
          </w:tcPr>
          <w:p w14:paraId="630C5BDD"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lastRenderedPageBreak/>
              <w:t>Từ 5</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000 - 10.000</w:t>
            </w:r>
          </w:p>
        </w:tc>
        <w:tc>
          <w:tcPr>
            <w:tcW w:w="1056" w:type="pct"/>
            <w:shd w:val="clear" w:color="auto" w:fill="auto"/>
            <w:vAlign w:val="center"/>
          </w:tcPr>
          <w:p w14:paraId="6C2D27DE" w14:textId="4017CFA9" w:rsidR="007D6CE8" w:rsidRPr="00E93BC5" w:rsidRDefault="00F54FAC" w:rsidP="001A5984">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0</w:t>
            </w:r>
          </w:p>
        </w:tc>
        <w:tc>
          <w:tcPr>
            <w:tcW w:w="1193" w:type="pct"/>
            <w:shd w:val="clear" w:color="auto" w:fill="auto"/>
            <w:vAlign w:val="center"/>
          </w:tcPr>
          <w:p w14:paraId="1B5F4FC9" w14:textId="2312423F" w:rsidR="007D6CE8" w:rsidRPr="00E93BC5" w:rsidRDefault="00F54FAC" w:rsidP="001A5984">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0</w:t>
            </w:r>
          </w:p>
        </w:tc>
        <w:tc>
          <w:tcPr>
            <w:tcW w:w="870" w:type="pct"/>
            <w:shd w:val="clear" w:color="auto" w:fill="auto"/>
            <w:vAlign w:val="center"/>
          </w:tcPr>
          <w:p w14:paraId="3284874B" w14:textId="3B8715C2"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r w:rsidR="00B85125" w:rsidRPr="00E93BC5">
              <w:rPr>
                <w:rFonts w:ascii="Times New Roman" w:eastAsia="Times New Roman" w:hAnsi="Times New Roman"/>
                <w:sz w:val="24"/>
                <w:szCs w:val="24"/>
                <w:lang w:val="nl-NL"/>
              </w:rPr>
              <w:t>,</w:t>
            </w:r>
            <w:r w:rsidR="00524184">
              <w:rPr>
                <w:rFonts w:ascii="Times New Roman" w:eastAsia="Times New Roman" w:hAnsi="Times New Roman"/>
                <w:sz w:val="24"/>
                <w:szCs w:val="24"/>
                <w:lang w:val="nl-NL"/>
              </w:rPr>
              <w:t>0</w:t>
            </w:r>
            <w:r w:rsidR="00F54FAC">
              <w:rPr>
                <w:rFonts w:ascii="Times New Roman" w:eastAsia="Times New Roman" w:hAnsi="Times New Roman"/>
                <w:sz w:val="24"/>
                <w:szCs w:val="24"/>
                <w:lang w:val="nl-NL"/>
              </w:rPr>
              <w:t>0</w:t>
            </w:r>
            <w:r w:rsidRPr="00E93BC5">
              <w:rPr>
                <w:rFonts w:ascii="Times New Roman" w:eastAsia="Times New Roman" w:hAnsi="Times New Roman"/>
                <w:sz w:val="24"/>
                <w:szCs w:val="24"/>
                <w:lang w:val="nl-NL"/>
              </w:rPr>
              <w:t>%</w:t>
            </w:r>
          </w:p>
        </w:tc>
      </w:tr>
      <w:tr w:rsidR="007D6CE8" w:rsidRPr="00E93BC5" w14:paraId="6028455A" w14:textId="77777777" w:rsidTr="001A5984">
        <w:tc>
          <w:tcPr>
            <w:tcW w:w="1882" w:type="pct"/>
            <w:shd w:val="clear" w:color="auto" w:fill="auto"/>
            <w:vAlign w:val="center"/>
          </w:tcPr>
          <w:p w14:paraId="41CB0DF7"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Từ 10.000 đến 50.000</w:t>
            </w:r>
          </w:p>
        </w:tc>
        <w:tc>
          <w:tcPr>
            <w:tcW w:w="1056" w:type="pct"/>
            <w:shd w:val="clear" w:color="auto" w:fill="auto"/>
            <w:vAlign w:val="center"/>
          </w:tcPr>
          <w:p w14:paraId="25E393F3" w14:textId="77777777" w:rsidR="007D6CE8" w:rsidRPr="00E93BC5" w:rsidRDefault="00CB4E70"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p>
        </w:tc>
        <w:tc>
          <w:tcPr>
            <w:tcW w:w="1193" w:type="pct"/>
            <w:shd w:val="clear" w:color="auto" w:fill="auto"/>
            <w:vAlign w:val="center"/>
          </w:tcPr>
          <w:p w14:paraId="26AF953D" w14:textId="77777777" w:rsidR="007D6CE8" w:rsidRPr="00E93BC5" w:rsidRDefault="00CB4E70"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p>
        </w:tc>
        <w:tc>
          <w:tcPr>
            <w:tcW w:w="870" w:type="pct"/>
            <w:shd w:val="clear" w:color="auto" w:fill="auto"/>
            <w:vAlign w:val="center"/>
          </w:tcPr>
          <w:p w14:paraId="38FD1556" w14:textId="77777777"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r w:rsidR="00B85125" w:rsidRPr="00E93BC5">
              <w:rPr>
                <w:rFonts w:ascii="Times New Roman" w:eastAsia="Times New Roman" w:hAnsi="Times New Roman"/>
                <w:sz w:val="24"/>
                <w:szCs w:val="24"/>
                <w:lang w:val="nl-NL"/>
              </w:rPr>
              <w:t>,</w:t>
            </w:r>
            <w:r w:rsidR="00CB4E70" w:rsidRPr="00E93BC5">
              <w:rPr>
                <w:rFonts w:ascii="Times New Roman" w:eastAsia="Times New Roman" w:hAnsi="Times New Roman"/>
                <w:sz w:val="24"/>
                <w:szCs w:val="24"/>
                <w:lang w:val="nl-NL"/>
              </w:rPr>
              <w:t>00</w:t>
            </w:r>
            <w:r w:rsidRPr="00E93BC5">
              <w:rPr>
                <w:rFonts w:ascii="Times New Roman" w:eastAsia="Times New Roman" w:hAnsi="Times New Roman"/>
                <w:sz w:val="24"/>
                <w:szCs w:val="24"/>
                <w:lang w:val="nl-NL"/>
              </w:rPr>
              <w:t>%</w:t>
            </w:r>
          </w:p>
        </w:tc>
      </w:tr>
      <w:tr w:rsidR="007D6CE8" w:rsidRPr="00E93BC5" w14:paraId="7B463B51" w14:textId="77777777" w:rsidTr="001A5984">
        <w:tc>
          <w:tcPr>
            <w:tcW w:w="1882" w:type="pct"/>
            <w:shd w:val="clear" w:color="auto" w:fill="auto"/>
            <w:vAlign w:val="center"/>
          </w:tcPr>
          <w:p w14:paraId="03F987FB"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Từ 50.000 đến 500.000</w:t>
            </w:r>
          </w:p>
        </w:tc>
        <w:tc>
          <w:tcPr>
            <w:tcW w:w="1056" w:type="pct"/>
            <w:shd w:val="clear" w:color="auto" w:fill="auto"/>
            <w:vAlign w:val="center"/>
          </w:tcPr>
          <w:p w14:paraId="16E26C72" w14:textId="77777777"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w:t>
            </w:r>
          </w:p>
        </w:tc>
        <w:tc>
          <w:tcPr>
            <w:tcW w:w="1193" w:type="pct"/>
            <w:shd w:val="clear" w:color="auto" w:fill="auto"/>
            <w:vAlign w:val="center"/>
          </w:tcPr>
          <w:p w14:paraId="0767171A" w14:textId="77777777" w:rsidR="007D6CE8" w:rsidRPr="00E93BC5" w:rsidRDefault="001A5984"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w:t>
            </w:r>
          </w:p>
        </w:tc>
        <w:tc>
          <w:tcPr>
            <w:tcW w:w="870" w:type="pct"/>
            <w:shd w:val="clear" w:color="auto" w:fill="auto"/>
            <w:vAlign w:val="center"/>
          </w:tcPr>
          <w:p w14:paraId="18EDF114" w14:textId="77777777"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0</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00%</w:t>
            </w:r>
          </w:p>
        </w:tc>
      </w:tr>
      <w:tr w:rsidR="007D6CE8" w:rsidRPr="00E93BC5" w14:paraId="7913649F" w14:textId="77777777" w:rsidTr="001A5984">
        <w:tc>
          <w:tcPr>
            <w:tcW w:w="1882" w:type="pct"/>
            <w:shd w:val="clear" w:color="auto" w:fill="auto"/>
            <w:vAlign w:val="center"/>
          </w:tcPr>
          <w:p w14:paraId="505E9553" w14:textId="77777777" w:rsidR="007D6CE8" w:rsidRPr="00E93BC5"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Trên 500.000</w:t>
            </w:r>
          </w:p>
        </w:tc>
        <w:tc>
          <w:tcPr>
            <w:tcW w:w="1056" w:type="pct"/>
            <w:shd w:val="clear" w:color="auto" w:fill="auto"/>
            <w:vAlign w:val="center"/>
          </w:tcPr>
          <w:p w14:paraId="57937794" w14:textId="77777777" w:rsidR="007D6CE8" w:rsidRPr="00E93BC5"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1</w:t>
            </w:r>
          </w:p>
        </w:tc>
        <w:tc>
          <w:tcPr>
            <w:tcW w:w="1193" w:type="pct"/>
            <w:shd w:val="clear" w:color="auto" w:fill="auto"/>
            <w:vAlign w:val="center"/>
          </w:tcPr>
          <w:p w14:paraId="4F5F4E38" w14:textId="77777777" w:rsidR="007D6CE8" w:rsidRPr="00E93BC5" w:rsidRDefault="00530319"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9</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959</w:t>
            </w:r>
            <w:r w:rsidR="00B85125" w:rsidRPr="00E93BC5">
              <w:rPr>
                <w:rFonts w:ascii="Times New Roman" w:eastAsia="Times New Roman" w:hAnsi="Times New Roman"/>
                <w:sz w:val="24"/>
                <w:szCs w:val="24"/>
                <w:lang w:val="nl-NL"/>
              </w:rPr>
              <w:t>.</w:t>
            </w:r>
            <w:r w:rsidRPr="00E93BC5">
              <w:rPr>
                <w:rFonts w:ascii="Times New Roman" w:eastAsia="Times New Roman" w:hAnsi="Times New Roman"/>
                <w:sz w:val="24"/>
                <w:szCs w:val="24"/>
                <w:lang w:val="nl-NL"/>
              </w:rPr>
              <w:t>489,84</w:t>
            </w:r>
          </w:p>
        </w:tc>
        <w:tc>
          <w:tcPr>
            <w:tcW w:w="870" w:type="pct"/>
            <w:shd w:val="clear" w:color="auto" w:fill="auto"/>
            <w:vAlign w:val="center"/>
          </w:tcPr>
          <w:p w14:paraId="164891F0" w14:textId="54BFFD95" w:rsidR="007D6CE8" w:rsidRPr="00E93BC5" w:rsidRDefault="001D4521" w:rsidP="001A5984">
            <w:pPr>
              <w:tabs>
                <w:tab w:val="left" w:pos="540"/>
              </w:tabs>
              <w:spacing w:before="120" w:after="0" w:line="240" w:lineRule="auto"/>
              <w:jc w:val="center"/>
              <w:rPr>
                <w:rFonts w:ascii="Times New Roman" w:eastAsia="Times New Roman" w:hAnsi="Times New Roman"/>
                <w:sz w:val="24"/>
                <w:szCs w:val="24"/>
                <w:lang w:val="nl-NL"/>
              </w:rPr>
            </w:pPr>
            <w:r w:rsidRPr="00E93BC5">
              <w:rPr>
                <w:rFonts w:ascii="Times New Roman" w:eastAsia="Times New Roman" w:hAnsi="Times New Roman"/>
                <w:sz w:val="24"/>
                <w:szCs w:val="24"/>
                <w:lang w:val="nl-NL"/>
              </w:rPr>
              <w:t>99</w:t>
            </w:r>
            <w:r w:rsidR="009B5719" w:rsidRPr="00E93BC5">
              <w:rPr>
                <w:rFonts w:ascii="Times New Roman" w:eastAsia="Times New Roman" w:hAnsi="Times New Roman"/>
                <w:sz w:val="24"/>
                <w:szCs w:val="24"/>
                <w:lang w:val="nl-NL"/>
              </w:rPr>
              <w:t>,</w:t>
            </w:r>
            <w:r w:rsidR="00F54FAC">
              <w:rPr>
                <w:rFonts w:ascii="Times New Roman" w:eastAsia="Times New Roman" w:hAnsi="Times New Roman"/>
                <w:sz w:val="24"/>
                <w:szCs w:val="24"/>
                <w:lang w:val="nl-NL"/>
              </w:rPr>
              <w:t>70</w:t>
            </w:r>
            <w:r w:rsidR="007D6CE8" w:rsidRPr="00E93BC5">
              <w:rPr>
                <w:rFonts w:ascii="Times New Roman" w:eastAsia="Times New Roman" w:hAnsi="Times New Roman"/>
                <w:sz w:val="24"/>
                <w:szCs w:val="24"/>
                <w:lang w:val="nl-NL"/>
              </w:rPr>
              <w:t>%</w:t>
            </w:r>
          </w:p>
        </w:tc>
      </w:tr>
      <w:tr w:rsidR="007D6CE8" w:rsidRPr="00E93BC5" w14:paraId="46E1C62A" w14:textId="77777777" w:rsidTr="000E4B2B">
        <w:trPr>
          <w:trHeight w:val="418"/>
        </w:trPr>
        <w:tc>
          <w:tcPr>
            <w:tcW w:w="1882" w:type="pct"/>
            <w:shd w:val="clear" w:color="auto" w:fill="auto"/>
            <w:vAlign w:val="center"/>
          </w:tcPr>
          <w:p w14:paraId="7808300E" w14:textId="77777777" w:rsidR="007D6CE8" w:rsidRPr="00E93BC5" w:rsidRDefault="007D6CE8" w:rsidP="00B3750F">
            <w:pPr>
              <w:tabs>
                <w:tab w:val="left" w:pos="540"/>
              </w:tabs>
              <w:spacing w:before="120" w:after="0" w:line="240" w:lineRule="auto"/>
              <w:jc w:val="both"/>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Tổng cộng</w:t>
            </w:r>
          </w:p>
        </w:tc>
        <w:tc>
          <w:tcPr>
            <w:tcW w:w="1056" w:type="pct"/>
            <w:shd w:val="clear" w:color="auto" w:fill="auto"/>
            <w:vAlign w:val="center"/>
          </w:tcPr>
          <w:p w14:paraId="6D287282" w14:textId="0AB8ED54" w:rsidR="007D6CE8" w:rsidRPr="00E93BC5" w:rsidRDefault="007D6CE8" w:rsidP="001A5984">
            <w:pPr>
              <w:tabs>
                <w:tab w:val="left" w:pos="540"/>
              </w:tabs>
              <w:spacing w:before="120" w:after="0" w:line="240"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1</w:t>
            </w:r>
            <w:r w:rsidR="009F25FA">
              <w:rPr>
                <w:rFonts w:ascii="Times New Roman" w:eastAsia="Times New Roman" w:hAnsi="Times New Roman"/>
                <w:b/>
                <w:sz w:val="24"/>
                <w:szCs w:val="24"/>
                <w:lang w:val="nl-NL"/>
              </w:rPr>
              <w:t>1</w:t>
            </w:r>
            <w:r w:rsidR="005C04C6">
              <w:rPr>
                <w:rFonts w:ascii="Times New Roman" w:eastAsia="Times New Roman" w:hAnsi="Times New Roman"/>
                <w:b/>
                <w:sz w:val="24"/>
                <w:szCs w:val="24"/>
                <w:lang w:val="nl-NL"/>
              </w:rPr>
              <w:t>7</w:t>
            </w:r>
          </w:p>
        </w:tc>
        <w:tc>
          <w:tcPr>
            <w:tcW w:w="1193" w:type="pct"/>
            <w:shd w:val="clear" w:color="auto" w:fill="auto"/>
            <w:vAlign w:val="center"/>
          </w:tcPr>
          <w:p w14:paraId="43BDD4F2" w14:textId="282034B0" w:rsidR="007D6CE8" w:rsidRPr="00E93BC5" w:rsidRDefault="00916A60" w:rsidP="001A5984">
            <w:pPr>
              <w:tabs>
                <w:tab w:val="left" w:pos="540"/>
              </w:tabs>
              <w:spacing w:before="120" w:after="0" w:line="240" w:lineRule="auto"/>
              <w:jc w:val="center"/>
              <w:rPr>
                <w:rFonts w:ascii="Times New Roman" w:eastAsia="Times New Roman" w:hAnsi="Times New Roman"/>
                <w:b/>
                <w:sz w:val="24"/>
                <w:szCs w:val="24"/>
                <w:lang w:val="nl-NL"/>
              </w:rPr>
            </w:pPr>
            <w:r w:rsidRPr="00916A60">
              <w:rPr>
                <w:rFonts w:ascii="Times New Roman" w:eastAsia="Times New Roman" w:hAnsi="Times New Roman"/>
                <w:b/>
                <w:sz w:val="24"/>
                <w:szCs w:val="24"/>
                <w:lang w:val="nl-NL"/>
              </w:rPr>
              <w:t>9</w:t>
            </w:r>
            <w:r>
              <w:rPr>
                <w:rFonts w:ascii="Times New Roman" w:eastAsia="Times New Roman" w:hAnsi="Times New Roman"/>
                <w:b/>
                <w:sz w:val="24"/>
                <w:szCs w:val="24"/>
                <w:lang w:val="nl-NL"/>
              </w:rPr>
              <w:t>.</w:t>
            </w:r>
            <w:r w:rsidRPr="00916A60">
              <w:rPr>
                <w:rFonts w:ascii="Times New Roman" w:eastAsia="Times New Roman" w:hAnsi="Times New Roman"/>
                <w:b/>
                <w:sz w:val="24"/>
                <w:szCs w:val="24"/>
                <w:lang w:val="nl-NL"/>
              </w:rPr>
              <w:t>989</w:t>
            </w:r>
            <w:r>
              <w:rPr>
                <w:rFonts w:ascii="Times New Roman" w:eastAsia="Times New Roman" w:hAnsi="Times New Roman"/>
                <w:b/>
                <w:sz w:val="24"/>
                <w:szCs w:val="24"/>
                <w:lang w:val="nl-NL"/>
              </w:rPr>
              <w:t>.</w:t>
            </w:r>
            <w:r w:rsidRPr="00916A60">
              <w:rPr>
                <w:rFonts w:ascii="Times New Roman" w:eastAsia="Times New Roman" w:hAnsi="Times New Roman"/>
                <w:b/>
                <w:sz w:val="24"/>
                <w:szCs w:val="24"/>
                <w:lang w:val="nl-NL"/>
              </w:rPr>
              <w:t>176</w:t>
            </w:r>
            <w:r>
              <w:rPr>
                <w:rFonts w:ascii="Times New Roman" w:eastAsia="Times New Roman" w:hAnsi="Times New Roman"/>
                <w:b/>
                <w:sz w:val="24"/>
                <w:szCs w:val="24"/>
                <w:lang w:val="nl-NL"/>
              </w:rPr>
              <w:t>,</w:t>
            </w:r>
            <w:r w:rsidRPr="00916A60">
              <w:rPr>
                <w:rFonts w:ascii="Times New Roman" w:eastAsia="Times New Roman" w:hAnsi="Times New Roman"/>
                <w:b/>
                <w:sz w:val="24"/>
                <w:szCs w:val="24"/>
                <w:lang w:val="nl-NL"/>
              </w:rPr>
              <w:t>99</w:t>
            </w:r>
          </w:p>
        </w:tc>
        <w:tc>
          <w:tcPr>
            <w:tcW w:w="870" w:type="pct"/>
            <w:shd w:val="clear" w:color="auto" w:fill="auto"/>
            <w:vAlign w:val="center"/>
          </w:tcPr>
          <w:p w14:paraId="649F1B28" w14:textId="77777777" w:rsidR="007D6CE8" w:rsidRPr="00E93BC5" w:rsidRDefault="007D6CE8" w:rsidP="001A5984">
            <w:pPr>
              <w:tabs>
                <w:tab w:val="left" w:pos="540"/>
              </w:tabs>
              <w:spacing w:before="120" w:after="0" w:line="240" w:lineRule="auto"/>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100</w:t>
            </w:r>
            <w:r w:rsidR="00B85125" w:rsidRPr="00E93BC5">
              <w:rPr>
                <w:rFonts w:ascii="Times New Roman" w:eastAsia="Times New Roman" w:hAnsi="Times New Roman"/>
                <w:b/>
                <w:sz w:val="24"/>
                <w:szCs w:val="24"/>
                <w:lang w:val="nl-NL"/>
              </w:rPr>
              <w:t>,00</w:t>
            </w:r>
            <w:r w:rsidRPr="00E93BC5">
              <w:rPr>
                <w:rFonts w:ascii="Times New Roman" w:eastAsia="Times New Roman" w:hAnsi="Times New Roman"/>
                <w:b/>
                <w:sz w:val="24"/>
                <w:szCs w:val="24"/>
                <w:lang w:val="nl-NL"/>
              </w:rPr>
              <w:t>%</w:t>
            </w:r>
          </w:p>
        </w:tc>
      </w:tr>
    </w:tbl>
    <w:p w14:paraId="5E7C2407" w14:textId="77777777" w:rsidR="00445F8E" w:rsidRPr="00E93BC5" w:rsidRDefault="00445F8E" w:rsidP="00B3750F">
      <w:pPr>
        <w:shd w:val="clear" w:color="auto" w:fill="FFFFFF"/>
        <w:tabs>
          <w:tab w:val="left" w:pos="540"/>
        </w:tabs>
        <w:spacing w:before="120" w:after="0" w:line="240" w:lineRule="auto"/>
        <w:jc w:val="both"/>
        <w:rPr>
          <w:rFonts w:ascii="Times New Roman" w:hAnsi="Times New Roman"/>
          <w:b/>
          <w:sz w:val="24"/>
          <w:szCs w:val="24"/>
          <w:u w:val="single"/>
          <w:lang w:val="nl-NL"/>
        </w:rPr>
      </w:pPr>
    </w:p>
    <w:p w14:paraId="5B7F1A86" w14:textId="77777777" w:rsidR="001C4468" w:rsidRPr="00E93BC5" w:rsidRDefault="001C4468" w:rsidP="00B3750F">
      <w:pPr>
        <w:shd w:val="clear" w:color="auto" w:fill="FFFFFF"/>
        <w:tabs>
          <w:tab w:val="left" w:pos="540"/>
        </w:tabs>
        <w:spacing w:before="120" w:after="0" w:line="240" w:lineRule="auto"/>
        <w:jc w:val="both"/>
        <w:rPr>
          <w:rFonts w:ascii="Times New Roman" w:hAnsi="Times New Roman"/>
          <w:i/>
          <w:sz w:val="24"/>
          <w:szCs w:val="24"/>
          <w:lang w:val="nl-NL"/>
        </w:rPr>
      </w:pPr>
      <w:r w:rsidRPr="00E93BC5">
        <w:rPr>
          <w:rFonts w:ascii="Times New Roman" w:hAnsi="Times New Roman"/>
          <w:b/>
          <w:sz w:val="24"/>
          <w:szCs w:val="24"/>
          <w:u w:val="single"/>
          <w:lang w:val="nl-NL"/>
        </w:rPr>
        <w:t>Ghi chú:</w:t>
      </w:r>
      <w:r w:rsidRPr="00E93BC5">
        <w:rPr>
          <w:rFonts w:ascii="Times New Roman" w:hAnsi="Times New Roman"/>
          <w:i/>
          <w:sz w:val="24"/>
          <w:szCs w:val="24"/>
          <w:lang w:val="nl-NL"/>
        </w:rPr>
        <w:t xml:space="preserve"> Trình bày tình hình nắm giữ Chứng chỉ quỹ của Nhà đầu tư từ ít nhất đến nhiều nhất.</w:t>
      </w:r>
    </w:p>
    <w:p w14:paraId="36297BCB" w14:textId="77777777" w:rsidR="001C4468" w:rsidRPr="00E93BC5" w:rsidRDefault="001C4468" w:rsidP="001A5984">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sz w:val="24"/>
          <w:szCs w:val="24"/>
          <w:lang w:val="nl-NL"/>
        </w:rPr>
      </w:pPr>
      <w:r w:rsidRPr="00E93BC5">
        <w:rPr>
          <w:rFonts w:ascii="Times New Roman" w:hAnsi="Times New Roman"/>
          <w:b/>
          <w:sz w:val="24"/>
          <w:szCs w:val="24"/>
          <w:lang w:val="nl-NL"/>
        </w:rPr>
        <w:t>Chi phí ngầm và giảm giá</w:t>
      </w:r>
    </w:p>
    <w:p w14:paraId="707EF0E9" w14:textId="77777777" w:rsidR="003E4AD7" w:rsidRPr="00E93BC5" w:rsidRDefault="003E4AD7" w:rsidP="001A5984">
      <w:pPr>
        <w:spacing w:before="240"/>
        <w:jc w:val="both"/>
        <w:rPr>
          <w:rFonts w:ascii="Times New Roman" w:hAnsi="Times New Roman"/>
          <w:sz w:val="24"/>
          <w:szCs w:val="24"/>
          <w:lang w:val="nl-NL"/>
        </w:rPr>
      </w:pPr>
      <w:r w:rsidRPr="00E93BC5">
        <w:rPr>
          <w:rFonts w:ascii="Times New Roman" w:hAnsi="Times New Roman"/>
          <w:sz w:val="24"/>
          <w:szCs w:val="24"/>
          <w:lang w:val="nl-NL"/>
        </w:rPr>
        <w:t>Để hạn chế vấn đề xung đột về lợi ích và đảm bảo sự chính xác của các khoản mục chi phí của Quỹ, Công ty quy định tất cả các nhân viên của công ty không được phép nhận các khoản giảm giá bằng tiền và không được thực hiện các khoản chi phí ngầm khi thực hiện các giao dịch của Quỹ với các đối tác cung cấp dịch vụ cho Quỹ.</w:t>
      </w:r>
    </w:p>
    <w:p w14:paraId="50ED1680" w14:textId="77777777" w:rsidR="004B07B4" w:rsidRPr="00E93BC5" w:rsidRDefault="003E4AD7" w:rsidP="00B3750F">
      <w:pPr>
        <w:shd w:val="clear" w:color="auto" w:fill="FFFFFF"/>
        <w:tabs>
          <w:tab w:val="left" w:pos="540"/>
        </w:tabs>
        <w:spacing w:before="120" w:after="0" w:line="240" w:lineRule="auto"/>
        <w:jc w:val="both"/>
        <w:rPr>
          <w:rFonts w:ascii="Times New Roman" w:hAnsi="Times New Roman"/>
          <w:sz w:val="24"/>
          <w:szCs w:val="24"/>
          <w:lang w:val="nl-NL"/>
        </w:rPr>
      </w:pPr>
      <w:r w:rsidRPr="00E93BC5">
        <w:rPr>
          <w:rFonts w:ascii="Times New Roman" w:hAnsi="Times New Roman"/>
          <w:sz w:val="24"/>
          <w:szCs w:val="24"/>
          <w:lang w:val="nl-NL"/>
        </w:rPr>
        <w:t>Trong kỳ báo cáo, Quỹ không phát sinh các khoản giảm giá bằng tiền hoặc chi phí ngầm liên quan đến các giao dịch của Quỹ với các đối tác cung c</w:t>
      </w:r>
      <w:r w:rsidR="00040FFF" w:rsidRPr="00E93BC5">
        <w:rPr>
          <w:rFonts w:ascii="Times New Roman" w:hAnsi="Times New Roman"/>
          <w:sz w:val="24"/>
          <w:szCs w:val="24"/>
          <w:lang w:val="nl-NL"/>
        </w:rPr>
        <w:t>ấp</w:t>
      </w:r>
      <w:r w:rsidRPr="00E93BC5">
        <w:rPr>
          <w:rFonts w:ascii="Times New Roman" w:hAnsi="Times New Roman"/>
          <w:sz w:val="24"/>
          <w:szCs w:val="24"/>
          <w:lang w:val="nl-NL"/>
        </w:rPr>
        <w:t xml:space="preserve"> dịch vụ cho Quỹ.</w:t>
      </w:r>
    </w:p>
    <w:p w14:paraId="32851015" w14:textId="77777777" w:rsidR="001C4468" w:rsidRPr="00E93BC5" w:rsidRDefault="001C4468" w:rsidP="00445F8E">
      <w:pPr>
        <w:shd w:val="clear" w:color="auto" w:fill="FFFFFF"/>
        <w:tabs>
          <w:tab w:val="left" w:pos="540"/>
        </w:tabs>
        <w:spacing w:before="120" w:after="0" w:line="36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V. </w:t>
      </w:r>
      <w:r w:rsidR="004B07B4" w:rsidRPr="00E93BC5">
        <w:rPr>
          <w:rFonts w:ascii="Times New Roman" w:hAnsi="Times New Roman"/>
          <w:b/>
          <w:sz w:val="24"/>
          <w:szCs w:val="24"/>
          <w:lang w:val="nl-NL"/>
        </w:rPr>
        <w:tab/>
      </w:r>
      <w:bookmarkStart w:id="2" w:name="_Hlk37245167"/>
      <w:r w:rsidRPr="00E93BC5">
        <w:rPr>
          <w:rFonts w:ascii="Times New Roman" w:hAnsi="Times New Roman"/>
          <w:b/>
          <w:sz w:val="24"/>
          <w:szCs w:val="24"/>
          <w:lang w:val="nl-NL"/>
        </w:rPr>
        <w:t>T</w:t>
      </w:r>
      <w:r w:rsidR="004B07B4" w:rsidRPr="00E93BC5">
        <w:rPr>
          <w:rFonts w:ascii="Times New Roman" w:hAnsi="Times New Roman"/>
          <w:b/>
          <w:sz w:val="24"/>
          <w:szCs w:val="24"/>
          <w:lang w:val="nl-NL"/>
        </w:rPr>
        <w:t>HÔNG TIN VỀ TRIỂN VỌNG THỊ TRƯỜNG</w:t>
      </w:r>
      <w:bookmarkEnd w:id="2"/>
    </w:p>
    <w:p w14:paraId="7DE810E6" w14:textId="77777777" w:rsidR="00184D02" w:rsidRPr="00BB27D1" w:rsidRDefault="00184D02" w:rsidP="00184D02">
      <w:pPr>
        <w:shd w:val="clear" w:color="auto" w:fill="FFFFFF" w:themeFill="background1"/>
        <w:spacing w:before="120"/>
        <w:jc w:val="both"/>
        <w:rPr>
          <w:rFonts w:ascii="Times New Roman" w:hAnsi="Times New Roman"/>
          <w:sz w:val="24"/>
          <w:szCs w:val="24"/>
          <w:lang w:val="nl-NL"/>
        </w:rPr>
      </w:pPr>
      <w:r w:rsidRPr="00DD7EFD">
        <w:rPr>
          <w:rFonts w:ascii="Times New Roman" w:hAnsi="Times New Roman"/>
          <w:sz w:val="24"/>
          <w:szCs w:val="24"/>
          <w:lang w:val="nl-NL"/>
        </w:rPr>
        <w:t>Trong bối cảnh chiến tranh thương mại căng thẳng và các diễn biến bất định của địa chính trị thế giới, hoạt động xuất khẩu của Việt Nam đứng trước nhiều khó khăn trong năm 2025</w:t>
      </w:r>
      <w:r>
        <w:rPr>
          <w:rFonts w:ascii="Times New Roman" w:hAnsi="Times New Roman"/>
          <w:sz w:val="24"/>
          <w:szCs w:val="24"/>
          <w:lang w:val="nl-NL"/>
        </w:rPr>
        <w:t xml:space="preserve"> ảnh hưởng đến việc kiểm soát các biến số vĩ mô cũng như triển vọng phát triển của các doanh nghiệp</w:t>
      </w:r>
      <w:r w:rsidRPr="00DD7EFD">
        <w:rPr>
          <w:rFonts w:ascii="Times New Roman" w:hAnsi="Times New Roman"/>
          <w:sz w:val="24"/>
          <w:szCs w:val="24"/>
          <w:lang w:val="nl-NL"/>
        </w:rPr>
        <w:t xml:space="preserve">. </w:t>
      </w:r>
      <w:r>
        <w:rPr>
          <w:rFonts w:ascii="Times New Roman" w:hAnsi="Times New Roman"/>
          <w:sz w:val="24"/>
          <w:szCs w:val="24"/>
          <w:lang w:val="nl-NL"/>
        </w:rPr>
        <w:t>Tuy nhiên, từ nội tại t</w:t>
      </w:r>
      <w:r w:rsidRPr="00BB27D1">
        <w:rPr>
          <w:rFonts w:ascii="Times New Roman" w:hAnsi="Times New Roman"/>
          <w:sz w:val="24"/>
          <w:szCs w:val="24"/>
          <w:lang w:val="nl-NL"/>
        </w:rPr>
        <w:t>hị trường chứng khoán Việt Nam năm 2025 được kỳ vọng sẽ có những bước phát triển đột phá</w:t>
      </w:r>
      <w:r>
        <w:rPr>
          <w:rFonts w:ascii="Times New Roman" w:hAnsi="Times New Roman"/>
          <w:sz w:val="24"/>
          <w:szCs w:val="24"/>
          <w:lang w:val="nl-NL"/>
        </w:rPr>
        <w:t xml:space="preserve"> về nền tảng</w:t>
      </w:r>
      <w:r w:rsidRPr="00BB27D1">
        <w:rPr>
          <w:rFonts w:ascii="Times New Roman" w:hAnsi="Times New Roman"/>
          <w:sz w:val="24"/>
          <w:szCs w:val="24"/>
          <w:lang w:val="nl-NL"/>
        </w:rPr>
        <w:t xml:space="preserve">, đặc biệt là với kỳ vọng nâng hạng thị trường và sự hoàn thiện khung pháp lý. Thị trường cổ phiếu được </w:t>
      </w:r>
      <w:r>
        <w:rPr>
          <w:rFonts w:ascii="Times New Roman" w:hAnsi="Times New Roman"/>
          <w:sz w:val="24"/>
          <w:szCs w:val="24"/>
          <w:lang w:val="nl-NL"/>
        </w:rPr>
        <w:t>nhiều yếu tố hỗ trợ</w:t>
      </w:r>
      <w:r w:rsidRPr="00BB27D1">
        <w:rPr>
          <w:rFonts w:ascii="Times New Roman" w:hAnsi="Times New Roman"/>
          <w:sz w:val="24"/>
          <w:szCs w:val="24"/>
          <w:lang w:val="nl-NL"/>
        </w:rPr>
        <w:t xml:space="preserve"> </w:t>
      </w:r>
      <w:r>
        <w:rPr>
          <w:rFonts w:ascii="Times New Roman" w:hAnsi="Times New Roman"/>
          <w:sz w:val="24"/>
          <w:szCs w:val="24"/>
          <w:lang w:val="nl-NL"/>
        </w:rPr>
        <w:t>từ hệ thống giao dịch mới và</w:t>
      </w:r>
      <w:r w:rsidRPr="00BB27D1">
        <w:rPr>
          <w:rFonts w:ascii="Times New Roman" w:hAnsi="Times New Roman"/>
          <w:sz w:val="24"/>
          <w:szCs w:val="24"/>
          <w:lang w:val="nl-NL"/>
        </w:rPr>
        <w:t xml:space="preserve"> việc nâng hạn lên thị trường mới nổi, mặt bằng lãi suất cho vay được hạ thấp và kinh tế tiếp tục tăng trưởng nhờ cải cách thể chế và môi trường kinh doanh, đẩy mạnh đầu tư công và thu hút đầu tư FDI</w:t>
      </w:r>
      <w:r>
        <w:rPr>
          <w:rFonts w:ascii="Times New Roman" w:hAnsi="Times New Roman"/>
          <w:sz w:val="24"/>
          <w:szCs w:val="24"/>
          <w:lang w:val="nl-NL"/>
        </w:rPr>
        <w:t xml:space="preserve"> chất lượng cao</w:t>
      </w:r>
      <w:r w:rsidRPr="00BB27D1">
        <w:rPr>
          <w:rFonts w:ascii="Times New Roman" w:hAnsi="Times New Roman"/>
          <w:sz w:val="24"/>
          <w:szCs w:val="24"/>
          <w:lang w:val="nl-NL"/>
        </w:rPr>
        <w:t xml:space="preserve">. Thị trường trái phiếu doanh nghiệp cũng được kỳ vọng tiếp tục phục hồi và phát triển, được hỗ trợ bởi nhu cầu vốn cao và những thay đổi tích cực từ Luật Chứng khoán sửa đổi. Tuy nhiên, cần lưu ý đến những thách thức từ bối cảnh </w:t>
      </w:r>
      <w:r>
        <w:rPr>
          <w:rFonts w:ascii="Times New Roman" w:hAnsi="Times New Roman"/>
          <w:sz w:val="24"/>
          <w:szCs w:val="24"/>
          <w:lang w:val="nl-NL"/>
        </w:rPr>
        <w:t>chiến tranh thương mại</w:t>
      </w:r>
      <w:r w:rsidRPr="00BB27D1">
        <w:rPr>
          <w:rFonts w:ascii="Times New Roman" w:hAnsi="Times New Roman"/>
          <w:sz w:val="24"/>
          <w:szCs w:val="24"/>
          <w:lang w:val="nl-NL"/>
        </w:rPr>
        <w:t xml:space="preserve"> toàn cầu, áp lực</w:t>
      </w:r>
      <w:r>
        <w:rPr>
          <w:rFonts w:ascii="Times New Roman" w:hAnsi="Times New Roman"/>
          <w:sz w:val="24"/>
          <w:szCs w:val="24"/>
          <w:lang w:val="nl-NL"/>
        </w:rPr>
        <w:t xml:space="preserve"> lạm phát và tỷ giá</w:t>
      </w:r>
      <w:r w:rsidRPr="00BB27D1">
        <w:rPr>
          <w:rFonts w:ascii="Times New Roman" w:hAnsi="Times New Roman"/>
          <w:sz w:val="24"/>
          <w:szCs w:val="24"/>
          <w:lang w:val="nl-NL"/>
        </w:rPr>
        <w:t xml:space="preserve">. Nhìn chung, năm 2025 mang đến nhiều </w:t>
      </w:r>
      <w:r>
        <w:rPr>
          <w:rFonts w:ascii="Times New Roman" w:hAnsi="Times New Roman"/>
          <w:sz w:val="24"/>
          <w:szCs w:val="24"/>
          <w:lang w:val="nl-NL"/>
        </w:rPr>
        <w:t xml:space="preserve">thách thức nhưng cũng có nhiều hơn các </w:t>
      </w:r>
      <w:r w:rsidRPr="00BB27D1">
        <w:rPr>
          <w:rFonts w:ascii="Times New Roman" w:hAnsi="Times New Roman"/>
          <w:sz w:val="24"/>
          <w:szCs w:val="24"/>
          <w:lang w:val="nl-NL"/>
        </w:rPr>
        <w:t>cơ hội đầu tư hấp dẫn trên cả thị trường trái phiếu và cổ phiếu, đòi hỏi sự thận trọng và phân tích kỹ lưỡng.</w:t>
      </w:r>
    </w:p>
    <w:p w14:paraId="4FB3EAD2" w14:textId="4ADD4F79" w:rsidR="004275CE" w:rsidRPr="00E93BC5" w:rsidRDefault="00184D02" w:rsidP="00184D02">
      <w:pPr>
        <w:shd w:val="clear" w:color="auto" w:fill="FFFFFF" w:themeFill="background1"/>
        <w:spacing w:before="120"/>
        <w:jc w:val="both"/>
        <w:rPr>
          <w:rFonts w:ascii="Times New Roman" w:eastAsiaTheme="minorHAnsi" w:hAnsi="Times New Roman"/>
          <w:sz w:val="24"/>
          <w:szCs w:val="24"/>
          <w:lang w:val="nl-NL"/>
        </w:rPr>
      </w:pPr>
      <w:r w:rsidRPr="00BB27D1">
        <w:rPr>
          <w:rFonts w:ascii="Times New Roman" w:hAnsi="Times New Roman"/>
          <w:sz w:val="24"/>
          <w:szCs w:val="24"/>
          <w:lang w:val="nl-NL"/>
        </w:rPr>
        <w:t>Từ các phân tích thị trường, Quỹ CBPF sẽ tiếp tục tận dụng các cơ hội từ thị trường sơ cấp cũng như thứ cấp để gia tăng lợi suất đầu tư tuy nhiên vẫn duy trì sự cẩn trọng trong quản trị rủi ro của từng khoản đầu cũng như của toàn bộ danh mục</w:t>
      </w:r>
      <w:r w:rsidR="0079546F" w:rsidRPr="00184D02">
        <w:rPr>
          <w:rFonts w:ascii="Times New Roman" w:hAnsi="Times New Roman"/>
          <w:sz w:val="24"/>
          <w:szCs w:val="24"/>
          <w:lang w:val="nl-NL"/>
        </w:rPr>
        <w:t>.</w:t>
      </w:r>
    </w:p>
    <w:p w14:paraId="44445B9F" w14:textId="77777777" w:rsidR="001C4468" w:rsidRPr="00E93BC5" w:rsidRDefault="001C4468" w:rsidP="00DE5A22">
      <w:pPr>
        <w:shd w:val="clear" w:color="auto" w:fill="FFFFFF"/>
        <w:tabs>
          <w:tab w:val="left" w:pos="540"/>
          <w:tab w:val="right" w:pos="990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t xml:space="preserve">VI. </w:t>
      </w:r>
      <w:r w:rsidR="004B07B4" w:rsidRPr="00E93BC5">
        <w:rPr>
          <w:rFonts w:ascii="Times New Roman" w:hAnsi="Times New Roman"/>
          <w:b/>
          <w:sz w:val="24"/>
          <w:szCs w:val="24"/>
          <w:lang w:val="nl-NL"/>
        </w:rPr>
        <w:tab/>
      </w:r>
      <w:r w:rsidRPr="00E93BC5">
        <w:rPr>
          <w:rFonts w:ascii="Times New Roman" w:hAnsi="Times New Roman"/>
          <w:b/>
          <w:sz w:val="24"/>
          <w:szCs w:val="24"/>
          <w:lang w:val="nl-NL"/>
        </w:rPr>
        <w:t>T</w:t>
      </w:r>
      <w:r w:rsidR="004B07B4" w:rsidRPr="00E93BC5">
        <w:rPr>
          <w:rFonts w:ascii="Times New Roman" w:hAnsi="Times New Roman"/>
          <w:b/>
          <w:sz w:val="24"/>
          <w:szCs w:val="24"/>
          <w:lang w:val="nl-NL"/>
        </w:rPr>
        <w:t>HÔNG TIN KHÁC</w:t>
      </w:r>
      <w:r w:rsidR="003E0DEE" w:rsidRPr="00E93BC5">
        <w:rPr>
          <w:rFonts w:ascii="Times New Roman" w:hAnsi="Times New Roman"/>
          <w:b/>
          <w:sz w:val="24"/>
          <w:szCs w:val="24"/>
          <w:lang w:val="nl-NL"/>
        </w:rPr>
        <w:tab/>
      </w:r>
    </w:p>
    <w:p w14:paraId="06D504F3" w14:textId="11E01B90" w:rsidR="001E511A" w:rsidRPr="00E93BC5" w:rsidRDefault="00C23979" w:rsidP="00925163">
      <w:pPr>
        <w:shd w:val="clear" w:color="auto" w:fill="FFFFFF"/>
        <w:tabs>
          <w:tab w:val="left" w:pos="540"/>
        </w:tabs>
        <w:spacing w:before="120" w:after="0"/>
        <w:jc w:val="both"/>
        <w:rPr>
          <w:rFonts w:ascii="Times New Roman" w:hAnsi="Times New Roman"/>
          <w:sz w:val="24"/>
          <w:szCs w:val="24"/>
          <w:lang w:val="nl-NL"/>
        </w:rPr>
      </w:pPr>
      <w:r w:rsidRPr="00E93BC5">
        <w:rPr>
          <w:rFonts w:ascii="Times New Roman" w:hAnsi="Times New Roman"/>
          <w:sz w:val="24"/>
          <w:szCs w:val="24"/>
          <w:lang w:val="nl-NL"/>
        </w:rPr>
        <w:t>Quỹ không có nhân viên và được quản lý bởi Công ty T</w:t>
      </w:r>
      <w:r w:rsidR="004B07B4" w:rsidRPr="00E93BC5">
        <w:rPr>
          <w:rFonts w:ascii="Times New Roman" w:hAnsi="Times New Roman"/>
          <w:sz w:val="24"/>
          <w:szCs w:val="24"/>
          <w:lang w:val="nl-NL"/>
        </w:rPr>
        <w:t>rách Nhiệm Hữu Hạn Một Thành Viên</w:t>
      </w:r>
      <w:r w:rsidRPr="00E93BC5">
        <w:rPr>
          <w:rFonts w:ascii="Times New Roman" w:hAnsi="Times New Roman"/>
          <w:sz w:val="24"/>
          <w:szCs w:val="24"/>
          <w:lang w:val="nl-NL"/>
        </w:rPr>
        <w:t xml:space="preserve"> Quản lý Quỹ Chubb Life (“Công ty Quản lý Quỹ”). Công ty Quản lý Quỹ được thành lập theo Giấy phép số 52/GP-UBCK do Ủy ban Chứng khoán Nhà nước cấp ngày 24 tháng 10 năm 2013</w:t>
      </w:r>
      <w:r w:rsidR="001B0DD1" w:rsidRPr="00E93BC5">
        <w:rPr>
          <w:rFonts w:ascii="Times New Roman" w:hAnsi="Times New Roman"/>
          <w:sz w:val="24"/>
          <w:szCs w:val="24"/>
          <w:lang w:val="nl-NL"/>
        </w:rPr>
        <w:t>.</w:t>
      </w:r>
    </w:p>
    <w:p w14:paraId="5EB754D9" w14:textId="77777777" w:rsidR="003E0DEE" w:rsidRPr="00E93BC5" w:rsidRDefault="00444BF6" w:rsidP="00B3750F">
      <w:pPr>
        <w:shd w:val="clear" w:color="auto" w:fill="FFFFFF"/>
        <w:tabs>
          <w:tab w:val="left" w:pos="540"/>
        </w:tabs>
        <w:spacing w:before="120" w:after="0" w:line="240" w:lineRule="auto"/>
        <w:jc w:val="both"/>
        <w:rPr>
          <w:rFonts w:ascii="Times New Roman" w:hAnsi="Times New Roman"/>
          <w:b/>
          <w:sz w:val="24"/>
          <w:szCs w:val="24"/>
          <w:lang w:val="nl-NL"/>
        </w:rPr>
      </w:pPr>
      <w:r w:rsidRPr="00E93BC5">
        <w:rPr>
          <w:rFonts w:ascii="Times New Roman" w:hAnsi="Times New Roman"/>
          <w:b/>
          <w:sz w:val="24"/>
          <w:szCs w:val="24"/>
          <w:lang w:val="nl-NL"/>
        </w:rPr>
        <w:t>Nhân sự Ban điều hành công ty Quản lý quỹ gồm có:</w:t>
      </w:r>
    </w:p>
    <w:p w14:paraId="46C248F6" w14:textId="77777777" w:rsidR="002B3684" w:rsidRPr="00E93BC5" w:rsidRDefault="002B3684" w:rsidP="00B3750F">
      <w:pPr>
        <w:shd w:val="clear" w:color="auto" w:fill="FFFFFF"/>
        <w:tabs>
          <w:tab w:val="left" w:pos="540"/>
        </w:tabs>
        <w:spacing w:before="120" w:after="0" w:line="240" w:lineRule="auto"/>
        <w:jc w:val="both"/>
        <w:rPr>
          <w:rFonts w:ascii="Times New Roman" w:hAnsi="Times New Roman"/>
          <w:b/>
          <w:sz w:val="24"/>
          <w:szCs w:val="24"/>
          <w:lang w:val="nl-NL"/>
        </w:rPr>
      </w:pPr>
    </w:p>
    <w:tbl>
      <w:tblPr>
        <w:tblW w:w="10256" w:type="dxa"/>
        <w:tblInd w:w="108" w:type="dxa"/>
        <w:tblLook w:val="04A0" w:firstRow="1" w:lastRow="0" w:firstColumn="1" w:lastColumn="0" w:noHBand="0" w:noVBand="1"/>
      </w:tblPr>
      <w:tblGrid>
        <w:gridCol w:w="1709"/>
        <w:gridCol w:w="1252"/>
        <w:gridCol w:w="1252"/>
        <w:gridCol w:w="6043"/>
      </w:tblGrid>
      <w:tr w:rsidR="005C4036" w:rsidRPr="00E93BC5" w14:paraId="4FEA7A80" w14:textId="77777777" w:rsidTr="001929F3">
        <w:trPr>
          <w:trHeight w:val="552"/>
        </w:trPr>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E055"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lastRenderedPageBreak/>
              <w:t>Họ và tên</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132BE3FD"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Chức vụ</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15D622DA"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Bằng cấp</w:t>
            </w:r>
          </w:p>
        </w:tc>
        <w:tc>
          <w:tcPr>
            <w:tcW w:w="6043" w:type="dxa"/>
            <w:tcBorders>
              <w:top w:val="single" w:sz="4" w:space="0" w:color="auto"/>
              <w:left w:val="nil"/>
              <w:bottom w:val="single" w:sz="4" w:space="0" w:color="auto"/>
              <w:right w:val="single" w:sz="4" w:space="0" w:color="auto"/>
            </w:tcBorders>
            <w:shd w:val="clear" w:color="auto" w:fill="auto"/>
            <w:noWrap/>
            <w:vAlign w:val="center"/>
            <w:hideMark/>
          </w:tcPr>
          <w:p w14:paraId="5303B2AD"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Quá trình công tác</w:t>
            </w:r>
          </w:p>
        </w:tc>
      </w:tr>
      <w:tr w:rsidR="00175E60" w:rsidRPr="00E70B8F" w14:paraId="30FE364B" w14:textId="77777777" w:rsidTr="001929F3">
        <w:trPr>
          <w:trHeight w:val="3745"/>
        </w:trPr>
        <w:tc>
          <w:tcPr>
            <w:tcW w:w="1709" w:type="dxa"/>
            <w:tcBorders>
              <w:top w:val="nil"/>
              <w:left w:val="single" w:sz="4" w:space="0" w:color="auto"/>
              <w:bottom w:val="single" w:sz="4" w:space="0" w:color="auto"/>
              <w:right w:val="single" w:sz="4" w:space="0" w:color="auto"/>
            </w:tcBorders>
            <w:shd w:val="clear" w:color="auto" w:fill="auto"/>
            <w:vAlign w:val="center"/>
            <w:hideMark/>
          </w:tcPr>
          <w:p w14:paraId="31F738C5" w14:textId="716B7BB3" w:rsidR="00175E60" w:rsidRPr="00E93BC5" w:rsidRDefault="00175E60" w:rsidP="00175E60">
            <w:pPr>
              <w:jc w:val="center"/>
              <w:rPr>
                <w:rFonts w:ascii="Times New Roman" w:hAnsi="Times New Roman"/>
                <w:sz w:val="24"/>
                <w:szCs w:val="24"/>
                <w:lang w:val="nl-NL"/>
              </w:rPr>
            </w:pPr>
            <w:r w:rsidRPr="00845946">
              <w:rPr>
                <w:rFonts w:ascii="Times New Roman" w:hAnsi="Times New Roman"/>
                <w:sz w:val="24"/>
                <w:szCs w:val="24"/>
                <w:lang w:val="nl-NL"/>
              </w:rPr>
              <w:t>Nguyễn Hồng Sơn</w:t>
            </w:r>
          </w:p>
        </w:tc>
        <w:tc>
          <w:tcPr>
            <w:tcW w:w="1252" w:type="dxa"/>
            <w:tcBorders>
              <w:top w:val="nil"/>
              <w:left w:val="nil"/>
              <w:bottom w:val="single" w:sz="4" w:space="0" w:color="auto"/>
              <w:right w:val="single" w:sz="4" w:space="0" w:color="auto"/>
            </w:tcBorders>
            <w:shd w:val="clear" w:color="auto" w:fill="auto"/>
            <w:vAlign w:val="center"/>
            <w:hideMark/>
          </w:tcPr>
          <w:p w14:paraId="7449BAA0" w14:textId="0E1A82DF" w:rsidR="00175E60" w:rsidRPr="00E93BC5" w:rsidRDefault="00175E60" w:rsidP="00175E60">
            <w:pPr>
              <w:jc w:val="center"/>
              <w:rPr>
                <w:rFonts w:ascii="Times New Roman" w:hAnsi="Times New Roman"/>
                <w:sz w:val="24"/>
                <w:szCs w:val="24"/>
                <w:lang w:val="nl-NL"/>
              </w:rPr>
            </w:pPr>
            <w:r w:rsidRPr="00845946">
              <w:rPr>
                <w:rFonts w:ascii="Times New Roman" w:hAnsi="Times New Roman"/>
                <w:sz w:val="24"/>
                <w:szCs w:val="24"/>
                <w:lang w:val="nl-NL"/>
              </w:rPr>
              <w:t>Chủ tịch Công ty</w:t>
            </w:r>
          </w:p>
        </w:tc>
        <w:tc>
          <w:tcPr>
            <w:tcW w:w="1252" w:type="dxa"/>
            <w:tcBorders>
              <w:top w:val="nil"/>
              <w:left w:val="nil"/>
              <w:bottom w:val="single" w:sz="4" w:space="0" w:color="auto"/>
              <w:right w:val="single" w:sz="4" w:space="0" w:color="auto"/>
            </w:tcBorders>
            <w:shd w:val="clear" w:color="auto" w:fill="auto"/>
            <w:vAlign w:val="center"/>
            <w:hideMark/>
          </w:tcPr>
          <w:p w14:paraId="4B897CE4" w14:textId="7649A324" w:rsidR="00175E60" w:rsidRPr="00E93BC5" w:rsidRDefault="00175E60" w:rsidP="00175E60">
            <w:pPr>
              <w:jc w:val="center"/>
              <w:rPr>
                <w:rFonts w:ascii="Times New Roman" w:hAnsi="Times New Roman"/>
                <w:sz w:val="24"/>
                <w:szCs w:val="24"/>
                <w:lang w:val="nl-NL"/>
              </w:rPr>
            </w:pPr>
            <w:r w:rsidRPr="00845946">
              <w:rPr>
                <w:rFonts w:ascii="Times New Roman" w:hAnsi="Times New Roman"/>
                <w:sz w:val="24"/>
                <w:szCs w:val="24"/>
                <w:lang w:val="nl-NL"/>
              </w:rPr>
              <w:t>CPA</w:t>
            </w:r>
          </w:p>
        </w:tc>
        <w:tc>
          <w:tcPr>
            <w:tcW w:w="6043" w:type="dxa"/>
            <w:tcBorders>
              <w:top w:val="nil"/>
              <w:left w:val="nil"/>
              <w:bottom w:val="single" w:sz="4" w:space="0" w:color="auto"/>
              <w:right w:val="single" w:sz="4" w:space="0" w:color="auto"/>
            </w:tcBorders>
            <w:shd w:val="clear" w:color="auto" w:fill="auto"/>
            <w:vAlign w:val="center"/>
            <w:hideMark/>
          </w:tcPr>
          <w:p w14:paraId="02575116" w14:textId="77777777" w:rsidR="00175E60" w:rsidRPr="00845946" w:rsidRDefault="00175E60" w:rsidP="00175E60">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1991 - 1992: </w:t>
            </w:r>
            <w:proofErr w:type="spellStart"/>
            <w:r w:rsidRPr="00845946">
              <w:rPr>
                <w:rFonts w:ascii="Times New Roman" w:hAnsi="Times New Roman"/>
                <w:sz w:val="24"/>
                <w:szCs w:val="24"/>
              </w:rPr>
              <w:t>Kế</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toán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tổng</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hợp</w:t>
            </w:r>
            <w:proofErr w:type="spellEnd"/>
            <w:r w:rsidRPr="00845946">
              <w:rPr>
                <w:rFonts w:ascii="Times New Roman" w:hAnsi="Times New Roman"/>
                <w:sz w:val="24"/>
                <w:szCs w:val="24"/>
              </w:rPr>
              <w:t xml:space="preserve"> - </w:t>
            </w:r>
            <w:proofErr w:type="spellStart"/>
            <w:r w:rsidRPr="00845946">
              <w:rPr>
                <w:rFonts w:ascii="Times New Roman" w:hAnsi="Times New Roman"/>
                <w:sz w:val="24"/>
                <w:szCs w:val="24"/>
              </w:rPr>
              <w:t>Xí</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nghiệp</w:t>
            </w:r>
            <w:proofErr w:type="spellEnd"/>
            <w:r w:rsidRPr="00845946">
              <w:rPr>
                <w:rFonts w:ascii="Times New Roman" w:hAnsi="Times New Roman"/>
                <w:sz w:val="24"/>
                <w:szCs w:val="24"/>
              </w:rPr>
              <w:t xml:space="preserve"> Quốc doanh In </w:t>
            </w:r>
            <w:proofErr w:type="spellStart"/>
            <w:r w:rsidRPr="00845946">
              <w:rPr>
                <w:rFonts w:ascii="Times New Roman" w:hAnsi="Times New Roman"/>
                <w:sz w:val="24"/>
                <w:szCs w:val="24"/>
              </w:rPr>
              <w:t>số</w:t>
            </w:r>
            <w:proofErr w:type="spellEnd"/>
            <w:r w:rsidRPr="00845946">
              <w:rPr>
                <w:rFonts w:ascii="Times New Roman" w:hAnsi="Times New Roman"/>
                <w:sz w:val="24"/>
                <w:szCs w:val="24"/>
              </w:rPr>
              <w:t xml:space="preserve"> 2</w:t>
            </w:r>
          </w:p>
          <w:p w14:paraId="6ACE7649" w14:textId="77777777" w:rsidR="00175E60" w:rsidRPr="00845946" w:rsidRDefault="00175E60" w:rsidP="00175E60">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1992 - 1993: </w:t>
            </w:r>
            <w:proofErr w:type="spellStart"/>
            <w:r w:rsidRPr="00845946">
              <w:rPr>
                <w:rFonts w:ascii="Times New Roman" w:hAnsi="Times New Roman"/>
                <w:sz w:val="24"/>
                <w:szCs w:val="24"/>
              </w:rPr>
              <w:t>Quản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lý</w:t>
            </w:r>
            <w:proofErr w:type="spellEnd"/>
            <w:r w:rsidRPr="00845946">
              <w:rPr>
                <w:rFonts w:ascii="Times New Roman" w:hAnsi="Times New Roman"/>
                <w:sz w:val="24"/>
                <w:szCs w:val="24"/>
              </w:rPr>
              <w:t xml:space="preserve"> Kho</w:t>
            </w:r>
            <w:r w:rsidRPr="00845946">
              <w:rPr>
                <w:rFonts w:ascii="Times New Roman" w:hAnsi="Times New Roman"/>
                <w:sz w:val="24"/>
                <w:szCs w:val="24"/>
                <w:lang w:val="nl-NL" w:eastAsia="en-SG"/>
              </w:rPr>
              <w:t xml:space="preserve"> - </w:t>
            </w:r>
            <w:r w:rsidRPr="00845946">
              <w:rPr>
                <w:rFonts w:ascii="Times New Roman" w:hAnsi="Times New Roman"/>
                <w:sz w:val="24"/>
                <w:szCs w:val="24"/>
              </w:rPr>
              <w:t>Công ty Ajinomoto Việt Nam</w:t>
            </w:r>
          </w:p>
          <w:p w14:paraId="0D9CAF53" w14:textId="77777777" w:rsidR="00175E60" w:rsidRPr="00845946" w:rsidRDefault="00175E60" w:rsidP="00175E60">
            <w:pPr>
              <w:spacing w:after="0"/>
              <w:jc w:val="both"/>
              <w:rPr>
                <w:rFonts w:ascii="Times New Roman" w:hAnsi="Times New Roman"/>
                <w:sz w:val="24"/>
                <w:szCs w:val="24"/>
                <w:lang w:val="nl-NL" w:eastAsia="en-SG"/>
              </w:rPr>
            </w:pPr>
            <w:r w:rsidRPr="00845946">
              <w:rPr>
                <w:rFonts w:ascii="Times New Roman" w:hAnsi="Times New Roman"/>
                <w:sz w:val="24"/>
                <w:szCs w:val="24"/>
                <w:lang w:val="nl-NL" w:eastAsia="en-SG"/>
              </w:rPr>
              <w:t xml:space="preserve">Từ 1993 - 1998: </w:t>
            </w:r>
            <w:proofErr w:type="spellStart"/>
            <w:r w:rsidRPr="00845946">
              <w:rPr>
                <w:rFonts w:ascii="Times New Roman" w:hAnsi="Times New Roman"/>
                <w:sz w:val="24"/>
                <w:szCs w:val="24"/>
              </w:rPr>
              <w:t>Kiểm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toán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viên</w:t>
            </w:r>
            <w:proofErr w:type="spellEnd"/>
            <w:r w:rsidRPr="00845946">
              <w:rPr>
                <w:rFonts w:ascii="Times New Roman" w:hAnsi="Times New Roman"/>
                <w:sz w:val="24"/>
                <w:szCs w:val="24"/>
              </w:rPr>
              <w:t xml:space="preserve"> - Công ty TNHH KPMG Việt Nam</w:t>
            </w:r>
          </w:p>
          <w:p w14:paraId="4EFEC936" w14:textId="77777777" w:rsidR="00175E60" w:rsidRPr="00845946" w:rsidRDefault="00175E60" w:rsidP="00175E60">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1998 - 2000: </w:t>
            </w:r>
            <w:proofErr w:type="spellStart"/>
            <w:r w:rsidRPr="00845946">
              <w:rPr>
                <w:rFonts w:ascii="Times New Roman" w:hAnsi="Times New Roman"/>
                <w:sz w:val="24"/>
                <w:szCs w:val="24"/>
              </w:rPr>
              <w:t>Kiểm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toán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viên</w:t>
            </w:r>
            <w:proofErr w:type="spellEnd"/>
            <w:r w:rsidRPr="00845946">
              <w:rPr>
                <w:rFonts w:ascii="Times New Roman" w:hAnsi="Times New Roman"/>
                <w:sz w:val="24"/>
                <w:szCs w:val="24"/>
              </w:rPr>
              <w:t xml:space="preserve"> - Công ty KPMG Peat Marwick</w:t>
            </w:r>
          </w:p>
          <w:p w14:paraId="1F79F017" w14:textId="77777777" w:rsidR="00175E60" w:rsidRPr="00845946" w:rsidRDefault="00175E60" w:rsidP="00175E60">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2000 - 2003: </w:t>
            </w:r>
            <w:proofErr w:type="spellStart"/>
            <w:r w:rsidRPr="00845946">
              <w:rPr>
                <w:rFonts w:ascii="Times New Roman" w:hAnsi="Times New Roman"/>
                <w:sz w:val="24"/>
                <w:szCs w:val="24"/>
              </w:rPr>
              <w:t>Kiểm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toán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viên</w:t>
            </w:r>
            <w:proofErr w:type="spellEnd"/>
            <w:r w:rsidRPr="00845946">
              <w:rPr>
                <w:rFonts w:ascii="Times New Roman" w:hAnsi="Times New Roman"/>
                <w:sz w:val="24"/>
                <w:szCs w:val="24"/>
              </w:rPr>
              <w:t xml:space="preserve"> - Công ty TNHH KPMG Việt Nam</w:t>
            </w:r>
          </w:p>
          <w:p w14:paraId="23FC632C" w14:textId="77777777" w:rsidR="00175E60" w:rsidRPr="00845946" w:rsidRDefault="00175E60" w:rsidP="00175E60">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2003 - 2005: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Tài</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chính</w:t>
            </w:r>
            <w:proofErr w:type="spellEnd"/>
            <w:r w:rsidRPr="00845946">
              <w:rPr>
                <w:rFonts w:ascii="Times New Roman" w:hAnsi="Times New Roman"/>
                <w:sz w:val="24"/>
                <w:szCs w:val="24"/>
              </w:rPr>
              <w:t xml:space="preserve"> - Công ty TNHH Cargill Việt Nam</w:t>
            </w:r>
          </w:p>
          <w:p w14:paraId="24754708" w14:textId="77777777" w:rsidR="00175E60" w:rsidRPr="00845946" w:rsidRDefault="00175E60" w:rsidP="00175E60">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 xml:space="preserve">Từ 2005 - 2014: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Tài</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chính</w:t>
            </w:r>
            <w:proofErr w:type="spellEnd"/>
            <w:r w:rsidRPr="00845946">
              <w:rPr>
                <w:rFonts w:ascii="Times New Roman" w:hAnsi="Times New Roman"/>
                <w:sz w:val="24"/>
                <w:szCs w:val="24"/>
              </w:rPr>
              <w:t xml:space="preserve"> - Công ty TNHH Bảo </w:t>
            </w:r>
            <w:proofErr w:type="spellStart"/>
            <w:r w:rsidRPr="00845946">
              <w:rPr>
                <w:rFonts w:ascii="Times New Roman" w:hAnsi="Times New Roman"/>
                <w:sz w:val="24"/>
                <w:szCs w:val="24"/>
              </w:rPr>
              <w:t>hiểm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Nhân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thọ</w:t>
            </w:r>
            <w:proofErr w:type="spellEnd"/>
            <w:r w:rsidRPr="00845946">
              <w:rPr>
                <w:rFonts w:ascii="Times New Roman" w:hAnsi="Times New Roman"/>
                <w:sz w:val="24"/>
                <w:szCs w:val="24"/>
              </w:rPr>
              <w:t xml:space="preserve"> Chubb Việt Nam</w:t>
            </w:r>
          </w:p>
          <w:p w14:paraId="4232D2A6" w14:textId="77777777" w:rsidR="00175E60" w:rsidRPr="00845946" w:rsidRDefault="00175E60" w:rsidP="00175E60">
            <w:pPr>
              <w:spacing w:after="0"/>
              <w:jc w:val="both"/>
              <w:rPr>
                <w:rFonts w:ascii="Times New Roman" w:hAnsi="Times New Roman"/>
                <w:sz w:val="24"/>
                <w:szCs w:val="24"/>
                <w:lang w:val="nl-NL"/>
              </w:rPr>
            </w:pPr>
            <w:r w:rsidRPr="00845946">
              <w:rPr>
                <w:rFonts w:ascii="Times New Roman" w:hAnsi="Times New Roman"/>
                <w:sz w:val="24"/>
                <w:szCs w:val="24"/>
                <w:lang w:val="nl-NL"/>
              </w:rPr>
              <w:t xml:space="preserve">Từ 2013 - 2019: Phó Chủ tịch </w:t>
            </w:r>
            <w:r w:rsidRPr="00845946">
              <w:rPr>
                <w:rFonts w:ascii="Times New Roman" w:hAnsi="Times New Roman"/>
                <w:color w:val="000000"/>
                <w:sz w:val="24"/>
                <w:szCs w:val="24"/>
                <w:lang w:val="nl-NL" w:eastAsia="en-SG"/>
              </w:rPr>
              <w:t xml:space="preserve">- </w:t>
            </w:r>
            <w:r w:rsidRPr="00845946">
              <w:rPr>
                <w:rFonts w:ascii="Times New Roman" w:hAnsi="Times New Roman"/>
                <w:sz w:val="24"/>
                <w:szCs w:val="24"/>
                <w:lang w:val="nl-NL"/>
              </w:rPr>
              <w:t>Công ty TNHH MTV Quản lý Quỹ Chubb Life</w:t>
            </w:r>
          </w:p>
          <w:p w14:paraId="32C814DB" w14:textId="77777777" w:rsidR="00175E60" w:rsidRPr="00845946" w:rsidRDefault="00175E60" w:rsidP="00175E60">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 xml:space="preserve">Từ 2014 - 2019: </w:t>
            </w:r>
            <w:proofErr w:type="spellStart"/>
            <w:r w:rsidRPr="00845946">
              <w:rPr>
                <w:rFonts w:ascii="Times New Roman" w:hAnsi="Times New Roman"/>
                <w:sz w:val="24"/>
                <w:szCs w:val="24"/>
              </w:rPr>
              <w:t>Phó</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Tổng</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Phụ</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trách</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Tài</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chính</w:t>
            </w:r>
            <w:proofErr w:type="spellEnd"/>
            <w:r w:rsidRPr="00845946">
              <w:rPr>
                <w:rFonts w:ascii="Times New Roman" w:hAnsi="Times New Roman"/>
                <w:sz w:val="24"/>
                <w:szCs w:val="24"/>
              </w:rPr>
              <w:t xml:space="preserve"> - Công ty TNHH Bảo </w:t>
            </w:r>
            <w:proofErr w:type="spellStart"/>
            <w:r w:rsidRPr="00845946">
              <w:rPr>
                <w:rFonts w:ascii="Times New Roman" w:hAnsi="Times New Roman"/>
                <w:sz w:val="24"/>
                <w:szCs w:val="24"/>
              </w:rPr>
              <w:t>hiểm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Nhân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thọ</w:t>
            </w:r>
            <w:proofErr w:type="spellEnd"/>
            <w:r w:rsidRPr="00845946">
              <w:rPr>
                <w:rFonts w:ascii="Times New Roman" w:hAnsi="Times New Roman"/>
                <w:sz w:val="24"/>
                <w:szCs w:val="24"/>
              </w:rPr>
              <w:t xml:space="preserve"> Chubb Việt Nam</w:t>
            </w:r>
          </w:p>
          <w:p w14:paraId="40D4D446" w14:textId="77777777" w:rsidR="00175E60" w:rsidRPr="00845946" w:rsidRDefault="00175E60" w:rsidP="00175E60">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 xml:space="preserve">Từ 2019 - 2021: Tổng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 Công ty Chubb Life Insurance Myanmar Limited</w:t>
            </w:r>
          </w:p>
          <w:p w14:paraId="3FE05C8B" w14:textId="77777777" w:rsidR="00175E60" w:rsidRPr="00845946" w:rsidRDefault="00175E60" w:rsidP="00175E60">
            <w:pPr>
              <w:spacing w:after="0"/>
              <w:jc w:val="both"/>
              <w:rPr>
                <w:rFonts w:ascii="Times New Roman" w:hAnsi="Times New Roman"/>
                <w:sz w:val="24"/>
                <w:szCs w:val="24"/>
              </w:rPr>
            </w:pPr>
            <w:r w:rsidRPr="00845946">
              <w:rPr>
                <w:rFonts w:ascii="Times New Roman" w:hAnsi="Times New Roman"/>
                <w:color w:val="000000"/>
                <w:sz w:val="24"/>
                <w:szCs w:val="24"/>
                <w:lang w:val="nl-NL" w:eastAsia="en-SG"/>
              </w:rPr>
              <w:t xml:space="preserve">Từ 2021 - nay: Tổng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 Công ty TNHH Bảo </w:t>
            </w:r>
            <w:proofErr w:type="spellStart"/>
            <w:r w:rsidRPr="00845946">
              <w:rPr>
                <w:rFonts w:ascii="Times New Roman" w:hAnsi="Times New Roman"/>
                <w:sz w:val="24"/>
                <w:szCs w:val="24"/>
              </w:rPr>
              <w:t>hiểm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Nhân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thọ</w:t>
            </w:r>
            <w:proofErr w:type="spellEnd"/>
            <w:r w:rsidRPr="00845946">
              <w:rPr>
                <w:rFonts w:ascii="Times New Roman" w:hAnsi="Times New Roman"/>
                <w:sz w:val="24"/>
                <w:szCs w:val="24"/>
              </w:rPr>
              <w:t xml:space="preserve"> Chubb Việt Nam</w:t>
            </w:r>
          </w:p>
          <w:p w14:paraId="639D9F89" w14:textId="1D4B158B" w:rsidR="00175E60" w:rsidRPr="00E93BC5" w:rsidRDefault="00175E60" w:rsidP="00175E60">
            <w:pPr>
              <w:spacing w:after="0"/>
              <w:jc w:val="both"/>
              <w:rPr>
                <w:rFonts w:ascii="Times New Roman" w:eastAsiaTheme="minorHAnsi" w:hAnsi="Times New Roman"/>
                <w:sz w:val="24"/>
                <w:szCs w:val="24"/>
                <w:lang w:val="nl-NL" w:eastAsia="en-SG"/>
              </w:rPr>
            </w:pPr>
            <w:r w:rsidRPr="00845946">
              <w:rPr>
                <w:rFonts w:ascii="Times New Roman" w:hAnsi="Times New Roman"/>
                <w:color w:val="000000"/>
                <w:sz w:val="24"/>
                <w:szCs w:val="24"/>
                <w:lang w:val="nl-NL" w:eastAsia="en-SG"/>
              </w:rPr>
              <w:t xml:space="preserve">Từ 2024 - nay: </w:t>
            </w:r>
            <w:r w:rsidRPr="00845946">
              <w:rPr>
                <w:rFonts w:ascii="Times New Roman" w:hAnsi="Times New Roman"/>
                <w:sz w:val="24"/>
                <w:szCs w:val="24"/>
                <w:lang w:val="nl-NL"/>
              </w:rPr>
              <w:t xml:space="preserve">Chủ tịch </w:t>
            </w:r>
            <w:r w:rsidRPr="00845946">
              <w:rPr>
                <w:rFonts w:ascii="Times New Roman" w:hAnsi="Times New Roman"/>
                <w:color w:val="000000"/>
                <w:sz w:val="24"/>
                <w:szCs w:val="24"/>
                <w:lang w:val="nl-NL" w:eastAsia="en-SG"/>
              </w:rPr>
              <w:t xml:space="preserve">- </w:t>
            </w:r>
            <w:r w:rsidRPr="00845946">
              <w:rPr>
                <w:rFonts w:ascii="Times New Roman" w:hAnsi="Times New Roman"/>
                <w:sz w:val="24"/>
                <w:szCs w:val="24"/>
                <w:lang w:val="nl-NL"/>
              </w:rPr>
              <w:t>Công ty TNHH MTV Quản lý Quỹ Chubb Life</w:t>
            </w:r>
          </w:p>
        </w:tc>
      </w:tr>
      <w:tr w:rsidR="00175E60" w:rsidRPr="00E70B8F" w14:paraId="2B4FD97C" w14:textId="77777777" w:rsidTr="001929F3">
        <w:trPr>
          <w:trHeight w:val="3745"/>
        </w:trPr>
        <w:tc>
          <w:tcPr>
            <w:tcW w:w="1709" w:type="dxa"/>
            <w:tcBorders>
              <w:top w:val="nil"/>
              <w:left w:val="single" w:sz="4" w:space="0" w:color="auto"/>
              <w:bottom w:val="single" w:sz="4" w:space="0" w:color="auto"/>
              <w:right w:val="single" w:sz="4" w:space="0" w:color="auto"/>
            </w:tcBorders>
            <w:shd w:val="clear" w:color="auto" w:fill="auto"/>
            <w:vAlign w:val="center"/>
          </w:tcPr>
          <w:p w14:paraId="461DC4AF" w14:textId="4DAD35AA" w:rsidR="00175E60" w:rsidRPr="00845946" w:rsidRDefault="00175E60" w:rsidP="00175E60">
            <w:pPr>
              <w:jc w:val="center"/>
              <w:rPr>
                <w:rFonts w:ascii="Times New Roman" w:hAnsi="Times New Roman"/>
                <w:sz w:val="24"/>
                <w:szCs w:val="24"/>
                <w:lang w:val="nl-NL"/>
              </w:rPr>
            </w:pPr>
            <w:r>
              <w:rPr>
                <w:rFonts w:ascii="Times New Roman" w:hAnsi="Times New Roman"/>
                <w:sz w:val="24"/>
                <w:szCs w:val="24"/>
                <w:lang w:val="nl-NL"/>
              </w:rPr>
              <w:t>Nguyễn Trọng Nghĩa</w:t>
            </w:r>
          </w:p>
        </w:tc>
        <w:tc>
          <w:tcPr>
            <w:tcW w:w="1252" w:type="dxa"/>
            <w:tcBorders>
              <w:top w:val="nil"/>
              <w:left w:val="nil"/>
              <w:bottom w:val="single" w:sz="4" w:space="0" w:color="auto"/>
              <w:right w:val="single" w:sz="4" w:space="0" w:color="auto"/>
            </w:tcBorders>
            <w:shd w:val="clear" w:color="auto" w:fill="auto"/>
            <w:vAlign w:val="center"/>
          </w:tcPr>
          <w:p w14:paraId="7F0F50A0" w14:textId="08F08FE1" w:rsidR="00175E60" w:rsidRPr="00845946" w:rsidRDefault="00175E60" w:rsidP="00175E60">
            <w:pPr>
              <w:jc w:val="center"/>
              <w:rPr>
                <w:rFonts w:ascii="Times New Roman" w:hAnsi="Times New Roman"/>
                <w:sz w:val="24"/>
                <w:szCs w:val="24"/>
                <w:lang w:val="nl-NL"/>
              </w:rPr>
            </w:pPr>
            <w:r>
              <w:rPr>
                <w:rFonts w:ascii="Times New Roman" w:hAnsi="Times New Roman"/>
                <w:sz w:val="24"/>
                <w:szCs w:val="24"/>
                <w:lang w:val="nl-NL"/>
              </w:rPr>
              <w:t>Phó Chủ tịch Công ty</w:t>
            </w:r>
          </w:p>
        </w:tc>
        <w:tc>
          <w:tcPr>
            <w:tcW w:w="1252" w:type="dxa"/>
            <w:tcBorders>
              <w:top w:val="nil"/>
              <w:left w:val="nil"/>
              <w:bottom w:val="single" w:sz="4" w:space="0" w:color="auto"/>
              <w:right w:val="single" w:sz="4" w:space="0" w:color="auto"/>
            </w:tcBorders>
            <w:shd w:val="clear" w:color="auto" w:fill="auto"/>
            <w:vAlign w:val="center"/>
          </w:tcPr>
          <w:p w14:paraId="0FCC6B68" w14:textId="77777777" w:rsidR="00175E60" w:rsidRDefault="00175E60" w:rsidP="00175E60">
            <w:pPr>
              <w:jc w:val="center"/>
              <w:rPr>
                <w:rFonts w:ascii="Times New Roman" w:hAnsi="Times New Roman"/>
                <w:sz w:val="24"/>
                <w:szCs w:val="24"/>
                <w:lang w:val="nl-NL"/>
              </w:rPr>
            </w:pPr>
            <w:r>
              <w:rPr>
                <w:rFonts w:ascii="Times New Roman" w:hAnsi="Times New Roman"/>
                <w:sz w:val="24"/>
                <w:szCs w:val="24"/>
                <w:lang w:val="nl-NL"/>
              </w:rPr>
              <w:t>Đại học Chuyên ngành Toán Tin – Đại Học Khoa học Tự nhiên.</w:t>
            </w:r>
          </w:p>
          <w:p w14:paraId="09950F47" w14:textId="30411EE4" w:rsidR="00175E60" w:rsidRPr="00845946" w:rsidRDefault="00175E60" w:rsidP="00175E60">
            <w:pPr>
              <w:jc w:val="center"/>
              <w:rPr>
                <w:rFonts w:ascii="Times New Roman" w:hAnsi="Times New Roman"/>
                <w:sz w:val="24"/>
                <w:szCs w:val="24"/>
                <w:lang w:val="nl-NL"/>
              </w:rPr>
            </w:pPr>
            <w:r>
              <w:rPr>
                <w:rFonts w:ascii="Times New Roman" w:hAnsi="Times New Roman"/>
                <w:sz w:val="24"/>
                <w:szCs w:val="24"/>
                <w:lang w:val="nl-NL"/>
              </w:rPr>
              <w:t>Thành viên hiệp hội định phí Hoa Kỳ</w:t>
            </w:r>
          </w:p>
        </w:tc>
        <w:tc>
          <w:tcPr>
            <w:tcW w:w="6043" w:type="dxa"/>
            <w:tcBorders>
              <w:top w:val="nil"/>
              <w:left w:val="nil"/>
              <w:bottom w:val="single" w:sz="4" w:space="0" w:color="auto"/>
              <w:right w:val="single" w:sz="4" w:space="0" w:color="auto"/>
            </w:tcBorders>
            <w:shd w:val="clear" w:color="auto" w:fill="auto"/>
            <w:vAlign w:val="center"/>
          </w:tcPr>
          <w:p w14:paraId="4D4AEDD0" w14:textId="77777777" w:rsidR="00175E60" w:rsidRDefault="00175E60" w:rsidP="00175E60">
            <w:pPr>
              <w:spacing w:after="0"/>
              <w:jc w:val="both"/>
              <w:rPr>
                <w:rFonts w:ascii="Times New Roman" w:hAnsi="Times New Roman"/>
                <w:sz w:val="24"/>
                <w:szCs w:val="24"/>
                <w:lang w:val="nl-NL"/>
              </w:rPr>
            </w:pPr>
            <w:r>
              <w:rPr>
                <w:rFonts w:ascii="Times New Roman" w:hAnsi="Times New Roman"/>
                <w:sz w:val="24"/>
                <w:szCs w:val="24"/>
                <w:lang w:val="nl-NL"/>
              </w:rPr>
              <w:t>Từ 6/2008 đến 6/2014: Phó Trưởng phòng – Công ty TNHH Bảo Hiểm Nhân Thọ Chubb Việt Nam</w:t>
            </w:r>
          </w:p>
          <w:p w14:paraId="4E922E5C" w14:textId="77777777" w:rsidR="00175E60" w:rsidRPr="00523E5B" w:rsidRDefault="00175E60" w:rsidP="00175E60">
            <w:pPr>
              <w:spacing w:after="0"/>
              <w:jc w:val="both"/>
              <w:rPr>
                <w:rFonts w:ascii="Times New Roman" w:hAnsi="Times New Roman"/>
                <w:sz w:val="24"/>
                <w:szCs w:val="24"/>
                <w:lang w:val="nl-NL"/>
              </w:rPr>
            </w:pPr>
            <w:r w:rsidRPr="00523E5B">
              <w:rPr>
                <w:rFonts w:ascii="Times New Roman" w:hAnsi="Times New Roman"/>
                <w:sz w:val="24"/>
                <w:szCs w:val="24"/>
                <w:lang w:val="nl-NL"/>
              </w:rPr>
              <w:t>Từ 7/2014 đến 4/2019: Giám đốc – Công ty TNHH Manulife Việt Nam</w:t>
            </w:r>
          </w:p>
          <w:p w14:paraId="59096B8B" w14:textId="77777777" w:rsidR="00175E60" w:rsidRPr="00523E5B" w:rsidRDefault="00175E60" w:rsidP="00175E60">
            <w:pPr>
              <w:spacing w:after="0"/>
              <w:jc w:val="both"/>
              <w:rPr>
                <w:rFonts w:ascii="Times New Roman" w:hAnsi="Times New Roman"/>
                <w:sz w:val="24"/>
                <w:szCs w:val="24"/>
                <w:lang w:val="nl-NL"/>
              </w:rPr>
            </w:pPr>
            <w:r w:rsidRPr="00523E5B">
              <w:rPr>
                <w:rFonts w:ascii="Times New Roman" w:hAnsi="Times New Roman"/>
                <w:sz w:val="24"/>
                <w:szCs w:val="24"/>
                <w:lang w:val="nl-NL"/>
              </w:rPr>
              <w:t>Từ 5/2019 đến 4/2020: Phó Chủ tịch – Công ty Bảo hiểm Allianz Ayudhya</w:t>
            </w:r>
          </w:p>
          <w:p w14:paraId="596F9174" w14:textId="77777777" w:rsidR="00175E60" w:rsidRPr="00523E5B" w:rsidRDefault="00175E60" w:rsidP="00175E60">
            <w:pPr>
              <w:spacing w:after="0"/>
              <w:jc w:val="both"/>
              <w:rPr>
                <w:rFonts w:ascii="Times New Roman" w:hAnsi="Times New Roman"/>
                <w:sz w:val="24"/>
                <w:szCs w:val="24"/>
                <w:lang w:val="nl-NL"/>
              </w:rPr>
            </w:pPr>
            <w:r w:rsidRPr="00523E5B">
              <w:rPr>
                <w:rFonts w:ascii="Times New Roman" w:hAnsi="Times New Roman"/>
                <w:sz w:val="24"/>
                <w:szCs w:val="24"/>
                <w:lang w:val="nl-NL"/>
              </w:rPr>
              <w:t>Từ 5/2020 – 6/2023: Phó Tổng Giám đốc – Công ty Bảo Hiểm Nhân Thọ Generali Việt Nam</w:t>
            </w:r>
          </w:p>
          <w:p w14:paraId="282C06CE" w14:textId="77777777" w:rsidR="00175E60" w:rsidRPr="00523E5B" w:rsidRDefault="00175E60" w:rsidP="00175E60">
            <w:pPr>
              <w:spacing w:after="0"/>
              <w:jc w:val="both"/>
              <w:rPr>
                <w:rFonts w:ascii="Times New Roman" w:hAnsi="Times New Roman"/>
                <w:sz w:val="24"/>
                <w:szCs w:val="24"/>
                <w:lang w:val="nl-NL"/>
              </w:rPr>
            </w:pPr>
            <w:r w:rsidRPr="00523E5B">
              <w:rPr>
                <w:rFonts w:ascii="Times New Roman" w:hAnsi="Times New Roman"/>
                <w:sz w:val="24"/>
                <w:szCs w:val="24"/>
                <w:lang w:val="nl-NL"/>
              </w:rPr>
              <w:t xml:space="preserve">Từ 7/2023 - nay: Phó Tổng Giám đốc - </w:t>
            </w:r>
            <w:r>
              <w:rPr>
                <w:rFonts w:ascii="Times New Roman" w:hAnsi="Times New Roman"/>
                <w:sz w:val="24"/>
                <w:szCs w:val="24"/>
                <w:lang w:val="nl-NL"/>
              </w:rPr>
              <w:t>Công ty TNHH Bảo Hiểm Nhân Thọ Chubb Việt Nam</w:t>
            </w:r>
          </w:p>
          <w:p w14:paraId="3677C1BA" w14:textId="3C0DC362" w:rsidR="00175E60" w:rsidRPr="00845946" w:rsidRDefault="00175E60" w:rsidP="00175E60">
            <w:pPr>
              <w:spacing w:after="0"/>
              <w:jc w:val="both"/>
              <w:rPr>
                <w:rFonts w:ascii="Times New Roman" w:hAnsi="Times New Roman"/>
                <w:sz w:val="24"/>
                <w:szCs w:val="24"/>
                <w:lang w:val="nl-NL" w:eastAsia="en-SG"/>
              </w:rPr>
            </w:pPr>
            <w:r w:rsidRPr="00523E5B">
              <w:rPr>
                <w:rFonts w:ascii="Times New Roman" w:hAnsi="Times New Roman"/>
                <w:sz w:val="24"/>
                <w:szCs w:val="24"/>
                <w:lang w:val="nl-NL"/>
              </w:rPr>
              <w:t xml:space="preserve">Từ 6/2024 - nay: Phó </w:t>
            </w:r>
            <w:r>
              <w:rPr>
                <w:rFonts w:ascii="Times New Roman" w:hAnsi="Times New Roman"/>
                <w:sz w:val="24"/>
                <w:szCs w:val="24"/>
                <w:lang w:val="nl-NL"/>
              </w:rPr>
              <w:t xml:space="preserve">Chủ tịch </w:t>
            </w:r>
            <w:r w:rsidRPr="00523E5B">
              <w:rPr>
                <w:rFonts w:ascii="Times New Roman" w:hAnsi="Times New Roman"/>
                <w:sz w:val="24"/>
                <w:szCs w:val="24"/>
                <w:lang w:val="nl-NL"/>
              </w:rPr>
              <w:t xml:space="preserve">- </w:t>
            </w:r>
            <w:r>
              <w:rPr>
                <w:rFonts w:ascii="Times New Roman" w:hAnsi="Times New Roman"/>
                <w:sz w:val="24"/>
                <w:szCs w:val="24"/>
                <w:lang w:val="nl-NL"/>
              </w:rPr>
              <w:t>Công ty TNHH MTV Quản lý Quỹ Chubb Life</w:t>
            </w:r>
          </w:p>
        </w:tc>
      </w:tr>
      <w:tr w:rsidR="00175E60" w:rsidRPr="00E70B8F" w14:paraId="488E7BCC" w14:textId="77777777" w:rsidTr="001929F3">
        <w:trPr>
          <w:trHeight w:val="2593"/>
        </w:trPr>
        <w:tc>
          <w:tcPr>
            <w:tcW w:w="1709" w:type="dxa"/>
            <w:tcBorders>
              <w:top w:val="nil"/>
              <w:left w:val="single" w:sz="4" w:space="0" w:color="auto"/>
              <w:bottom w:val="single" w:sz="4" w:space="0" w:color="auto"/>
              <w:right w:val="single" w:sz="4" w:space="0" w:color="auto"/>
            </w:tcBorders>
            <w:shd w:val="clear" w:color="auto" w:fill="auto"/>
            <w:vAlign w:val="center"/>
            <w:hideMark/>
          </w:tcPr>
          <w:p w14:paraId="2375A7D3" w14:textId="77777777" w:rsidR="00175E60" w:rsidRPr="00E93BC5" w:rsidRDefault="00175E60" w:rsidP="00175E60">
            <w:pPr>
              <w:jc w:val="center"/>
              <w:rPr>
                <w:rFonts w:ascii="Times New Roman" w:hAnsi="Times New Roman"/>
                <w:sz w:val="24"/>
                <w:szCs w:val="24"/>
                <w:lang w:val="nl-NL"/>
              </w:rPr>
            </w:pPr>
            <w:r w:rsidRPr="00E93BC5">
              <w:rPr>
                <w:rFonts w:ascii="Times New Roman" w:hAnsi="Times New Roman"/>
                <w:sz w:val="24"/>
                <w:szCs w:val="24"/>
                <w:lang w:val="nl-NL"/>
              </w:rPr>
              <w:lastRenderedPageBreak/>
              <w:t>Đặng Thị Hồng Loan</w:t>
            </w:r>
          </w:p>
        </w:tc>
        <w:tc>
          <w:tcPr>
            <w:tcW w:w="1252" w:type="dxa"/>
            <w:tcBorders>
              <w:top w:val="nil"/>
              <w:left w:val="nil"/>
              <w:bottom w:val="single" w:sz="4" w:space="0" w:color="auto"/>
              <w:right w:val="single" w:sz="4" w:space="0" w:color="auto"/>
            </w:tcBorders>
            <w:shd w:val="clear" w:color="auto" w:fill="auto"/>
            <w:vAlign w:val="center"/>
            <w:hideMark/>
          </w:tcPr>
          <w:p w14:paraId="73B4158D" w14:textId="77777777" w:rsidR="00175E60" w:rsidRPr="00E93BC5" w:rsidRDefault="00175E60" w:rsidP="00175E60">
            <w:pPr>
              <w:jc w:val="center"/>
              <w:rPr>
                <w:rFonts w:ascii="Times New Roman" w:hAnsi="Times New Roman"/>
                <w:sz w:val="24"/>
                <w:szCs w:val="24"/>
                <w:lang w:val="nl-NL"/>
              </w:rPr>
            </w:pPr>
            <w:r w:rsidRPr="00E93BC5">
              <w:rPr>
                <w:rFonts w:ascii="Times New Roman" w:hAnsi="Times New Roman"/>
                <w:sz w:val="24"/>
                <w:szCs w:val="24"/>
                <w:lang w:val="nl-NL"/>
              </w:rPr>
              <w:t>Giám đốc Công ty</w:t>
            </w:r>
          </w:p>
        </w:tc>
        <w:tc>
          <w:tcPr>
            <w:tcW w:w="1252" w:type="dxa"/>
            <w:tcBorders>
              <w:top w:val="nil"/>
              <w:left w:val="nil"/>
              <w:bottom w:val="single" w:sz="4" w:space="0" w:color="auto"/>
              <w:right w:val="single" w:sz="4" w:space="0" w:color="auto"/>
            </w:tcBorders>
            <w:shd w:val="clear" w:color="auto" w:fill="auto"/>
            <w:vAlign w:val="center"/>
            <w:hideMark/>
          </w:tcPr>
          <w:p w14:paraId="5EABC280" w14:textId="77777777" w:rsidR="00175E60" w:rsidRPr="00E93BC5" w:rsidRDefault="00175E60" w:rsidP="00175E60">
            <w:pPr>
              <w:jc w:val="center"/>
              <w:rPr>
                <w:rFonts w:ascii="Times New Roman" w:hAnsi="Times New Roman"/>
                <w:sz w:val="24"/>
                <w:szCs w:val="24"/>
                <w:lang w:val="nl-NL"/>
              </w:rPr>
            </w:pPr>
            <w:r w:rsidRPr="00E93BC5">
              <w:rPr>
                <w:rFonts w:ascii="Times New Roman" w:hAnsi="Times New Roman"/>
                <w:sz w:val="24"/>
                <w:szCs w:val="24"/>
                <w:lang w:val="nl-NL"/>
              </w:rPr>
              <w:t>CFA</w:t>
            </w:r>
          </w:p>
        </w:tc>
        <w:tc>
          <w:tcPr>
            <w:tcW w:w="6043" w:type="dxa"/>
            <w:tcBorders>
              <w:top w:val="nil"/>
              <w:left w:val="nil"/>
              <w:bottom w:val="single" w:sz="4" w:space="0" w:color="auto"/>
              <w:right w:val="single" w:sz="4" w:space="0" w:color="auto"/>
            </w:tcBorders>
            <w:shd w:val="clear" w:color="auto" w:fill="auto"/>
            <w:vAlign w:val="center"/>
            <w:hideMark/>
          </w:tcPr>
          <w:p w14:paraId="7E518123" w14:textId="6279CDD1" w:rsidR="00175E60" w:rsidRPr="00E93BC5" w:rsidRDefault="00175E60" w:rsidP="00175E60">
            <w:pPr>
              <w:spacing w:after="0"/>
              <w:jc w:val="both"/>
              <w:rPr>
                <w:rFonts w:ascii="Times New Roman" w:hAnsi="Times New Roman"/>
                <w:sz w:val="24"/>
                <w:szCs w:val="24"/>
                <w:lang w:val="nl-NL"/>
              </w:rPr>
            </w:pPr>
            <w:r w:rsidRPr="00E93BC5">
              <w:rPr>
                <w:rFonts w:ascii="Times New Roman" w:hAnsi="Times New Roman"/>
                <w:sz w:val="24"/>
                <w:szCs w:val="24"/>
                <w:lang w:val="nl-NL"/>
              </w:rPr>
              <w:t xml:space="preserve">Từ 2010 - 2016: Trưởng phòng cấp cao Đầu tư và Ngân Quỹ Công ty Bảo hiểm nhân thọ Prudential Việt </w:t>
            </w:r>
            <w:r>
              <w:rPr>
                <w:rFonts w:ascii="Times New Roman" w:hAnsi="Times New Roman"/>
                <w:sz w:val="24"/>
                <w:szCs w:val="24"/>
                <w:lang w:val="nl-NL"/>
              </w:rPr>
              <w:t>N</w:t>
            </w:r>
            <w:r w:rsidRPr="00E93BC5">
              <w:rPr>
                <w:rFonts w:ascii="Times New Roman" w:hAnsi="Times New Roman"/>
                <w:sz w:val="24"/>
                <w:szCs w:val="24"/>
                <w:lang w:val="nl-NL"/>
              </w:rPr>
              <w:t>am</w:t>
            </w:r>
          </w:p>
          <w:p w14:paraId="17D41759" w14:textId="77777777" w:rsidR="00175E60" w:rsidRPr="00E93BC5" w:rsidRDefault="00175E60" w:rsidP="00175E60">
            <w:pPr>
              <w:spacing w:after="0"/>
              <w:jc w:val="both"/>
              <w:rPr>
                <w:rFonts w:ascii="Times New Roman" w:hAnsi="Times New Roman"/>
                <w:sz w:val="24"/>
                <w:szCs w:val="24"/>
                <w:lang w:val="nl-NL"/>
              </w:rPr>
            </w:pPr>
            <w:r w:rsidRPr="00E93BC5">
              <w:rPr>
                <w:rFonts w:ascii="Times New Roman" w:hAnsi="Times New Roman"/>
                <w:sz w:val="24"/>
                <w:szCs w:val="24"/>
                <w:lang w:val="nl-NL"/>
              </w:rPr>
              <w:t>Từ 2016 - 2019: Phó Giám đốc bộ phận chiến lược xây dựng và phân tích Kế hoạch tài chính Công ty tài chính Prudential Việt Nam</w:t>
            </w:r>
          </w:p>
          <w:p w14:paraId="3E908015" w14:textId="17B0FE6F" w:rsidR="00175E60" w:rsidRPr="00E93BC5" w:rsidRDefault="00175E60" w:rsidP="00175E60">
            <w:pPr>
              <w:spacing w:after="0"/>
              <w:jc w:val="both"/>
              <w:rPr>
                <w:rFonts w:ascii="Times New Roman" w:hAnsi="Times New Roman"/>
                <w:sz w:val="24"/>
                <w:szCs w:val="24"/>
                <w:lang w:val="nl-NL"/>
              </w:rPr>
            </w:pPr>
            <w:r w:rsidRPr="00E93BC5">
              <w:rPr>
                <w:rFonts w:ascii="Times New Roman" w:hAnsi="Times New Roman"/>
                <w:sz w:val="24"/>
                <w:szCs w:val="24"/>
                <w:lang w:val="nl-NL"/>
              </w:rPr>
              <w:t>Từ 12/2019 - nay: Giám đốc</w:t>
            </w:r>
            <w:r>
              <w:rPr>
                <w:rFonts w:ascii="Times New Roman" w:hAnsi="Times New Roman"/>
                <w:sz w:val="24"/>
                <w:szCs w:val="24"/>
                <w:lang w:val="nl-NL"/>
              </w:rPr>
              <w:t xml:space="preserve"> cấp cao</w:t>
            </w:r>
            <w:r w:rsidRPr="00E93BC5">
              <w:rPr>
                <w:rFonts w:ascii="Times New Roman" w:hAnsi="Times New Roman"/>
                <w:sz w:val="24"/>
                <w:szCs w:val="24"/>
                <w:lang w:val="nl-NL"/>
              </w:rPr>
              <w:t xml:space="preserve"> - Công ty TNHH MTV Quản lý Quỹ Chubb Life</w:t>
            </w:r>
          </w:p>
        </w:tc>
      </w:tr>
    </w:tbl>
    <w:p w14:paraId="6904E343" w14:textId="77777777" w:rsidR="00184D02" w:rsidRDefault="00184D02" w:rsidP="00B3750F">
      <w:pPr>
        <w:tabs>
          <w:tab w:val="left" w:pos="720"/>
        </w:tabs>
        <w:jc w:val="both"/>
        <w:rPr>
          <w:rFonts w:ascii="Times New Roman" w:hAnsi="Times New Roman"/>
          <w:b/>
          <w:sz w:val="24"/>
          <w:szCs w:val="24"/>
          <w:lang w:val="nl-NL"/>
        </w:rPr>
      </w:pPr>
    </w:p>
    <w:p w14:paraId="5CF69104" w14:textId="7E9659ED" w:rsidR="00444BF6" w:rsidRPr="00E93BC5" w:rsidRDefault="00444BF6" w:rsidP="00B3750F">
      <w:pPr>
        <w:tabs>
          <w:tab w:val="left" w:pos="720"/>
        </w:tabs>
        <w:jc w:val="both"/>
        <w:rPr>
          <w:rFonts w:ascii="Times New Roman" w:hAnsi="Times New Roman"/>
          <w:sz w:val="24"/>
          <w:szCs w:val="24"/>
          <w:lang w:val="nl-NL"/>
        </w:rPr>
      </w:pPr>
      <w:r w:rsidRPr="00E93BC5">
        <w:rPr>
          <w:rFonts w:ascii="Times New Roman" w:hAnsi="Times New Roman"/>
          <w:b/>
          <w:sz w:val="24"/>
          <w:szCs w:val="24"/>
          <w:lang w:val="nl-NL"/>
        </w:rPr>
        <w:t>Ban đại diện quỹ gồm có:</w:t>
      </w:r>
    </w:p>
    <w:tbl>
      <w:tblPr>
        <w:tblW w:w="10237" w:type="dxa"/>
        <w:tblInd w:w="108" w:type="dxa"/>
        <w:tblLook w:val="04A0" w:firstRow="1" w:lastRow="0" w:firstColumn="1" w:lastColumn="0" w:noHBand="0" w:noVBand="1"/>
      </w:tblPr>
      <w:tblGrid>
        <w:gridCol w:w="1597"/>
        <w:gridCol w:w="1170"/>
        <w:gridCol w:w="1170"/>
        <w:gridCol w:w="6300"/>
      </w:tblGrid>
      <w:tr w:rsidR="00202172" w:rsidRPr="00E93BC5" w14:paraId="3AC90EF6" w14:textId="77777777" w:rsidTr="001E511A">
        <w:trPr>
          <w:trHeight w:val="541"/>
        </w:trPr>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632CC" w14:textId="77777777" w:rsidR="00202172" w:rsidRPr="00E93BC5" w:rsidRDefault="00202172" w:rsidP="00444BF6">
            <w:pPr>
              <w:jc w:val="center"/>
              <w:rPr>
                <w:rFonts w:ascii="Times New Roman" w:hAnsi="Times New Roman"/>
                <w:b/>
                <w:sz w:val="24"/>
                <w:szCs w:val="24"/>
                <w:lang w:val="nl-NL"/>
              </w:rPr>
            </w:pPr>
            <w:bookmarkStart w:id="3" w:name="_Hlk14188218"/>
            <w:r w:rsidRPr="00E93BC5">
              <w:rPr>
                <w:rFonts w:ascii="Times New Roman" w:hAnsi="Times New Roman"/>
                <w:b/>
                <w:sz w:val="24"/>
                <w:szCs w:val="24"/>
                <w:lang w:val="nl-NL"/>
              </w:rPr>
              <w:t>Họ và tên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677AEFA"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Chức vụ</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88071D4"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Bằng cấp</w:t>
            </w:r>
          </w:p>
        </w:tc>
        <w:tc>
          <w:tcPr>
            <w:tcW w:w="6300" w:type="dxa"/>
            <w:tcBorders>
              <w:top w:val="single" w:sz="4" w:space="0" w:color="auto"/>
              <w:left w:val="nil"/>
              <w:bottom w:val="single" w:sz="4" w:space="0" w:color="auto"/>
              <w:right w:val="single" w:sz="4" w:space="0" w:color="auto"/>
            </w:tcBorders>
            <w:shd w:val="clear" w:color="auto" w:fill="auto"/>
            <w:noWrap/>
            <w:vAlign w:val="center"/>
            <w:hideMark/>
          </w:tcPr>
          <w:p w14:paraId="529BB705"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Quá trình công tác</w:t>
            </w:r>
          </w:p>
        </w:tc>
      </w:tr>
      <w:tr w:rsidR="00202172" w:rsidRPr="00E70B8F" w14:paraId="288397A6" w14:textId="77777777" w:rsidTr="001E511A">
        <w:trPr>
          <w:trHeight w:val="1070"/>
        </w:trPr>
        <w:tc>
          <w:tcPr>
            <w:tcW w:w="1597" w:type="dxa"/>
            <w:tcBorders>
              <w:top w:val="nil"/>
              <w:left w:val="single" w:sz="4" w:space="0" w:color="auto"/>
              <w:bottom w:val="single" w:sz="4" w:space="0" w:color="auto"/>
              <w:right w:val="single" w:sz="4" w:space="0" w:color="auto"/>
            </w:tcBorders>
            <w:shd w:val="clear" w:color="auto" w:fill="auto"/>
            <w:vAlign w:val="center"/>
            <w:hideMark/>
          </w:tcPr>
          <w:p w14:paraId="4E4FCC88" w14:textId="77777777" w:rsidR="00202172" w:rsidRPr="00E93BC5" w:rsidRDefault="00202172" w:rsidP="001929F3">
            <w:pPr>
              <w:jc w:val="center"/>
              <w:rPr>
                <w:rFonts w:ascii="Times New Roman" w:hAnsi="Times New Roman"/>
                <w:sz w:val="24"/>
                <w:szCs w:val="24"/>
                <w:lang w:val="nl-NL"/>
              </w:rPr>
            </w:pPr>
            <w:r w:rsidRPr="00E93BC5">
              <w:rPr>
                <w:rFonts w:ascii="Times New Roman" w:hAnsi="Times New Roman"/>
                <w:sz w:val="24"/>
                <w:szCs w:val="24"/>
                <w:lang w:val="nl-NL"/>
              </w:rPr>
              <w:t>Trịnh Thanh Cần</w:t>
            </w:r>
          </w:p>
        </w:tc>
        <w:tc>
          <w:tcPr>
            <w:tcW w:w="1170" w:type="dxa"/>
            <w:tcBorders>
              <w:top w:val="nil"/>
              <w:left w:val="nil"/>
              <w:bottom w:val="single" w:sz="4" w:space="0" w:color="auto"/>
              <w:right w:val="single" w:sz="4" w:space="0" w:color="auto"/>
            </w:tcBorders>
            <w:shd w:val="clear" w:color="auto" w:fill="auto"/>
            <w:vAlign w:val="center"/>
            <w:hideMark/>
          </w:tcPr>
          <w:p w14:paraId="66665D16"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 xml:space="preserve">Chủ tịch </w:t>
            </w:r>
          </w:p>
        </w:tc>
        <w:tc>
          <w:tcPr>
            <w:tcW w:w="1170" w:type="dxa"/>
            <w:tcBorders>
              <w:top w:val="nil"/>
              <w:left w:val="nil"/>
              <w:bottom w:val="single" w:sz="4" w:space="0" w:color="auto"/>
              <w:right w:val="single" w:sz="4" w:space="0" w:color="auto"/>
            </w:tcBorders>
            <w:shd w:val="clear" w:color="auto" w:fill="auto"/>
            <w:vAlign w:val="center"/>
            <w:hideMark/>
          </w:tcPr>
          <w:p w14:paraId="000E137A"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shd w:val="clear" w:color="auto" w:fill="auto"/>
            <w:vAlign w:val="bottom"/>
            <w:hideMark/>
          </w:tcPr>
          <w:p w14:paraId="6419CFB7" w14:textId="77777777" w:rsidR="00202172" w:rsidRDefault="00202172" w:rsidP="0026726B">
            <w:pPr>
              <w:spacing w:after="0" w:line="240" w:lineRule="auto"/>
              <w:rPr>
                <w:rFonts w:ascii="Times New Roman" w:hAnsi="Times New Roman"/>
                <w:sz w:val="24"/>
                <w:szCs w:val="24"/>
                <w:lang w:val="nl-NL"/>
              </w:rPr>
            </w:pPr>
            <w:r w:rsidRPr="00E93BC5">
              <w:rPr>
                <w:rFonts w:ascii="Times New Roman" w:hAnsi="Times New Roman"/>
                <w:sz w:val="24"/>
                <w:szCs w:val="24"/>
                <w:lang w:val="nl-NL"/>
              </w:rPr>
              <w:t>Từ 2000</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2002: Trợ lý nghiên cứu -Công ty Quản lý quỹ Tower Mỹ</w:t>
            </w:r>
            <w:r w:rsidRPr="00E93BC5">
              <w:rPr>
                <w:rFonts w:ascii="Times New Roman" w:hAnsi="Times New Roman"/>
                <w:sz w:val="24"/>
                <w:szCs w:val="24"/>
                <w:lang w:val="nl-NL"/>
              </w:rPr>
              <w:br/>
              <w:t>Từ 2002</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2003: Chuyên viên - Ngân hàng Downey Savings</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Mỹ</w:t>
            </w:r>
            <w:r w:rsidRPr="00E93BC5">
              <w:rPr>
                <w:rFonts w:ascii="Times New Roman" w:hAnsi="Times New Roman"/>
                <w:sz w:val="24"/>
                <w:szCs w:val="24"/>
                <w:lang w:val="nl-NL"/>
              </w:rPr>
              <w:br/>
              <w:t>Từ 2003</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2005: Chuyên viên đầu tư - Công ty </w:t>
            </w:r>
            <w:r w:rsidR="00CE2F8B" w:rsidRPr="00E93BC5">
              <w:rPr>
                <w:rFonts w:ascii="Times New Roman" w:hAnsi="Times New Roman"/>
                <w:sz w:val="24"/>
                <w:szCs w:val="24"/>
                <w:lang w:val="nl-NL"/>
              </w:rPr>
              <w:t>Quản lý Quỹ</w:t>
            </w:r>
            <w:r w:rsidR="00D75CED" w:rsidRPr="00E93BC5">
              <w:rPr>
                <w:rFonts w:ascii="Times New Roman" w:hAnsi="Times New Roman"/>
                <w:sz w:val="24"/>
                <w:szCs w:val="24"/>
                <w:lang w:val="nl-NL"/>
              </w:rPr>
              <w:t xml:space="preserve"> V</w:t>
            </w:r>
            <w:r w:rsidRPr="00E93BC5">
              <w:rPr>
                <w:rFonts w:ascii="Times New Roman" w:hAnsi="Times New Roman"/>
                <w:sz w:val="24"/>
                <w:szCs w:val="24"/>
                <w:lang w:val="nl-NL"/>
              </w:rPr>
              <w:t>inacapital Việt Nam</w:t>
            </w:r>
            <w:r w:rsidRPr="00E93BC5">
              <w:rPr>
                <w:rFonts w:ascii="Times New Roman" w:hAnsi="Times New Roman"/>
                <w:sz w:val="24"/>
                <w:szCs w:val="24"/>
                <w:lang w:val="nl-NL"/>
              </w:rPr>
              <w:br/>
              <w:t>Từ 2005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2006: Giám đốc Quan hệ KH - Ngân hàng HSBC Việ</w:t>
            </w:r>
            <w:r w:rsidR="00D75CED" w:rsidRPr="00E93BC5">
              <w:rPr>
                <w:rFonts w:ascii="Times New Roman" w:hAnsi="Times New Roman"/>
                <w:sz w:val="24"/>
                <w:szCs w:val="24"/>
                <w:lang w:val="nl-NL"/>
              </w:rPr>
              <w:t xml:space="preserve">t </w:t>
            </w:r>
            <w:r w:rsidRPr="00E93BC5">
              <w:rPr>
                <w:rFonts w:ascii="Times New Roman" w:hAnsi="Times New Roman"/>
                <w:sz w:val="24"/>
                <w:szCs w:val="24"/>
                <w:lang w:val="nl-NL"/>
              </w:rPr>
              <w:t>Nam</w:t>
            </w:r>
            <w:r w:rsidRPr="00E93BC5">
              <w:rPr>
                <w:rFonts w:ascii="Times New Roman" w:hAnsi="Times New Roman"/>
                <w:sz w:val="24"/>
                <w:szCs w:val="24"/>
                <w:lang w:val="nl-NL"/>
              </w:rPr>
              <w:br/>
              <w:t>Từ 2006</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2007: Giám đốc đầu tư - Công ty </w:t>
            </w:r>
            <w:r w:rsidR="00CE2F8B" w:rsidRPr="00E93BC5">
              <w:rPr>
                <w:rFonts w:ascii="Times New Roman" w:hAnsi="Times New Roman"/>
                <w:sz w:val="24"/>
                <w:szCs w:val="24"/>
                <w:lang w:val="nl-NL"/>
              </w:rPr>
              <w:t>Quản lý Quỹ</w:t>
            </w:r>
            <w:r w:rsidRPr="00E93BC5">
              <w:rPr>
                <w:rFonts w:ascii="Times New Roman" w:hAnsi="Times New Roman"/>
                <w:sz w:val="24"/>
                <w:szCs w:val="24"/>
                <w:lang w:val="nl-NL"/>
              </w:rPr>
              <w:t xml:space="preserve"> Bản Việt</w:t>
            </w:r>
            <w:r w:rsidRPr="00E93BC5">
              <w:rPr>
                <w:rFonts w:ascii="Times New Roman" w:hAnsi="Times New Roman"/>
                <w:sz w:val="24"/>
                <w:szCs w:val="24"/>
                <w:lang w:val="nl-NL"/>
              </w:rPr>
              <w:br/>
              <w:t>Từ 2007</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2011: Giám đốc phân tích -</w:t>
            </w:r>
            <w:r w:rsidR="00444BF6"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Công ty </w:t>
            </w:r>
            <w:r w:rsidR="00F14D5B" w:rsidRPr="00E93BC5">
              <w:rPr>
                <w:rFonts w:ascii="Times New Roman" w:hAnsi="Times New Roman"/>
                <w:sz w:val="24"/>
                <w:szCs w:val="24"/>
                <w:lang w:val="nl-NL"/>
              </w:rPr>
              <w:t>Chứng khoán</w:t>
            </w:r>
            <w:r w:rsidRPr="00E93BC5">
              <w:rPr>
                <w:rFonts w:ascii="Times New Roman" w:hAnsi="Times New Roman"/>
                <w:sz w:val="24"/>
                <w:szCs w:val="24"/>
                <w:lang w:val="nl-NL"/>
              </w:rPr>
              <w:t xml:space="preserve"> Bản Việt</w:t>
            </w:r>
            <w:r w:rsidRPr="00E93BC5">
              <w:rPr>
                <w:rFonts w:ascii="Times New Roman" w:hAnsi="Times New Roman"/>
                <w:sz w:val="24"/>
                <w:szCs w:val="24"/>
                <w:lang w:val="nl-NL"/>
              </w:rPr>
              <w:br/>
              <w:t>Từ 2011</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2015: Giám đốc điều hành khối Tư vấn tài chính D</w:t>
            </w:r>
            <w:r w:rsidR="00CE2F8B" w:rsidRPr="00E93BC5">
              <w:rPr>
                <w:rFonts w:ascii="Times New Roman" w:hAnsi="Times New Roman"/>
                <w:sz w:val="24"/>
                <w:szCs w:val="24"/>
                <w:lang w:val="nl-NL"/>
              </w:rPr>
              <w:t>oanh nghiệp</w:t>
            </w:r>
            <w:r w:rsidR="00444BF6"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 Công ty </w:t>
            </w:r>
            <w:r w:rsidR="00CE2F8B" w:rsidRPr="00E93BC5">
              <w:rPr>
                <w:rFonts w:ascii="Times New Roman" w:hAnsi="Times New Roman"/>
                <w:sz w:val="24"/>
                <w:szCs w:val="24"/>
                <w:lang w:val="nl-NL"/>
              </w:rPr>
              <w:t>C</w:t>
            </w:r>
            <w:r w:rsidRPr="00E93BC5">
              <w:rPr>
                <w:rFonts w:ascii="Times New Roman" w:hAnsi="Times New Roman"/>
                <w:sz w:val="24"/>
                <w:szCs w:val="24"/>
                <w:lang w:val="nl-NL"/>
              </w:rPr>
              <w:t>hứng khoán HSC</w:t>
            </w:r>
            <w:r w:rsidRPr="00E93BC5">
              <w:rPr>
                <w:rFonts w:ascii="Times New Roman" w:hAnsi="Times New Roman"/>
                <w:sz w:val="24"/>
                <w:szCs w:val="24"/>
                <w:lang w:val="nl-NL"/>
              </w:rPr>
              <w:br/>
              <w:t>Từ 2015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0026726B">
              <w:rPr>
                <w:rFonts w:ascii="Times New Roman" w:hAnsi="Times New Roman"/>
                <w:sz w:val="24"/>
                <w:szCs w:val="24"/>
                <w:lang w:val="nl-NL"/>
              </w:rPr>
              <w:t>2022</w:t>
            </w:r>
            <w:r w:rsidRPr="00E93BC5">
              <w:rPr>
                <w:rFonts w:ascii="Times New Roman" w:hAnsi="Times New Roman"/>
                <w:sz w:val="24"/>
                <w:szCs w:val="24"/>
                <w:lang w:val="nl-NL"/>
              </w:rPr>
              <w:t>: Tổng giám đốc -</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Công ty TNHH Chứng khoán ACB</w:t>
            </w:r>
          </w:p>
          <w:p w14:paraId="370DD3D0" w14:textId="4D428D66" w:rsidR="0026726B" w:rsidRPr="00E93BC5" w:rsidRDefault="0026726B" w:rsidP="0026726B">
            <w:pPr>
              <w:spacing w:after="0" w:line="240" w:lineRule="auto"/>
              <w:rPr>
                <w:rFonts w:ascii="Times New Roman" w:hAnsi="Times New Roman"/>
                <w:sz w:val="24"/>
                <w:szCs w:val="24"/>
                <w:lang w:val="nl-NL"/>
              </w:rPr>
            </w:pPr>
            <w:r>
              <w:rPr>
                <w:rFonts w:ascii="Times New Roman" w:hAnsi="Times New Roman"/>
                <w:sz w:val="24"/>
                <w:szCs w:val="24"/>
                <w:lang w:val="nl-NL"/>
              </w:rPr>
              <w:t xml:space="preserve">Từ 4/2022 – nay: </w:t>
            </w:r>
            <w:r w:rsidRPr="00E35E84">
              <w:rPr>
                <w:rFonts w:ascii="Times New Roman" w:hAnsi="Times New Roman"/>
                <w:sz w:val="24"/>
                <w:szCs w:val="24"/>
                <w:lang w:val="nl-NL"/>
              </w:rPr>
              <w:t xml:space="preserve">Tổng giám đốc - Công ty </w:t>
            </w:r>
            <w:r>
              <w:rPr>
                <w:rFonts w:ascii="Times New Roman" w:hAnsi="Times New Roman"/>
                <w:sz w:val="24"/>
                <w:szCs w:val="24"/>
                <w:lang w:val="nl-NL"/>
              </w:rPr>
              <w:t>CP</w:t>
            </w:r>
            <w:r w:rsidRPr="00E35E84">
              <w:rPr>
                <w:rFonts w:ascii="Times New Roman" w:hAnsi="Times New Roman"/>
                <w:sz w:val="24"/>
                <w:szCs w:val="24"/>
                <w:lang w:val="nl-NL"/>
              </w:rPr>
              <w:t xml:space="preserve"> Chứng khoán </w:t>
            </w:r>
            <w:r>
              <w:rPr>
                <w:rFonts w:ascii="Times New Roman" w:hAnsi="Times New Roman"/>
                <w:sz w:val="24"/>
                <w:szCs w:val="24"/>
                <w:lang w:val="nl-NL"/>
              </w:rPr>
              <w:t>KAFI</w:t>
            </w:r>
          </w:p>
        </w:tc>
      </w:tr>
      <w:tr w:rsidR="00202172" w:rsidRPr="00E70B8F" w14:paraId="0D85347F" w14:textId="77777777" w:rsidTr="001E511A">
        <w:trPr>
          <w:trHeight w:val="800"/>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5B5D8E8C" w14:textId="77777777" w:rsidR="00202172" w:rsidRPr="00E93BC5" w:rsidRDefault="00202172" w:rsidP="001929F3">
            <w:pPr>
              <w:jc w:val="center"/>
              <w:rPr>
                <w:rFonts w:ascii="Times New Roman" w:hAnsi="Times New Roman"/>
                <w:sz w:val="24"/>
                <w:szCs w:val="24"/>
                <w:lang w:val="nl-NL"/>
              </w:rPr>
            </w:pPr>
            <w:r w:rsidRPr="00E93BC5">
              <w:rPr>
                <w:rFonts w:ascii="Times New Roman" w:hAnsi="Times New Roman"/>
                <w:sz w:val="24"/>
                <w:szCs w:val="24"/>
                <w:lang w:val="nl-NL"/>
              </w:rPr>
              <w:t>Nguyễn Trọng Đức</w:t>
            </w:r>
          </w:p>
        </w:tc>
        <w:tc>
          <w:tcPr>
            <w:tcW w:w="1170" w:type="dxa"/>
            <w:tcBorders>
              <w:top w:val="nil"/>
              <w:left w:val="nil"/>
              <w:bottom w:val="single" w:sz="4" w:space="0" w:color="auto"/>
              <w:right w:val="single" w:sz="4" w:space="0" w:color="auto"/>
            </w:tcBorders>
            <w:shd w:val="clear" w:color="auto" w:fill="auto"/>
            <w:noWrap/>
            <w:vAlign w:val="center"/>
            <w:hideMark/>
          </w:tcPr>
          <w:p w14:paraId="2F32897F"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 xml:space="preserve">Thành viên </w:t>
            </w:r>
          </w:p>
        </w:tc>
        <w:tc>
          <w:tcPr>
            <w:tcW w:w="1170" w:type="dxa"/>
            <w:tcBorders>
              <w:top w:val="nil"/>
              <w:left w:val="nil"/>
              <w:bottom w:val="single" w:sz="4" w:space="0" w:color="auto"/>
              <w:right w:val="single" w:sz="4" w:space="0" w:color="auto"/>
            </w:tcBorders>
            <w:shd w:val="clear" w:color="auto" w:fill="auto"/>
            <w:noWrap/>
            <w:vAlign w:val="center"/>
            <w:hideMark/>
          </w:tcPr>
          <w:p w14:paraId="40D1918C" w14:textId="77777777" w:rsidR="00202172" w:rsidRPr="00E93BC5" w:rsidRDefault="00202172" w:rsidP="00B3750F">
            <w:pPr>
              <w:jc w:val="both"/>
              <w:rPr>
                <w:rFonts w:ascii="Times New Roman" w:hAnsi="Times New Roman"/>
                <w:sz w:val="24"/>
                <w:szCs w:val="24"/>
                <w:lang w:val="nl-NL"/>
              </w:rPr>
            </w:pPr>
            <w:r w:rsidRPr="00E93BC5">
              <w:rPr>
                <w:rFonts w:ascii="Times New Roman" w:hAnsi="Times New Roman"/>
                <w:sz w:val="24"/>
                <w:szCs w:val="24"/>
                <w:lang w:val="nl-NL"/>
              </w:rPr>
              <w:t>Thạc sỹ</w:t>
            </w:r>
          </w:p>
        </w:tc>
        <w:tc>
          <w:tcPr>
            <w:tcW w:w="6300" w:type="dxa"/>
            <w:tcBorders>
              <w:top w:val="nil"/>
              <w:left w:val="nil"/>
              <w:bottom w:val="single" w:sz="4" w:space="0" w:color="auto"/>
              <w:right w:val="single" w:sz="4" w:space="0" w:color="auto"/>
            </w:tcBorders>
            <w:shd w:val="clear" w:color="auto" w:fill="auto"/>
            <w:vAlign w:val="bottom"/>
            <w:hideMark/>
          </w:tcPr>
          <w:p w14:paraId="42C97B7B" w14:textId="77777777" w:rsidR="00202172" w:rsidRPr="00E93BC5" w:rsidRDefault="00202172" w:rsidP="00444BF6">
            <w:pPr>
              <w:spacing w:after="0"/>
              <w:rPr>
                <w:rFonts w:ascii="Times New Roman" w:hAnsi="Times New Roman"/>
                <w:sz w:val="24"/>
                <w:szCs w:val="24"/>
                <w:lang w:val="nl-NL"/>
              </w:rPr>
            </w:pPr>
            <w:r w:rsidRPr="00E93BC5">
              <w:rPr>
                <w:rFonts w:ascii="Times New Roman" w:hAnsi="Times New Roman"/>
                <w:sz w:val="24"/>
                <w:szCs w:val="24"/>
                <w:lang w:val="nl-NL"/>
              </w:rPr>
              <w:t>Từ 1995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1999: Kiểm toán viên - Công ty Kiểm toán KPMG</w:t>
            </w:r>
            <w:r w:rsidRPr="00E93BC5">
              <w:rPr>
                <w:rFonts w:ascii="Times New Roman" w:hAnsi="Times New Roman"/>
                <w:sz w:val="24"/>
                <w:szCs w:val="24"/>
                <w:lang w:val="nl-NL"/>
              </w:rPr>
              <w:br/>
              <w:t>Từ 1999</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2000: Trưởng phòng KTNB - Công ty Victoria Việt Nam Group</w:t>
            </w:r>
            <w:r w:rsidRPr="00E93BC5">
              <w:rPr>
                <w:rFonts w:ascii="Times New Roman" w:hAnsi="Times New Roman"/>
                <w:sz w:val="24"/>
                <w:szCs w:val="24"/>
                <w:lang w:val="nl-NL"/>
              </w:rPr>
              <w:br/>
              <w:t>Từ 2000</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2002: Giám đốc tài chính tập đoàn - Công ty Victoria Việt Nam Group</w:t>
            </w:r>
            <w:r w:rsidRPr="00E93BC5">
              <w:rPr>
                <w:rFonts w:ascii="Times New Roman" w:hAnsi="Times New Roman"/>
                <w:sz w:val="24"/>
                <w:szCs w:val="24"/>
                <w:lang w:val="nl-NL"/>
              </w:rPr>
              <w:br/>
              <w:t>Từ 2002</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2004: Giám đốc tài chính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Philips Electronics Việt nam</w:t>
            </w:r>
            <w:r w:rsidR="00B85125" w:rsidRPr="00E93BC5">
              <w:rPr>
                <w:rFonts w:ascii="Times New Roman" w:hAnsi="Times New Roman"/>
                <w:sz w:val="24"/>
                <w:szCs w:val="24"/>
                <w:lang w:val="nl-NL"/>
              </w:rPr>
              <w:t>.</w:t>
            </w:r>
            <w:r w:rsidRPr="00E93BC5">
              <w:rPr>
                <w:rFonts w:ascii="Times New Roman" w:hAnsi="Times New Roman"/>
                <w:sz w:val="24"/>
                <w:szCs w:val="24"/>
                <w:lang w:val="nl-NL"/>
              </w:rPr>
              <w:br/>
              <w:t>Từ</w:t>
            </w:r>
            <w:r w:rsidR="005C4036" w:rsidRPr="00E93BC5">
              <w:rPr>
                <w:rFonts w:ascii="Times New Roman" w:hAnsi="Times New Roman"/>
                <w:sz w:val="24"/>
                <w:szCs w:val="24"/>
                <w:lang w:val="nl-NL"/>
              </w:rPr>
              <w:t xml:space="preserve"> 2004</w:t>
            </w:r>
            <w:r w:rsidR="00B85125" w:rsidRPr="00E93BC5">
              <w:rPr>
                <w:rFonts w:ascii="Times New Roman" w:hAnsi="Times New Roman"/>
                <w:sz w:val="24"/>
                <w:szCs w:val="24"/>
                <w:lang w:val="nl-NL"/>
              </w:rPr>
              <w:t xml:space="preserve"> </w:t>
            </w:r>
            <w:r w:rsidR="005C4036" w:rsidRPr="00E93BC5">
              <w:rPr>
                <w:rFonts w:ascii="Times New Roman" w:hAnsi="Times New Roman"/>
                <w:sz w:val="24"/>
                <w:szCs w:val="24"/>
                <w:lang w:val="nl-NL"/>
              </w:rPr>
              <w:t xml:space="preserve">- 2015: </w:t>
            </w:r>
            <w:r w:rsidRPr="00E93BC5">
              <w:rPr>
                <w:rFonts w:ascii="Times New Roman" w:hAnsi="Times New Roman"/>
                <w:sz w:val="24"/>
                <w:szCs w:val="24"/>
                <w:lang w:val="nl-NL"/>
              </w:rPr>
              <w:t>Giám đốc tài chính</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Ogilvy &amp; Mather Việt Nam</w:t>
            </w:r>
            <w:r w:rsidR="00B85125" w:rsidRPr="00E93BC5">
              <w:rPr>
                <w:rFonts w:ascii="Times New Roman" w:hAnsi="Times New Roman"/>
                <w:sz w:val="24"/>
                <w:szCs w:val="24"/>
                <w:lang w:val="nl-NL"/>
              </w:rPr>
              <w:t>.</w:t>
            </w:r>
            <w:r w:rsidRPr="00E93BC5">
              <w:rPr>
                <w:rFonts w:ascii="Times New Roman" w:hAnsi="Times New Roman"/>
                <w:sz w:val="24"/>
                <w:szCs w:val="24"/>
                <w:lang w:val="nl-NL"/>
              </w:rPr>
              <w:t xml:space="preserve"> </w:t>
            </w:r>
          </w:p>
          <w:p w14:paraId="4692EC6F" w14:textId="77777777" w:rsidR="00497DBF" w:rsidRPr="00E93BC5" w:rsidRDefault="00202172" w:rsidP="00497DBF">
            <w:pPr>
              <w:spacing w:after="0"/>
              <w:rPr>
                <w:rFonts w:ascii="Times New Roman" w:hAnsi="Times New Roman"/>
                <w:sz w:val="24"/>
                <w:szCs w:val="24"/>
                <w:lang w:val="nl-NL"/>
              </w:rPr>
            </w:pPr>
            <w:r w:rsidRPr="00E93BC5">
              <w:rPr>
                <w:rFonts w:ascii="Times New Roman" w:hAnsi="Times New Roman"/>
                <w:sz w:val="24"/>
                <w:szCs w:val="24"/>
                <w:lang w:val="nl-NL"/>
              </w:rPr>
              <w:t>Từ 2015</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- 2018</w:t>
            </w:r>
            <w:r w:rsidR="005C4036" w:rsidRPr="00E93BC5">
              <w:rPr>
                <w:rFonts w:ascii="Times New Roman" w:hAnsi="Times New Roman"/>
                <w:sz w:val="24"/>
                <w:szCs w:val="24"/>
                <w:lang w:val="nl-NL"/>
              </w:rPr>
              <w:t xml:space="preserve">: </w:t>
            </w:r>
            <w:r w:rsidRPr="00E93BC5">
              <w:rPr>
                <w:rFonts w:ascii="Times New Roman" w:hAnsi="Times New Roman"/>
                <w:sz w:val="24"/>
                <w:szCs w:val="24"/>
                <w:lang w:val="nl-NL"/>
              </w:rPr>
              <w:t>Giám đốc điều hành hoạt động/Giám đốc tài chính</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Công ty Ogilvy &amp; Mather Việt Nam</w:t>
            </w:r>
            <w:r w:rsidRPr="00E93BC5">
              <w:rPr>
                <w:rFonts w:ascii="Times New Roman" w:hAnsi="Times New Roman"/>
                <w:sz w:val="24"/>
                <w:szCs w:val="24"/>
                <w:lang w:val="nl-NL"/>
              </w:rPr>
              <w:br/>
              <w:t>Từ 6/2018</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 xml:space="preserve">- </w:t>
            </w:r>
            <w:r w:rsidR="00E16A0D" w:rsidRPr="00E93BC5">
              <w:rPr>
                <w:rFonts w:ascii="Times New Roman" w:hAnsi="Times New Roman"/>
                <w:sz w:val="24"/>
                <w:szCs w:val="24"/>
                <w:lang w:val="nl-NL"/>
              </w:rPr>
              <w:t>2019</w:t>
            </w:r>
            <w:r w:rsidRPr="00E93BC5">
              <w:rPr>
                <w:rFonts w:ascii="Times New Roman" w:hAnsi="Times New Roman"/>
                <w:sz w:val="24"/>
                <w:szCs w:val="24"/>
                <w:lang w:val="nl-NL"/>
              </w:rPr>
              <w:t>: Tổng giám đốc -</w:t>
            </w:r>
            <w:r w:rsidR="00B85125" w:rsidRPr="00E93BC5">
              <w:rPr>
                <w:rFonts w:ascii="Times New Roman" w:hAnsi="Times New Roman"/>
                <w:sz w:val="24"/>
                <w:szCs w:val="24"/>
                <w:lang w:val="nl-NL"/>
              </w:rPr>
              <w:t xml:space="preserve"> </w:t>
            </w:r>
            <w:r w:rsidRPr="00E93BC5">
              <w:rPr>
                <w:rFonts w:ascii="Times New Roman" w:hAnsi="Times New Roman"/>
                <w:sz w:val="24"/>
                <w:szCs w:val="24"/>
                <w:lang w:val="nl-NL"/>
              </w:rPr>
              <w:t>Công ty Ogilvy &amp; Mather Việt Nam</w:t>
            </w:r>
            <w:r w:rsidR="00B85125" w:rsidRPr="00E93BC5">
              <w:rPr>
                <w:rFonts w:ascii="Times New Roman" w:hAnsi="Times New Roman"/>
                <w:sz w:val="24"/>
                <w:szCs w:val="24"/>
                <w:lang w:val="nl-NL"/>
              </w:rPr>
              <w:t>.</w:t>
            </w:r>
          </w:p>
        </w:tc>
      </w:tr>
      <w:tr w:rsidR="00202172" w:rsidRPr="00E70B8F" w14:paraId="31EBDD58" w14:textId="77777777" w:rsidTr="001E511A">
        <w:trPr>
          <w:trHeight w:val="1340"/>
        </w:trPr>
        <w:tc>
          <w:tcPr>
            <w:tcW w:w="1597"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A3B9B44" w14:textId="77777777" w:rsidR="00202172" w:rsidRPr="00E93BC5" w:rsidRDefault="00202172" w:rsidP="001929F3">
            <w:pPr>
              <w:jc w:val="center"/>
              <w:rPr>
                <w:rFonts w:ascii="Times New Roman" w:hAnsi="Times New Roman"/>
                <w:sz w:val="24"/>
                <w:szCs w:val="24"/>
                <w:lang w:val="nl-NL"/>
              </w:rPr>
            </w:pPr>
            <w:r w:rsidRPr="00E93BC5">
              <w:rPr>
                <w:rFonts w:ascii="Times New Roman" w:hAnsi="Times New Roman"/>
                <w:sz w:val="24"/>
                <w:szCs w:val="24"/>
                <w:lang w:val="nl-NL"/>
              </w:rPr>
              <w:lastRenderedPageBreak/>
              <w:t>Trần Việt Hương</w:t>
            </w:r>
          </w:p>
        </w:tc>
        <w:tc>
          <w:tcPr>
            <w:tcW w:w="1170" w:type="dxa"/>
            <w:tcBorders>
              <w:top w:val="single" w:sz="4" w:space="0" w:color="000000"/>
              <w:left w:val="nil"/>
              <w:bottom w:val="single" w:sz="4" w:space="0" w:color="auto"/>
              <w:right w:val="single" w:sz="4" w:space="0" w:color="auto"/>
            </w:tcBorders>
            <w:shd w:val="clear" w:color="auto" w:fill="auto"/>
            <w:noWrap/>
            <w:vAlign w:val="center"/>
            <w:hideMark/>
          </w:tcPr>
          <w:p w14:paraId="6BC06335"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Thành viên</w:t>
            </w:r>
          </w:p>
        </w:tc>
        <w:tc>
          <w:tcPr>
            <w:tcW w:w="1170" w:type="dxa"/>
            <w:tcBorders>
              <w:top w:val="single" w:sz="4" w:space="0" w:color="000000"/>
              <w:left w:val="nil"/>
              <w:bottom w:val="single" w:sz="4" w:space="0" w:color="auto"/>
              <w:right w:val="single" w:sz="4" w:space="0" w:color="auto"/>
            </w:tcBorders>
            <w:shd w:val="clear" w:color="auto" w:fill="auto"/>
            <w:noWrap/>
            <w:vAlign w:val="center"/>
            <w:hideMark/>
          </w:tcPr>
          <w:p w14:paraId="4EAACA7C"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Luật sư</w:t>
            </w:r>
          </w:p>
        </w:tc>
        <w:tc>
          <w:tcPr>
            <w:tcW w:w="6300" w:type="dxa"/>
            <w:tcBorders>
              <w:top w:val="single" w:sz="4" w:space="0" w:color="000000"/>
              <w:left w:val="nil"/>
              <w:bottom w:val="single" w:sz="4" w:space="0" w:color="auto"/>
              <w:right w:val="single" w:sz="4" w:space="0" w:color="auto"/>
            </w:tcBorders>
            <w:shd w:val="clear" w:color="auto" w:fill="auto"/>
            <w:vAlign w:val="bottom"/>
            <w:hideMark/>
          </w:tcPr>
          <w:p w14:paraId="0926D5FC" w14:textId="77777777" w:rsidR="00202172" w:rsidRPr="00E93BC5" w:rsidRDefault="00202172" w:rsidP="00444BF6">
            <w:pPr>
              <w:rPr>
                <w:rFonts w:ascii="Times New Roman" w:hAnsi="Times New Roman"/>
                <w:sz w:val="24"/>
                <w:szCs w:val="24"/>
                <w:lang w:val="nl-NL"/>
              </w:rPr>
            </w:pPr>
            <w:r w:rsidRPr="00E93BC5">
              <w:rPr>
                <w:rFonts w:ascii="Times New Roman" w:hAnsi="Times New Roman"/>
                <w:sz w:val="24"/>
                <w:szCs w:val="24"/>
                <w:lang w:val="nl-NL"/>
              </w:rPr>
              <w:t>Từ 1995</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1997: Tư vấn thuế &amp; Đầu tư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kiểm toán và tư vấn Cooper &amp; Lybrand – AISC</w:t>
            </w:r>
            <w:r w:rsidRPr="00E93BC5">
              <w:rPr>
                <w:rFonts w:ascii="Times New Roman" w:hAnsi="Times New Roman"/>
                <w:sz w:val="24"/>
                <w:szCs w:val="24"/>
                <w:lang w:val="nl-NL"/>
              </w:rPr>
              <w:br/>
              <w:t>Từ 1998</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2000: Tư vấn thuế &amp; Đầu tư</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 Công ty Kiểm toán KPMG</w:t>
            </w:r>
            <w:r w:rsidRPr="00E93BC5">
              <w:rPr>
                <w:rFonts w:ascii="Times New Roman" w:hAnsi="Times New Roman"/>
                <w:sz w:val="24"/>
                <w:szCs w:val="24"/>
                <w:lang w:val="nl-NL"/>
              </w:rPr>
              <w:br/>
              <w:t>Từ 2000</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2003: Phó trưởng Đại diện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VPĐD Pacific Rim Enterprises, LLC</w:t>
            </w:r>
            <w:r w:rsidRPr="00E93BC5">
              <w:rPr>
                <w:rFonts w:ascii="Times New Roman" w:hAnsi="Times New Roman"/>
                <w:sz w:val="24"/>
                <w:szCs w:val="24"/>
                <w:lang w:val="nl-NL"/>
              </w:rPr>
              <w:br/>
              <w:t>Từ 2003</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2006: Phó giám đốc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TNHH Nhiệt Đới</w:t>
            </w:r>
            <w:r w:rsidRPr="00E93BC5">
              <w:rPr>
                <w:rFonts w:ascii="Times New Roman" w:hAnsi="Times New Roman"/>
                <w:sz w:val="24"/>
                <w:szCs w:val="24"/>
                <w:lang w:val="nl-NL"/>
              </w:rPr>
              <w:br/>
              <w:t>Từ 2006</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2008: Phó Tổng giám đốc</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 Công ty CP An Gia</w:t>
            </w:r>
            <w:r w:rsidRPr="00E93BC5">
              <w:rPr>
                <w:rFonts w:ascii="Times New Roman" w:hAnsi="Times New Roman"/>
                <w:sz w:val="24"/>
                <w:szCs w:val="24"/>
                <w:lang w:val="nl-NL"/>
              </w:rPr>
              <w:br/>
              <w:t>Từ 2011</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nay: Luật sư thành viên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luật Avenir</w:t>
            </w:r>
            <w:r w:rsidRPr="00E93BC5">
              <w:rPr>
                <w:rFonts w:ascii="Times New Roman" w:hAnsi="Times New Roman"/>
                <w:sz w:val="24"/>
                <w:szCs w:val="24"/>
                <w:lang w:val="nl-NL"/>
              </w:rPr>
              <w:br/>
              <w:t>Từ 2010</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00B80B17" w:rsidRPr="00E93BC5">
              <w:rPr>
                <w:rFonts w:ascii="Times New Roman" w:hAnsi="Times New Roman"/>
                <w:sz w:val="24"/>
                <w:szCs w:val="24"/>
                <w:lang w:val="nl-NL"/>
              </w:rPr>
              <w:t>nay</w:t>
            </w:r>
            <w:r w:rsidRPr="00E93BC5">
              <w:rPr>
                <w:rFonts w:ascii="Times New Roman" w:hAnsi="Times New Roman"/>
                <w:sz w:val="24"/>
                <w:szCs w:val="24"/>
                <w:lang w:val="nl-NL"/>
              </w:rPr>
              <w:t>: Giám đốc Điều hành -</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Công ty TNHH Mễ Tân</w:t>
            </w:r>
          </w:p>
        </w:tc>
      </w:tr>
      <w:bookmarkEnd w:id="3"/>
    </w:tbl>
    <w:p w14:paraId="0AB7CF52" w14:textId="77777777" w:rsidR="001929F3" w:rsidRDefault="001929F3" w:rsidP="00444BF6">
      <w:pPr>
        <w:jc w:val="both"/>
        <w:rPr>
          <w:rFonts w:ascii="Times New Roman" w:hAnsi="Times New Roman"/>
          <w:b/>
          <w:sz w:val="24"/>
          <w:szCs w:val="24"/>
          <w:lang w:val="nl-NL"/>
        </w:rPr>
      </w:pPr>
    </w:p>
    <w:p w14:paraId="067EF5D3" w14:textId="08AEDA76" w:rsidR="00202172" w:rsidRPr="00E93BC5" w:rsidRDefault="00202172" w:rsidP="00444BF6">
      <w:pPr>
        <w:jc w:val="both"/>
        <w:rPr>
          <w:rFonts w:ascii="Times New Roman" w:hAnsi="Times New Roman"/>
          <w:b/>
          <w:sz w:val="24"/>
          <w:szCs w:val="24"/>
          <w:lang w:val="nl-NL"/>
        </w:rPr>
      </w:pPr>
      <w:r w:rsidRPr="00E93BC5">
        <w:rPr>
          <w:rFonts w:ascii="Times New Roman" w:hAnsi="Times New Roman"/>
          <w:b/>
          <w:sz w:val="24"/>
          <w:szCs w:val="24"/>
          <w:lang w:val="nl-NL"/>
        </w:rPr>
        <w:t>Nhân sự điều hành Quỹ gồm có:</w:t>
      </w:r>
    </w:p>
    <w:tbl>
      <w:tblPr>
        <w:tblW w:w="10237" w:type="dxa"/>
        <w:tblInd w:w="108" w:type="dxa"/>
        <w:tblLook w:val="04A0" w:firstRow="1" w:lastRow="0" w:firstColumn="1" w:lastColumn="0" w:noHBand="0" w:noVBand="1"/>
      </w:tblPr>
      <w:tblGrid>
        <w:gridCol w:w="1507"/>
        <w:gridCol w:w="1260"/>
        <w:gridCol w:w="1170"/>
        <w:gridCol w:w="6300"/>
      </w:tblGrid>
      <w:tr w:rsidR="00202172" w:rsidRPr="00E93BC5" w14:paraId="044BB571" w14:textId="77777777" w:rsidTr="001929F3">
        <w:trPr>
          <w:trHeight w:val="524"/>
        </w:trPr>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9621D" w14:textId="77777777" w:rsidR="00202172" w:rsidRPr="00E93BC5" w:rsidRDefault="00202172" w:rsidP="00444BF6">
            <w:pPr>
              <w:jc w:val="center"/>
              <w:rPr>
                <w:rFonts w:ascii="Times New Roman" w:hAnsi="Times New Roman"/>
                <w:b/>
                <w:sz w:val="24"/>
                <w:szCs w:val="24"/>
                <w:lang w:val="nl-NL"/>
              </w:rPr>
            </w:pPr>
            <w:bookmarkStart w:id="4" w:name="_Hlk14191481"/>
            <w:r w:rsidRPr="00E93BC5">
              <w:rPr>
                <w:rFonts w:ascii="Times New Roman" w:hAnsi="Times New Roman"/>
                <w:b/>
                <w:sz w:val="24"/>
                <w:szCs w:val="24"/>
                <w:lang w:val="nl-NL"/>
              </w:rPr>
              <w:t>Họ và tên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025D0CC"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Chức vụ</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5C7E8EB"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Bằng cấp</w:t>
            </w:r>
          </w:p>
        </w:tc>
        <w:tc>
          <w:tcPr>
            <w:tcW w:w="6300" w:type="dxa"/>
            <w:tcBorders>
              <w:top w:val="single" w:sz="4" w:space="0" w:color="auto"/>
              <w:left w:val="nil"/>
              <w:bottom w:val="single" w:sz="4" w:space="0" w:color="auto"/>
              <w:right w:val="single" w:sz="4" w:space="0" w:color="auto"/>
            </w:tcBorders>
            <w:shd w:val="clear" w:color="auto" w:fill="auto"/>
            <w:noWrap/>
            <w:vAlign w:val="center"/>
            <w:hideMark/>
          </w:tcPr>
          <w:p w14:paraId="513F4BCC" w14:textId="77777777" w:rsidR="00202172" w:rsidRPr="00E93BC5" w:rsidRDefault="00202172" w:rsidP="00444BF6">
            <w:pPr>
              <w:jc w:val="center"/>
              <w:rPr>
                <w:rFonts w:ascii="Times New Roman" w:hAnsi="Times New Roman"/>
                <w:b/>
                <w:sz w:val="24"/>
                <w:szCs w:val="24"/>
                <w:lang w:val="nl-NL"/>
              </w:rPr>
            </w:pPr>
            <w:r w:rsidRPr="00E93BC5">
              <w:rPr>
                <w:rFonts w:ascii="Times New Roman" w:hAnsi="Times New Roman"/>
                <w:b/>
                <w:sz w:val="24"/>
                <w:szCs w:val="24"/>
                <w:lang w:val="nl-NL"/>
              </w:rPr>
              <w:t>Quá trình công tác</w:t>
            </w:r>
          </w:p>
        </w:tc>
      </w:tr>
      <w:tr w:rsidR="00202172" w:rsidRPr="00E70B8F" w14:paraId="55B43F99" w14:textId="77777777" w:rsidTr="001929F3">
        <w:trPr>
          <w:trHeight w:val="800"/>
        </w:trPr>
        <w:tc>
          <w:tcPr>
            <w:tcW w:w="1507" w:type="dxa"/>
            <w:tcBorders>
              <w:top w:val="nil"/>
              <w:left w:val="single" w:sz="4" w:space="0" w:color="auto"/>
              <w:bottom w:val="single" w:sz="4" w:space="0" w:color="auto"/>
              <w:right w:val="single" w:sz="4" w:space="0" w:color="auto"/>
            </w:tcBorders>
            <w:shd w:val="clear" w:color="auto" w:fill="auto"/>
            <w:noWrap/>
            <w:vAlign w:val="center"/>
            <w:hideMark/>
          </w:tcPr>
          <w:p w14:paraId="677C6BD7" w14:textId="77777777" w:rsidR="00202172" w:rsidRPr="00E93BC5" w:rsidRDefault="00FE2E33" w:rsidP="00444BF6">
            <w:pPr>
              <w:jc w:val="center"/>
              <w:rPr>
                <w:rFonts w:ascii="Times New Roman" w:hAnsi="Times New Roman"/>
                <w:sz w:val="24"/>
                <w:szCs w:val="24"/>
                <w:lang w:val="nl-NL"/>
              </w:rPr>
            </w:pPr>
            <w:r w:rsidRPr="00E93BC5">
              <w:rPr>
                <w:rFonts w:ascii="Times New Roman" w:hAnsi="Times New Roman"/>
                <w:sz w:val="24"/>
                <w:szCs w:val="24"/>
                <w:lang w:val="nl-NL"/>
              </w:rPr>
              <w:t>Nguyễn Thị Bích Ngọc</w:t>
            </w:r>
          </w:p>
        </w:tc>
        <w:tc>
          <w:tcPr>
            <w:tcW w:w="1260" w:type="dxa"/>
            <w:tcBorders>
              <w:top w:val="nil"/>
              <w:left w:val="nil"/>
              <w:bottom w:val="single" w:sz="4" w:space="0" w:color="auto"/>
              <w:right w:val="single" w:sz="4" w:space="0" w:color="auto"/>
            </w:tcBorders>
            <w:shd w:val="clear" w:color="auto" w:fill="auto"/>
            <w:noWrap/>
            <w:vAlign w:val="center"/>
            <w:hideMark/>
          </w:tcPr>
          <w:p w14:paraId="2B42155C"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Thành viên</w:t>
            </w:r>
          </w:p>
        </w:tc>
        <w:tc>
          <w:tcPr>
            <w:tcW w:w="1170" w:type="dxa"/>
            <w:tcBorders>
              <w:top w:val="nil"/>
              <w:left w:val="nil"/>
              <w:bottom w:val="single" w:sz="4" w:space="0" w:color="auto"/>
              <w:right w:val="single" w:sz="4" w:space="0" w:color="auto"/>
            </w:tcBorders>
            <w:shd w:val="clear" w:color="auto" w:fill="auto"/>
            <w:noWrap/>
            <w:vAlign w:val="center"/>
            <w:hideMark/>
          </w:tcPr>
          <w:p w14:paraId="213A46BC" w14:textId="77777777" w:rsidR="00202172" w:rsidRPr="00E93BC5" w:rsidRDefault="00FE2E33" w:rsidP="00444BF6">
            <w:pPr>
              <w:jc w:val="center"/>
              <w:rPr>
                <w:rFonts w:ascii="Times New Roman" w:hAnsi="Times New Roman"/>
                <w:sz w:val="24"/>
                <w:szCs w:val="24"/>
                <w:lang w:val="nl-NL"/>
              </w:rPr>
            </w:pPr>
            <w:r w:rsidRPr="00E93BC5">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shd w:val="clear" w:color="auto" w:fill="auto"/>
            <w:vAlign w:val="bottom"/>
            <w:hideMark/>
          </w:tcPr>
          <w:p w14:paraId="53B86BBE" w14:textId="77777777" w:rsidR="00EF077C" w:rsidRPr="00E93BC5" w:rsidRDefault="00202172" w:rsidP="009C0EF7">
            <w:pPr>
              <w:spacing w:after="0"/>
              <w:rPr>
                <w:rFonts w:ascii="Times New Roman" w:hAnsi="Times New Roman"/>
                <w:sz w:val="24"/>
                <w:szCs w:val="24"/>
                <w:lang w:val="nl-NL"/>
              </w:rPr>
            </w:pPr>
            <w:r w:rsidRPr="00E93BC5">
              <w:rPr>
                <w:rFonts w:ascii="Times New Roman" w:hAnsi="Times New Roman"/>
                <w:sz w:val="24"/>
                <w:szCs w:val="24"/>
                <w:lang w:val="nl-NL"/>
              </w:rPr>
              <w:t>Từ 20</w:t>
            </w:r>
            <w:r w:rsidR="00D51B72" w:rsidRPr="00E93BC5">
              <w:rPr>
                <w:rFonts w:ascii="Times New Roman" w:hAnsi="Times New Roman"/>
                <w:sz w:val="24"/>
                <w:szCs w:val="24"/>
                <w:lang w:val="nl-NL"/>
              </w:rPr>
              <w:t>03</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w:t>
            </w:r>
            <w:r w:rsidR="00D51B72" w:rsidRPr="00E93BC5">
              <w:rPr>
                <w:rFonts w:ascii="Times New Roman" w:hAnsi="Times New Roman"/>
                <w:sz w:val="24"/>
                <w:szCs w:val="24"/>
                <w:lang w:val="nl-NL"/>
              </w:rPr>
              <w:t>06</w:t>
            </w:r>
            <w:r w:rsidRPr="00E93BC5">
              <w:rPr>
                <w:rFonts w:ascii="Times New Roman" w:hAnsi="Times New Roman"/>
                <w:sz w:val="24"/>
                <w:szCs w:val="24"/>
                <w:lang w:val="nl-NL"/>
              </w:rPr>
              <w:t xml:space="preserve">: </w:t>
            </w:r>
            <w:r w:rsidR="00D51B72" w:rsidRPr="00E93BC5">
              <w:rPr>
                <w:rFonts w:ascii="Times New Roman" w:hAnsi="Times New Roman"/>
                <w:sz w:val="24"/>
                <w:szCs w:val="24"/>
                <w:lang w:val="nl-NL"/>
              </w:rPr>
              <w:t>Nhân viên giao dịch – Cty Cổ phần Chứng Khoán Mê K</w:t>
            </w:r>
            <w:r w:rsidR="00142DBD" w:rsidRPr="00E93BC5">
              <w:rPr>
                <w:rFonts w:ascii="Times New Roman" w:hAnsi="Times New Roman"/>
                <w:sz w:val="24"/>
                <w:szCs w:val="24"/>
                <w:lang w:val="nl-NL"/>
              </w:rPr>
              <w:t>ô</w:t>
            </w:r>
            <w:r w:rsidR="00D51B72" w:rsidRPr="00E93BC5">
              <w:rPr>
                <w:rFonts w:ascii="Times New Roman" w:hAnsi="Times New Roman"/>
                <w:sz w:val="24"/>
                <w:szCs w:val="24"/>
                <w:lang w:val="nl-NL"/>
              </w:rPr>
              <w:t>ng</w:t>
            </w:r>
            <w:r w:rsidR="00142DBD" w:rsidRPr="00E93BC5">
              <w:rPr>
                <w:rFonts w:ascii="Times New Roman" w:hAnsi="Times New Roman"/>
                <w:sz w:val="24"/>
                <w:szCs w:val="24"/>
                <w:lang w:val="nl-NL"/>
              </w:rPr>
              <w:t>.</w:t>
            </w:r>
            <w:r w:rsidRPr="00E93BC5">
              <w:rPr>
                <w:rFonts w:ascii="Times New Roman" w:hAnsi="Times New Roman"/>
                <w:sz w:val="24"/>
                <w:szCs w:val="24"/>
                <w:lang w:val="nl-NL"/>
              </w:rPr>
              <w:br/>
              <w:t>Từ 20</w:t>
            </w:r>
            <w:r w:rsidR="00D51B72" w:rsidRPr="00E93BC5">
              <w:rPr>
                <w:rFonts w:ascii="Times New Roman" w:hAnsi="Times New Roman"/>
                <w:sz w:val="24"/>
                <w:szCs w:val="24"/>
                <w:lang w:val="nl-NL"/>
              </w:rPr>
              <w:t>07</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w:t>
            </w:r>
            <w:r w:rsidR="00D51B72" w:rsidRPr="00E93BC5">
              <w:rPr>
                <w:rFonts w:ascii="Times New Roman" w:hAnsi="Times New Roman"/>
                <w:sz w:val="24"/>
                <w:szCs w:val="24"/>
                <w:lang w:val="nl-NL"/>
              </w:rPr>
              <w:t>11</w:t>
            </w:r>
            <w:r w:rsidRPr="00E93BC5">
              <w:rPr>
                <w:rFonts w:ascii="Times New Roman" w:hAnsi="Times New Roman"/>
                <w:sz w:val="24"/>
                <w:szCs w:val="24"/>
                <w:lang w:val="nl-NL"/>
              </w:rPr>
              <w:t xml:space="preserve">: </w:t>
            </w:r>
            <w:r w:rsidR="00D51B72" w:rsidRPr="00E93BC5">
              <w:rPr>
                <w:rFonts w:ascii="Times New Roman" w:hAnsi="Times New Roman"/>
                <w:sz w:val="24"/>
                <w:szCs w:val="24"/>
                <w:lang w:val="nl-NL"/>
              </w:rPr>
              <w:t>Trưởng phòng DVKH – Công ty CP Chứng khoán Quốc tế Việt Nam</w:t>
            </w:r>
            <w:r w:rsidR="00142DBD" w:rsidRPr="00E93BC5">
              <w:rPr>
                <w:rFonts w:ascii="Times New Roman" w:hAnsi="Times New Roman"/>
                <w:sz w:val="24"/>
                <w:szCs w:val="24"/>
                <w:lang w:val="nl-NL"/>
              </w:rPr>
              <w:t>.</w:t>
            </w:r>
            <w:r w:rsidRPr="00E93BC5">
              <w:rPr>
                <w:rFonts w:ascii="Times New Roman" w:hAnsi="Times New Roman"/>
                <w:sz w:val="24"/>
                <w:szCs w:val="24"/>
                <w:lang w:val="nl-NL"/>
              </w:rPr>
              <w:br/>
              <w:t>Từ 201</w:t>
            </w:r>
            <w:r w:rsidR="00142DBD" w:rsidRPr="00E93BC5">
              <w:rPr>
                <w:rFonts w:ascii="Times New Roman" w:hAnsi="Times New Roman"/>
                <w:sz w:val="24"/>
                <w:szCs w:val="24"/>
                <w:lang w:val="nl-NL"/>
              </w:rPr>
              <w:t>1</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201</w:t>
            </w:r>
            <w:r w:rsidR="00142DBD" w:rsidRPr="00E93BC5">
              <w:rPr>
                <w:rFonts w:ascii="Times New Roman" w:hAnsi="Times New Roman"/>
                <w:sz w:val="24"/>
                <w:szCs w:val="24"/>
                <w:lang w:val="nl-NL"/>
              </w:rPr>
              <w:t>2</w:t>
            </w:r>
            <w:r w:rsidRPr="00E93BC5">
              <w:rPr>
                <w:rFonts w:ascii="Times New Roman" w:hAnsi="Times New Roman"/>
                <w:sz w:val="24"/>
                <w:szCs w:val="24"/>
                <w:lang w:val="nl-NL"/>
              </w:rPr>
              <w:t xml:space="preserve">: </w:t>
            </w:r>
            <w:r w:rsidR="00142DBD" w:rsidRPr="00E93BC5">
              <w:rPr>
                <w:rFonts w:ascii="Times New Roman" w:hAnsi="Times New Roman"/>
                <w:sz w:val="24"/>
                <w:szCs w:val="24"/>
                <w:lang w:val="nl-NL"/>
              </w:rPr>
              <w:t>Trưởng phòng Môi giới – Cty CP Chứng khoán Golden Bridge.</w:t>
            </w:r>
            <w:r w:rsidRPr="00E93BC5">
              <w:rPr>
                <w:rFonts w:ascii="Times New Roman" w:hAnsi="Times New Roman"/>
                <w:sz w:val="24"/>
                <w:szCs w:val="24"/>
                <w:lang w:val="nl-NL"/>
              </w:rPr>
              <w:br/>
              <w:t>Từ 2013</w:t>
            </w:r>
            <w:r w:rsidR="006334E3" w:rsidRPr="00E93BC5">
              <w:rPr>
                <w:rFonts w:ascii="Times New Roman" w:hAnsi="Times New Roman"/>
                <w:sz w:val="24"/>
                <w:szCs w:val="24"/>
                <w:lang w:val="nl-NL"/>
              </w:rPr>
              <w:t xml:space="preserve"> </w:t>
            </w:r>
            <w:r w:rsidRPr="00E93BC5">
              <w:rPr>
                <w:rFonts w:ascii="Times New Roman" w:hAnsi="Times New Roman"/>
                <w:sz w:val="24"/>
                <w:szCs w:val="24"/>
                <w:lang w:val="nl-NL"/>
              </w:rPr>
              <w:t>-</w:t>
            </w:r>
            <w:r w:rsidR="006334E3" w:rsidRPr="00E93BC5">
              <w:rPr>
                <w:rFonts w:ascii="Times New Roman" w:hAnsi="Times New Roman"/>
                <w:sz w:val="24"/>
                <w:szCs w:val="24"/>
                <w:lang w:val="nl-NL"/>
              </w:rPr>
              <w:t xml:space="preserve"> </w:t>
            </w:r>
            <w:r w:rsidR="00142DBD" w:rsidRPr="00E93BC5">
              <w:rPr>
                <w:rFonts w:ascii="Times New Roman" w:hAnsi="Times New Roman"/>
                <w:sz w:val="24"/>
                <w:szCs w:val="24"/>
                <w:lang w:val="nl-NL"/>
              </w:rPr>
              <w:t>2015</w:t>
            </w:r>
            <w:r w:rsidRPr="00E93BC5">
              <w:rPr>
                <w:rFonts w:ascii="Times New Roman" w:hAnsi="Times New Roman"/>
                <w:sz w:val="24"/>
                <w:szCs w:val="24"/>
                <w:lang w:val="nl-NL"/>
              </w:rPr>
              <w:t xml:space="preserve">: </w:t>
            </w:r>
            <w:r w:rsidR="00142DBD" w:rsidRPr="00E93BC5">
              <w:rPr>
                <w:rFonts w:ascii="Times New Roman" w:hAnsi="Times New Roman"/>
                <w:sz w:val="24"/>
                <w:szCs w:val="24"/>
                <w:lang w:val="nl-NL"/>
              </w:rPr>
              <w:t>Phụ trách phòng Phát triển khách hàng – Công ty CP Chứng khoán MB.</w:t>
            </w:r>
          </w:p>
          <w:p w14:paraId="650A42DF" w14:textId="001D1499" w:rsidR="00142DBD" w:rsidRPr="00E93BC5" w:rsidRDefault="00142DBD" w:rsidP="009C0EF7">
            <w:pPr>
              <w:spacing w:after="0"/>
              <w:rPr>
                <w:rFonts w:ascii="Times New Roman" w:hAnsi="Times New Roman"/>
                <w:sz w:val="24"/>
                <w:szCs w:val="24"/>
                <w:lang w:val="nl-NL"/>
              </w:rPr>
            </w:pPr>
            <w:r w:rsidRPr="00E93BC5">
              <w:rPr>
                <w:rFonts w:ascii="Times New Roman" w:hAnsi="Times New Roman"/>
                <w:sz w:val="24"/>
                <w:szCs w:val="24"/>
                <w:lang w:val="nl-NL"/>
              </w:rPr>
              <w:t>Từ 201</w:t>
            </w:r>
            <w:r w:rsidR="00EF077C" w:rsidRPr="00E93BC5">
              <w:rPr>
                <w:rFonts w:ascii="Times New Roman" w:hAnsi="Times New Roman"/>
                <w:sz w:val="24"/>
                <w:szCs w:val="24"/>
                <w:lang w:val="nl-NL"/>
              </w:rPr>
              <w:t>5</w:t>
            </w:r>
            <w:r w:rsidRPr="00E93BC5">
              <w:rPr>
                <w:rFonts w:ascii="Times New Roman" w:hAnsi="Times New Roman"/>
                <w:sz w:val="24"/>
                <w:szCs w:val="24"/>
                <w:lang w:val="nl-NL"/>
              </w:rPr>
              <w:t xml:space="preserve"> – </w:t>
            </w:r>
            <w:r w:rsidR="00D0386E" w:rsidRPr="00E93BC5">
              <w:rPr>
                <w:rFonts w:ascii="Times New Roman" w:hAnsi="Times New Roman"/>
                <w:sz w:val="24"/>
                <w:szCs w:val="24"/>
                <w:lang w:val="nl-NL"/>
              </w:rPr>
              <w:t>nay</w:t>
            </w:r>
            <w:r w:rsidRPr="00E93BC5">
              <w:rPr>
                <w:rFonts w:ascii="Times New Roman" w:hAnsi="Times New Roman"/>
                <w:sz w:val="24"/>
                <w:szCs w:val="24"/>
                <w:lang w:val="nl-NL"/>
              </w:rPr>
              <w:t xml:space="preserve">: </w:t>
            </w:r>
            <w:r w:rsidR="00F54FAC">
              <w:rPr>
                <w:rFonts w:ascii="Times New Roman" w:hAnsi="Times New Roman"/>
                <w:sz w:val="24"/>
                <w:szCs w:val="24"/>
                <w:lang w:val="nl-NL"/>
              </w:rPr>
              <w:t>Trưởng</w:t>
            </w:r>
            <w:r w:rsidRPr="00E93BC5">
              <w:rPr>
                <w:rFonts w:ascii="Times New Roman" w:hAnsi="Times New Roman"/>
                <w:sz w:val="24"/>
                <w:szCs w:val="24"/>
                <w:lang w:val="nl-NL"/>
              </w:rPr>
              <w:t xml:space="preserve"> phòng Công ty TNHH MTV Quản </w:t>
            </w:r>
            <w:r w:rsidR="00D0386E" w:rsidRPr="00E93BC5">
              <w:rPr>
                <w:rFonts w:ascii="Times New Roman" w:hAnsi="Times New Roman"/>
                <w:sz w:val="24"/>
                <w:szCs w:val="24"/>
                <w:lang w:val="nl-NL"/>
              </w:rPr>
              <w:t xml:space="preserve">lý </w:t>
            </w:r>
            <w:r w:rsidRPr="00E93BC5">
              <w:rPr>
                <w:rFonts w:ascii="Times New Roman" w:hAnsi="Times New Roman"/>
                <w:sz w:val="24"/>
                <w:szCs w:val="24"/>
                <w:lang w:val="nl-NL"/>
              </w:rPr>
              <w:t>Quỹ Chubb Life.</w:t>
            </w:r>
          </w:p>
        </w:tc>
      </w:tr>
      <w:tr w:rsidR="00202172" w:rsidRPr="00E70B8F" w14:paraId="67D343EE" w14:textId="77777777" w:rsidTr="001929F3">
        <w:trPr>
          <w:trHeight w:val="1907"/>
        </w:trPr>
        <w:tc>
          <w:tcPr>
            <w:tcW w:w="1507" w:type="dxa"/>
            <w:tcBorders>
              <w:top w:val="nil"/>
              <w:left w:val="single" w:sz="4" w:space="0" w:color="auto"/>
              <w:bottom w:val="single" w:sz="4" w:space="0" w:color="auto"/>
              <w:right w:val="single" w:sz="4" w:space="0" w:color="auto"/>
            </w:tcBorders>
            <w:shd w:val="clear" w:color="auto" w:fill="auto"/>
            <w:noWrap/>
            <w:vAlign w:val="center"/>
            <w:hideMark/>
          </w:tcPr>
          <w:p w14:paraId="7EF8C192"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 xml:space="preserve">Đinh Thị Hồng </w:t>
            </w:r>
            <w:r w:rsidR="000A231C" w:rsidRPr="00E93BC5">
              <w:rPr>
                <w:rFonts w:ascii="Times New Roman" w:hAnsi="Times New Roman"/>
                <w:sz w:val="24"/>
                <w:szCs w:val="24"/>
                <w:lang w:val="nl-NL"/>
              </w:rPr>
              <w:t>Vân</w:t>
            </w:r>
          </w:p>
        </w:tc>
        <w:tc>
          <w:tcPr>
            <w:tcW w:w="1260" w:type="dxa"/>
            <w:tcBorders>
              <w:top w:val="nil"/>
              <w:left w:val="nil"/>
              <w:bottom w:val="single" w:sz="4" w:space="0" w:color="auto"/>
              <w:right w:val="single" w:sz="4" w:space="0" w:color="auto"/>
            </w:tcBorders>
            <w:shd w:val="clear" w:color="auto" w:fill="auto"/>
            <w:noWrap/>
            <w:vAlign w:val="center"/>
            <w:hideMark/>
          </w:tcPr>
          <w:p w14:paraId="2826FAF2" w14:textId="77777777" w:rsidR="00202172" w:rsidRPr="00E93BC5" w:rsidRDefault="00202172" w:rsidP="00444BF6">
            <w:pPr>
              <w:jc w:val="center"/>
              <w:rPr>
                <w:rFonts w:ascii="Times New Roman" w:hAnsi="Times New Roman"/>
                <w:sz w:val="24"/>
                <w:szCs w:val="24"/>
                <w:lang w:val="nl-NL"/>
              </w:rPr>
            </w:pPr>
            <w:r w:rsidRPr="00E93BC5">
              <w:rPr>
                <w:rFonts w:ascii="Times New Roman" w:hAnsi="Times New Roman"/>
                <w:sz w:val="24"/>
                <w:szCs w:val="24"/>
                <w:lang w:val="nl-NL"/>
              </w:rPr>
              <w:t>Thành viên</w:t>
            </w:r>
          </w:p>
        </w:tc>
        <w:tc>
          <w:tcPr>
            <w:tcW w:w="1170" w:type="dxa"/>
            <w:tcBorders>
              <w:top w:val="nil"/>
              <w:left w:val="nil"/>
              <w:bottom w:val="single" w:sz="4" w:space="0" w:color="auto"/>
              <w:right w:val="single" w:sz="4" w:space="0" w:color="auto"/>
            </w:tcBorders>
            <w:shd w:val="clear" w:color="auto" w:fill="auto"/>
            <w:noWrap/>
            <w:vAlign w:val="center"/>
            <w:hideMark/>
          </w:tcPr>
          <w:p w14:paraId="7A75E7F5" w14:textId="77777777" w:rsidR="00202172" w:rsidRPr="00E93BC5" w:rsidRDefault="000A231C" w:rsidP="00444BF6">
            <w:pPr>
              <w:jc w:val="center"/>
              <w:rPr>
                <w:rFonts w:ascii="Times New Roman" w:hAnsi="Times New Roman"/>
                <w:sz w:val="24"/>
                <w:szCs w:val="24"/>
                <w:lang w:val="nl-NL"/>
              </w:rPr>
            </w:pPr>
            <w:r w:rsidRPr="00E93BC5">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shd w:val="clear" w:color="auto" w:fill="auto"/>
            <w:vAlign w:val="bottom"/>
            <w:hideMark/>
          </w:tcPr>
          <w:p w14:paraId="67F73A49" w14:textId="77777777" w:rsidR="00FC5AAA" w:rsidRPr="00E93BC5" w:rsidRDefault="00D032C7" w:rsidP="00FC5AAA">
            <w:pPr>
              <w:spacing w:after="0"/>
              <w:rPr>
                <w:rFonts w:ascii="Times New Roman" w:hAnsi="Times New Roman"/>
                <w:sz w:val="24"/>
                <w:szCs w:val="24"/>
                <w:lang w:val="nl-NL"/>
              </w:rPr>
            </w:pPr>
            <w:r w:rsidRPr="00E93BC5">
              <w:rPr>
                <w:rFonts w:ascii="Times New Roman" w:hAnsi="Times New Roman"/>
                <w:sz w:val="24"/>
                <w:szCs w:val="24"/>
                <w:lang w:val="nl-NL"/>
              </w:rPr>
              <w:t>Từ 09/2011-12/2011: Nhân viên phân tích tài chính – Công ty CP Đầu tư Long Quân.</w:t>
            </w:r>
            <w:r w:rsidRPr="00E93BC5">
              <w:rPr>
                <w:rFonts w:ascii="Times New Roman" w:hAnsi="Times New Roman"/>
                <w:sz w:val="24"/>
                <w:szCs w:val="24"/>
                <w:lang w:val="nl-NL"/>
              </w:rPr>
              <w:br/>
              <w:t>Từ 01/2012-01/2020: Nhân viên phân tích đầu tư - Công ty CP Quản lý quỹ Đầu tư chứng khoán Việt Long.</w:t>
            </w:r>
            <w:r w:rsidRPr="00E93BC5">
              <w:rPr>
                <w:rFonts w:ascii="Times New Roman" w:hAnsi="Times New Roman"/>
                <w:sz w:val="24"/>
                <w:szCs w:val="24"/>
                <w:lang w:val="nl-NL"/>
              </w:rPr>
              <w:br/>
              <w:t xml:space="preserve">Từ 02/2020 – 09/2020: Phó Giám đốc Tài chính – Kế hoạch Tổng Công ty Bến Thành TNHH MTV </w:t>
            </w:r>
          </w:p>
          <w:p w14:paraId="18509E3D" w14:textId="24D9CF33" w:rsidR="00202172" w:rsidRPr="00E93BC5" w:rsidRDefault="00D032C7" w:rsidP="00FC5AAA">
            <w:pPr>
              <w:spacing w:after="0"/>
              <w:rPr>
                <w:rFonts w:ascii="Times New Roman" w:hAnsi="Times New Roman"/>
                <w:sz w:val="24"/>
                <w:szCs w:val="24"/>
                <w:lang w:val="nl-NL"/>
              </w:rPr>
            </w:pPr>
            <w:r w:rsidRPr="00E93BC5">
              <w:rPr>
                <w:rFonts w:ascii="Times New Roman" w:hAnsi="Times New Roman"/>
                <w:sz w:val="24"/>
                <w:szCs w:val="24"/>
                <w:lang w:val="nl-NL"/>
              </w:rPr>
              <w:t>Từ 09/2020 đến nay: Giám sát</w:t>
            </w:r>
            <w:r w:rsidR="0026726B">
              <w:rPr>
                <w:rFonts w:ascii="Times New Roman" w:hAnsi="Times New Roman"/>
                <w:sz w:val="24"/>
                <w:szCs w:val="24"/>
                <w:lang w:val="nl-NL"/>
              </w:rPr>
              <w:t xml:space="preserve"> cấp </w:t>
            </w:r>
            <w:r w:rsidR="00F54FAC">
              <w:rPr>
                <w:rFonts w:ascii="Times New Roman" w:hAnsi="Times New Roman"/>
                <w:sz w:val="24"/>
                <w:szCs w:val="24"/>
                <w:lang w:val="nl-NL"/>
              </w:rPr>
              <w:t>cao</w:t>
            </w:r>
            <w:r w:rsidRPr="00E93BC5">
              <w:rPr>
                <w:rFonts w:ascii="Times New Roman" w:hAnsi="Times New Roman"/>
                <w:sz w:val="24"/>
                <w:szCs w:val="24"/>
                <w:lang w:val="nl-NL"/>
              </w:rPr>
              <w:t xml:space="preserve"> - Công ty TNHH MTV Quản lý Quỹ Chubb Life.</w:t>
            </w:r>
          </w:p>
        </w:tc>
      </w:tr>
      <w:bookmarkEnd w:id="4"/>
    </w:tbl>
    <w:tbl>
      <w:tblPr>
        <w:tblStyle w:val="TableGrid"/>
        <w:tblW w:w="0" w:type="auto"/>
        <w:tblLook w:val="04A0" w:firstRow="1" w:lastRow="0" w:firstColumn="1" w:lastColumn="0" w:noHBand="0" w:noVBand="1"/>
      </w:tblPr>
      <w:tblGrid>
        <w:gridCol w:w="4943"/>
        <w:gridCol w:w="4957"/>
      </w:tblGrid>
      <w:tr w:rsidR="00150086" w:rsidRPr="00E70B8F" w14:paraId="3BDA13B7" w14:textId="77777777" w:rsidTr="00E15901">
        <w:trPr>
          <w:trHeight w:val="1700"/>
        </w:trPr>
        <w:tc>
          <w:tcPr>
            <w:tcW w:w="5027" w:type="dxa"/>
            <w:tcBorders>
              <w:top w:val="nil"/>
              <w:left w:val="nil"/>
              <w:bottom w:val="nil"/>
              <w:right w:val="nil"/>
            </w:tcBorders>
          </w:tcPr>
          <w:p w14:paraId="2EE1DD06" w14:textId="77777777" w:rsidR="00150086" w:rsidRPr="00E93BC5" w:rsidRDefault="00150086" w:rsidP="00B3750F">
            <w:pPr>
              <w:jc w:val="both"/>
              <w:rPr>
                <w:rFonts w:ascii="Times New Roman" w:hAnsi="Times New Roman"/>
                <w:sz w:val="24"/>
                <w:szCs w:val="24"/>
                <w:lang w:val="nl-NL"/>
              </w:rPr>
            </w:pPr>
          </w:p>
        </w:tc>
        <w:tc>
          <w:tcPr>
            <w:tcW w:w="5027" w:type="dxa"/>
            <w:tcBorders>
              <w:top w:val="nil"/>
              <w:left w:val="nil"/>
              <w:bottom w:val="nil"/>
              <w:right w:val="nil"/>
            </w:tcBorders>
          </w:tcPr>
          <w:p w14:paraId="29E907AC" w14:textId="77777777" w:rsidR="000C3D77" w:rsidRPr="00E93BC5" w:rsidRDefault="000C3D77" w:rsidP="00E15901">
            <w:pPr>
              <w:jc w:val="center"/>
              <w:rPr>
                <w:rFonts w:ascii="Times New Roman" w:hAnsi="Times New Roman"/>
                <w:b/>
                <w:sz w:val="24"/>
                <w:szCs w:val="24"/>
                <w:lang w:val="nl-NL"/>
              </w:rPr>
            </w:pPr>
          </w:p>
          <w:p w14:paraId="6BD818D0" w14:textId="77777777" w:rsidR="00150086" w:rsidRPr="00E93BC5" w:rsidRDefault="00E15901" w:rsidP="00E15901">
            <w:pPr>
              <w:jc w:val="center"/>
              <w:rPr>
                <w:rFonts w:ascii="Times New Roman" w:hAnsi="Times New Roman"/>
                <w:b/>
                <w:sz w:val="24"/>
                <w:szCs w:val="24"/>
                <w:lang w:val="nl-NL"/>
              </w:rPr>
            </w:pPr>
            <w:r w:rsidRPr="00E93BC5">
              <w:rPr>
                <w:rFonts w:ascii="Times New Roman" w:hAnsi="Times New Roman"/>
                <w:b/>
                <w:sz w:val="24"/>
                <w:szCs w:val="24"/>
                <w:lang w:val="nl-NL"/>
              </w:rPr>
              <w:t>ĐẠI DIỆN CÔNG TY QLQ CHUBB LIFE</w:t>
            </w:r>
          </w:p>
          <w:p w14:paraId="5C3CE0C4" w14:textId="16BB5CA8" w:rsidR="00E15901" w:rsidRPr="00E93BC5" w:rsidRDefault="000F44DE" w:rsidP="00E15901">
            <w:pPr>
              <w:jc w:val="center"/>
              <w:rPr>
                <w:rFonts w:ascii="Times New Roman" w:hAnsi="Times New Roman"/>
                <w:b/>
                <w:sz w:val="24"/>
                <w:szCs w:val="24"/>
                <w:lang w:val="nl-NL"/>
              </w:rPr>
            </w:pPr>
            <w:r w:rsidRPr="00E93BC5">
              <w:rPr>
                <w:rFonts w:ascii="Times New Roman" w:hAnsi="Times New Roman"/>
                <w:b/>
                <w:sz w:val="24"/>
                <w:szCs w:val="24"/>
                <w:lang w:val="nl-NL"/>
              </w:rPr>
              <w:t>Chủ tịch Công ty</w:t>
            </w:r>
          </w:p>
          <w:p w14:paraId="2687AD20" w14:textId="77777777" w:rsidR="006377D3" w:rsidRPr="00E93BC5" w:rsidRDefault="006377D3" w:rsidP="007A0A23">
            <w:pPr>
              <w:rPr>
                <w:rFonts w:ascii="Times New Roman" w:hAnsi="Times New Roman"/>
                <w:b/>
                <w:sz w:val="24"/>
                <w:szCs w:val="24"/>
                <w:lang w:val="nl-NL"/>
              </w:rPr>
            </w:pPr>
          </w:p>
          <w:p w14:paraId="3E096A02" w14:textId="77777777" w:rsidR="002B3684" w:rsidRPr="00E93BC5" w:rsidRDefault="002B3684" w:rsidP="007A0A23">
            <w:pPr>
              <w:rPr>
                <w:rFonts w:ascii="Times New Roman" w:hAnsi="Times New Roman"/>
                <w:b/>
                <w:sz w:val="24"/>
                <w:szCs w:val="24"/>
                <w:lang w:val="nl-NL"/>
              </w:rPr>
            </w:pPr>
          </w:p>
          <w:p w14:paraId="0A34B036" w14:textId="77777777" w:rsidR="002B3684" w:rsidRPr="00E93BC5" w:rsidRDefault="002B3684" w:rsidP="007A0A23">
            <w:pPr>
              <w:rPr>
                <w:rFonts w:ascii="Times New Roman" w:hAnsi="Times New Roman"/>
                <w:b/>
                <w:sz w:val="24"/>
                <w:szCs w:val="24"/>
                <w:lang w:val="nl-NL"/>
              </w:rPr>
            </w:pPr>
          </w:p>
          <w:p w14:paraId="2258C729" w14:textId="77777777" w:rsidR="002B3684" w:rsidRPr="00E93BC5" w:rsidRDefault="002B3684" w:rsidP="007A0A23">
            <w:pPr>
              <w:rPr>
                <w:rFonts w:ascii="Times New Roman" w:hAnsi="Times New Roman"/>
                <w:b/>
                <w:sz w:val="24"/>
                <w:szCs w:val="24"/>
                <w:lang w:val="nl-NL"/>
              </w:rPr>
            </w:pPr>
          </w:p>
          <w:p w14:paraId="42DD2492" w14:textId="77777777" w:rsidR="002B3684" w:rsidRPr="00E93BC5" w:rsidRDefault="002B3684" w:rsidP="007A0A23">
            <w:pPr>
              <w:rPr>
                <w:rFonts w:ascii="Times New Roman" w:hAnsi="Times New Roman"/>
                <w:b/>
                <w:sz w:val="24"/>
                <w:szCs w:val="24"/>
                <w:lang w:val="nl-NL"/>
              </w:rPr>
            </w:pPr>
          </w:p>
          <w:p w14:paraId="38D0C31D" w14:textId="0E9DBF37" w:rsidR="00E15901" w:rsidRPr="00E93BC5" w:rsidRDefault="00175E60" w:rsidP="004D11B4">
            <w:pPr>
              <w:jc w:val="center"/>
              <w:rPr>
                <w:rFonts w:ascii="Times New Roman" w:hAnsi="Times New Roman"/>
                <w:sz w:val="24"/>
                <w:szCs w:val="24"/>
                <w:lang w:val="nl-NL"/>
              </w:rPr>
            </w:pPr>
            <w:r>
              <w:rPr>
                <w:rFonts w:ascii="Times New Roman" w:hAnsi="Times New Roman"/>
                <w:b/>
                <w:sz w:val="24"/>
                <w:szCs w:val="24"/>
                <w:lang w:val="nl-NL"/>
              </w:rPr>
              <w:t>Nguyễn Hồng Sơn</w:t>
            </w:r>
          </w:p>
        </w:tc>
      </w:tr>
    </w:tbl>
    <w:p w14:paraId="383327B3" w14:textId="77777777" w:rsidR="005F0B26" w:rsidRPr="00E93BC5" w:rsidRDefault="005F0B26" w:rsidP="00B3750F">
      <w:pPr>
        <w:jc w:val="both"/>
        <w:rPr>
          <w:rFonts w:ascii="Times New Roman" w:hAnsi="Times New Roman"/>
          <w:sz w:val="24"/>
          <w:szCs w:val="24"/>
          <w:lang w:val="nl-NL"/>
        </w:rPr>
      </w:pPr>
    </w:p>
    <w:sectPr w:rsidR="005F0B26" w:rsidRPr="00E93BC5" w:rsidSect="000B1520">
      <w:headerReference w:type="even" r:id="rId11"/>
      <w:headerReference w:type="default" r:id="rId12"/>
      <w:footerReference w:type="even" r:id="rId13"/>
      <w:footerReference w:type="default" r:id="rId14"/>
      <w:headerReference w:type="first" r:id="rId15"/>
      <w:footerReference w:type="first" r:id="rId16"/>
      <w:pgSz w:w="12240" w:h="15840"/>
      <w:pgMar w:top="630" w:right="900" w:bottom="63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6565A" w14:textId="77777777" w:rsidR="005432B5" w:rsidRDefault="005432B5" w:rsidP="00621E6D">
      <w:pPr>
        <w:spacing w:after="0" w:line="240" w:lineRule="auto"/>
      </w:pPr>
      <w:r>
        <w:separator/>
      </w:r>
    </w:p>
  </w:endnote>
  <w:endnote w:type="continuationSeparator" w:id="0">
    <w:p w14:paraId="722ECFBB" w14:textId="77777777" w:rsidR="005432B5" w:rsidRDefault="005432B5" w:rsidP="0062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0A6E" w14:textId="77777777" w:rsidR="00AF0080" w:rsidRDefault="00AF0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753624"/>
      <w:docPartObj>
        <w:docPartGallery w:val="Page Numbers (Bottom of Page)"/>
        <w:docPartUnique/>
      </w:docPartObj>
    </w:sdtPr>
    <w:sdtEndPr>
      <w:rPr>
        <w:noProof/>
      </w:rPr>
    </w:sdtEndPr>
    <w:sdtContent>
      <w:p w14:paraId="0CF239F1" w14:textId="77777777" w:rsidR="00AF0080" w:rsidRDefault="00AF0080">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43A59370" w14:textId="77777777" w:rsidR="00AF0080" w:rsidRDefault="00AF0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199B" w14:textId="77777777" w:rsidR="00AF0080" w:rsidRDefault="00AF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2EF5" w14:textId="77777777" w:rsidR="005432B5" w:rsidRDefault="005432B5" w:rsidP="00621E6D">
      <w:pPr>
        <w:spacing w:after="0" w:line="240" w:lineRule="auto"/>
      </w:pPr>
      <w:r>
        <w:separator/>
      </w:r>
    </w:p>
  </w:footnote>
  <w:footnote w:type="continuationSeparator" w:id="0">
    <w:p w14:paraId="33D45EC0" w14:textId="77777777" w:rsidR="005432B5" w:rsidRDefault="005432B5" w:rsidP="00621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DFEF" w14:textId="77777777" w:rsidR="00AF0080" w:rsidRDefault="00AF0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8D5B" w14:textId="77777777" w:rsidR="00AF0080" w:rsidRDefault="00AF0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8EE6" w14:textId="77777777" w:rsidR="00AF0080" w:rsidRDefault="00AF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918"/>
    <w:multiLevelType w:val="hybridMultilevel"/>
    <w:tmpl w:val="9A42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96190"/>
    <w:multiLevelType w:val="hybridMultilevel"/>
    <w:tmpl w:val="500C2E7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17E6253"/>
    <w:multiLevelType w:val="hybridMultilevel"/>
    <w:tmpl w:val="F340A8C2"/>
    <w:lvl w:ilvl="0" w:tplc="A4FA7732">
      <w:start w:val="1"/>
      <w:numFmt w:val="decimal"/>
      <w:lvlText w:val="%1."/>
      <w:lvlJc w:val="left"/>
      <w:pPr>
        <w:ind w:left="900" w:hanging="54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1B949BB"/>
    <w:multiLevelType w:val="hybridMultilevel"/>
    <w:tmpl w:val="7B10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80223"/>
    <w:multiLevelType w:val="hybridMultilevel"/>
    <w:tmpl w:val="6456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24493"/>
    <w:multiLevelType w:val="hybridMultilevel"/>
    <w:tmpl w:val="182241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8EB331C"/>
    <w:multiLevelType w:val="hybridMultilevel"/>
    <w:tmpl w:val="31DC0EBA"/>
    <w:lvl w:ilvl="0" w:tplc="5D60A7C0">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B900E51"/>
    <w:multiLevelType w:val="hybridMultilevel"/>
    <w:tmpl w:val="72941AC0"/>
    <w:lvl w:ilvl="0" w:tplc="BC827316">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F716811"/>
    <w:multiLevelType w:val="hybridMultilevel"/>
    <w:tmpl w:val="9BB604A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3B6F4EA5"/>
    <w:multiLevelType w:val="multilevel"/>
    <w:tmpl w:val="45DA1CEC"/>
    <w:lvl w:ilvl="0">
      <w:start w:val="1"/>
      <w:numFmt w:val="decimal"/>
      <w:lvlText w:val="%1."/>
      <w:lvlJc w:val="left"/>
      <w:pPr>
        <w:ind w:left="720" w:hanging="360"/>
      </w:pPr>
      <w:rPr>
        <w:rFonts w:hint="default"/>
      </w:rPr>
    </w:lvl>
    <w:lvl w:ilvl="1">
      <w:start w:val="4"/>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E83330"/>
    <w:multiLevelType w:val="hybridMultilevel"/>
    <w:tmpl w:val="CE38E9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C855A9B"/>
    <w:multiLevelType w:val="hybridMultilevel"/>
    <w:tmpl w:val="8152AE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F27509B"/>
    <w:multiLevelType w:val="hybridMultilevel"/>
    <w:tmpl w:val="FF2C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D6FE7"/>
    <w:multiLevelType w:val="hybridMultilevel"/>
    <w:tmpl w:val="182241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70562F"/>
    <w:multiLevelType w:val="hybridMultilevel"/>
    <w:tmpl w:val="233882DA"/>
    <w:lvl w:ilvl="0" w:tplc="48090001">
      <w:start w:val="1"/>
      <w:numFmt w:val="bullet"/>
      <w:lvlText w:val=""/>
      <w:lvlJc w:val="left"/>
      <w:pPr>
        <w:ind w:left="1440" w:hanging="360"/>
      </w:pPr>
      <w:rPr>
        <w:rFonts w:ascii="Symbol" w:hAnsi="Symbol" w:hint="default"/>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5" w15:restartNumberingAfterBreak="0">
    <w:nsid w:val="6E881EF1"/>
    <w:multiLevelType w:val="hybridMultilevel"/>
    <w:tmpl w:val="78A4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BE324E"/>
    <w:multiLevelType w:val="multilevel"/>
    <w:tmpl w:val="D97CFA30"/>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749A0128"/>
    <w:multiLevelType w:val="hybridMultilevel"/>
    <w:tmpl w:val="966C595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74AE0261"/>
    <w:multiLevelType w:val="hybridMultilevel"/>
    <w:tmpl w:val="0E042128"/>
    <w:lvl w:ilvl="0" w:tplc="B944E788">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60571C8"/>
    <w:multiLevelType w:val="hybridMultilevel"/>
    <w:tmpl w:val="433E2138"/>
    <w:lvl w:ilvl="0" w:tplc="BB785E3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9DA60C7"/>
    <w:multiLevelType w:val="hybridMultilevel"/>
    <w:tmpl w:val="F13A0284"/>
    <w:lvl w:ilvl="0" w:tplc="0A4A1430">
      <w:numFmt w:val="bullet"/>
      <w:lvlText w:val="•"/>
      <w:lvlJc w:val="left"/>
      <w:pPr>
        <w:ind w:left="780" w:hanging="4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51E48"/>
    <w:multiLevelType w:val="hybridMultilevel"/>
    <w:tmpl w:val="EF62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242675">
    <w:abstractNumId w:val="7"/>
  </w:num>
  <w:num w:numId="2" w16cid:durableId="736634912">
    <w:abstractNumId w:val="9"/>
  </w:num>
  <w:num w:numId="3" w16cid:durableId="1145468667">
    <w:abstractNumId w:val="6"/>
  </w:num>
  <w:num w:numId="4" w16cid:durableId="741680657">
    <w:abstractNumId w:val="5"/>
  </w:num>
  <w:num w:numId="5" w16cid:durableId="1737313541">
    <w:abstractNumId w:val="2"/>
  </w:num>
  <w:num w:numId="6" w16cid:durableId="558369754">
    <w:abstractNumId w:val="8"/>
  </w:num>
  <w:num w:numId="7" w16cid:durableId="3071703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04687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562060">
    <w:abstractNumId w:val="18"/>
  </w:num>
  <w:num w:numId="10" w16cid:durableId="2057199301">
    <w:abstractNumId w:val="14"/>
  </w:num>
  <w:num w:numId="11" w16cid:durableId="1043479870">
    <w:abstractNumId w:val="1"/>
  </w:num>
  <w:num w:numId="12" w16cid:durableId="559482682">
    <w:abstractNumId w:val="11"/>
  </w:num>
  <w:num w:numId="13" w16cid:durableId="274752514">
    <w:abstractNumId w:val="17"/>
  </w:num>
  <w:num w:numId="14" w16cid:durableId="1595673047">
    <w:abstractNumId w:val="10"/>
  </w:num>
  <w:num w:numId="15" w16cid:durableId="1438788929">
    <w:abstractNumId w:val="19"/>
  </w:num>
  <w:num w:numId="16" w16cid:durableId="1363823575">
    <w:abstractNumId w:val="3"/>
  </w:num>
  <w:num w:numId="17" w16cid:durableId="1668941327">
    <w:abstractNumId w:val="4"/>
  </w:num>
  <w:num w:numId="18" w16cid:durableId="1332295709">
    <w:abstractNumId w:val="21"/>
  </w:num>
  <w:num w:numId="19" w16cid:durableId="1304039280">
    <w:abstractNumId w:val="13"/>
  </w:num>
  <w:num w:numId="20" w16cid:durableId="1844399042">
    <w:abstractNumId w:val="20"/>
  </w:num>
  <w:num w:numId="21" w16cid:durableId="948128211">
    <w:abstractNumId w:val="15"/>
  </w:num>
  <w:num w:numId="22" w16cid:durableId="1612666130">
    <w:abstractNumId w:val="12"/>
  </w:num>
  <w:num w:numId="23" w16cid:durableId="90383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68"/>
    <w:rsid w:val="00005875"/>
    <w:rsid w:val="0000760F"/>
    <w:rsid w:val="0000792D"/>
    <w:rsid w:val="00010261"/>
    <w:rsid w:val="00010758"/>
    <w:rsid w:val="0001162F"/>
    <w:rsid w:val="000157FC"/>
    <w:rsid w:val="00020B1A"/>
    <w:rsid w:val="00026369"/>
    <w:rsid w:val="00027D85"/>
    <w:rsid w:val="0003114E"/>
    <w:rsid w:val="0004070C"/>
    <w:rsid w:val="00040FFF"/>
    <w:rsid w:val="00041612"/>
    <w:rsid w:val="00042CBD"/>
    <w:rsid w:val="00045DF3"/>
    <w:rsid w:val="00047792"/>
    <w:rsid w:val="0005034A"/>
    <w:rsid w:val="00050A6F"/>
    <w:rsid w:val="00051133"/>
    <w:rsid w:val="0006173F"/>
    <w:rsid w:val="00062E94"/>
    <w:rsid w:val="00070777"/>
    <w:rsid w:val="000710EE"/>
    <w:rsid w:val="000735A3"/>
    <w:rsid w:val="000769A6"/>
    <w:rsid w:val="00077FEE"/>
    <w:rsid w:val="000820B6"/>
    <w:rsid w:val="00086113"/>
    <w:rsid w:val="000864CA"/>
    <w:rsid w:val="0009242D"/>
    <w:rsid w:val="00093EA6"/>
    <w:rsid w:val="00097028"/>
    <w:rsid w:val="000A1367"/>
    <w:rsid w:val="000A1AB6"/>
    <w:rsid w:val="000A231C"/>
    <w:rsid w:val="000A2E23"/>
    <w:rsid w:val="000A71FA"/>
    <w:rsid w:val="000B09F7"/>
    <w:rsid w:val="000B1520"/>
    <w:rsid w:val="000C3D77"/>
    <w:rsid w:val="000C4080"/>
    <w:rsid w:val="000C6FC1"/>
    <w:rsid w:val="000D3844"/>
    <w:rsid w:val="000D49A1"/>
    <w:rsid w:val="000D5E12"/>
    <w:rsid w:val="000E01F1"/>
    <w:rsid w:val="000E0608"/>
    <w:rsid w:val="000E3736"/>
    <w:rsid w:val="000E3955"/>
    <w:rsid w:val="000E4B2B"/>
    <w:rsid w:val="000E7ED9"/>
    <w:rsid w:val="000F3682"/>
    <w:rsid w:val="000F44DE"/>
    <w:rsid w:val="000F4B4C"/>
    <w:rsid w:val="00105616"/>
    <w:rsid w:val="00110403"/>
    <w:rsid w:val="00117CF9"/>
    <w:rsid w:val="0012281A"/>
    <w:rsid w:val="0012287F"/>
    <w:rsid w:val="00134BD1"/>
    <w:rsid w:val="001374BF"/>
    <w:rsid w:val="00142DBD"/>
    <w:rsid w:val="00146593"/>
    <w:rsid w:val="00150086"/>
    <w:rsid w:val="00152097"/>
    <w:rsid w:val="00153944"/>
    <w:rsid w:val="00163511"/>
    <w:rsid w:val="001672F9"/>
    <w:rsid w:val="001724E2"/>
    <w:rsid w:val="00173F1B"/>
    <w:rsid w:val="001752CF"/>
    <w:rsid w:val="00175E60"/>
    <w:rsid w:val="00184D02"/>
    <w:rsid w:val="00186307"/>
    <w:rsid w:val="00191B65"/>
    <w:rsid w:val="001929F3"/>
    <w:rsid w:val="001950F7"/>
    <w:rsid w:val="001A5984"/>
    <w:rsid w:val="001B0A91"/>
    <w:rsid w:val="001B0D7B"/>
    <w:rsid w:val="001B0DD1"/>
    <w:rsid w:val="001C1FBF"/>
    <w:rsid w:val="001C2880"/>
    <w:rsid w:val="001C4468"/>
    <w:rsid w:val="001C5245"/>
    <w:rsid w:val="001C5CDE"/>
    <w:rsid w:val="001C6421"/>
    <w:rsid w:val="001C68EF"/>
    <w:rsid w:val="001C6980"/>
    <w:rsid w:val="001D4521"/>
    <w:rsid w:val="001D47BA"/>
    <w:rsid w:val="001D508C"/>
    <w:rsid w:val="001E3675"/>
    <w:rsid w:val="001E511A"/>
    <w:rsid w:val="001E60C9"/>
    <w:rsid w:val="001F1E38"/>
    <w:rsid w:val="001F3B0D"/>
    <w:rsid w:val="001F4A0D"/>
    <w:rsid w:val="001F4CC2"/>
    <w:rsid w:val="00200BB4"/>
    <w:rsid w:val="00202172"/>
    <w:rsid w:val="002041B3"/>
    <w:rsid w:val="00210639"/>
    <w:rsid w:val="00210D1A"/>
    <w:rsid w:val="00211A04"/>
    <w:rsid w:val="00215E36"/>
    <w:rsid w:val="00224349"/>
    <w:rsid w:val="00227DC9"/>
    <w:rsid w:val="002339E4"/>
    <w:rsid w:val="00234F74"/>
    <w:rsid w:val="0023615B"/>
    <w:rsid w:val="00237688"/>
    <w:rsid w:val="00244FFB"/>
    <w:rsid w:val="002455BF"/>
    <w:rsid w:val="0024670A"/>
    <w:rsid w:val="00250CB9"/>
    <w:rsid w:val="00253744"/>
    <w:rsid w:val="0025507D"/>
    <w:rsid w:val="002618AF"/>
    <w:rsid w:val="00265A74"/>
    <w:rsid w:val="0026726B"/>
    <w:rsid w:val="00276FF6"/>
    <w:rsid w:val="00282584"/>
    <w:rsid w:val="00282639"/>
    <w:rsid w:val="00287AF8"/>
    <w:rsid w:val="002905F1"/>
    <w:rsid w:val="002977FF"/>
    <w:rsid w:val="002A7BA4"/>
    <w:rsid w:val="002B3684"/>
    <w:rsid w:val="002B40F3"/>
    <w:rsid w:val="002B787B"/>
    <w:rsid w:val="002C20E9"/>
    <w:rsid w:val="002C5193"/>
    <w:rsid w:val="002C6230"/>
    <w:rsid w:val="002D4620"/>
    <w:rsid w:val="002D492D"/>
    <w:rsid w:val="002D54C8"/>
    <w:rsid w:val="002D6606"/>
    <w:rsid w:val="002E503E"/>
    <w:rsid w:val="002F09D5"/>
    <w:rsid w:val="002F139D"/>
    <w:rsid w:val="002F6FB5"/>
    <w:rsid w:val="003001EE"/>
    <w:rsid w:val="0030198D"/>
    <w:rsid w:val="00302F99"/>
    <w:rsid w:val="00303127"/>
    <w:rsid w:val="00305AB9"/>
    <w:rsid w:val="003063B2"/>
    <w:rsid w:val="00307271"/>
    <w:rsid w:val="00312040"/>
    <w:rsid w:val="00321C3D"/>
    <w:rsid w:val="00326421"/>
    <w:rsid w:val="003271F8"/>
    <w:rsid w:val="00332909"/>
    <w:rsid w:val="0034115C"/>
    <w:rsid w:val="00341527"/>
    <w:rsid w:val="003426F4"/>
    <w:rsid w:val="003464D6"/>
    <w:rsid w:val="003510B0"/>
    <w:rsid w:val="00357840"/>
    <w:rsid w:val="00363061"/>
    <w:rsid w:val="0037324A"/>
    <w:rsid w:val="0037624C"/>
    <w:rsid w:val="00382AD3"/>
    <w:rsid w:val="0038459F"/>
    <w:rsid w:val="00385214"/>
    <w:rsid w:val="00387807"/>
    <w:rsid w:val="003A2BDE"/>
    <w:rsid w:val="003A408C"/>
    <w:rsid w:val="003A4160"/>
    <w:rsid w:val="003A426C"/>
    <w:rsid w:val="003A4957"/>
    <w:rsid w:val="003A70A6"/>
    <w:rsid w:val="003B3ACB"/>
    <w:rsid w:val="003C2D8C"/>
    <w:rsid w:val="003D48DA"/>
    <w:rsid w:val="003D65DF"/>
    <w:rsid w:val="003D7C0D"/>
    <w:rsid w:val="003E0DEE"/>
    <w:rsid w:val="003E1BCB"/>
    <w:rsid w:val="003E47A2"/>
    <w:rsid w:val="003E4AD7"/>
    <w:rsid w:val="003F1AFC"/>
    <w:rsid w:val="003F1FA0"/>
    <w:rsid w:val="003F393D"/>
    <w:rsid w:val="003F7F46"/>
    <w:rsid w:val="004050F5"/>
    <w:rsid w:val="00406622"/>
    <w:rsid w:val="004115A2"/>
    <w:rsid w:val="004122D4"/>
    <w:rsid w:val="00413B4D"/>
    <w:rsid w:val="00416980"/>
    <w:rsid w:val="00417E92"/>
    <w:rsid w:val="004231A9"/>
    <w:rsid w:val="00426C3F"/>
    <w:rsid w:val="004275CE"/>
    <w:rsid w:val="00427868"/>
    <w:rsid w:val="00430277"/>
    <w:rsid w:val="0043281B"/>
    <w:rsid w:val="004336D0"/>
    <w:rsid w:val="0043581D"/>
    <w:rsid w:val="00436680"/>
    <w:rsid w:val="00444BF6"/>
    <w:rsid w:val="00445F8E"/>
    <w:rsid w:val="0045028F"/>
    <w:rsid w:val="00454E48"/>
    <w:rsid w:val="0045632C"/>
    <w:rsid w:val="00460550"/>
    <w:rsid w:val="00461ED9"/>
    <w:rsid w:val="00462F4B"/>
    <w:rsid w:val="004637B7"/>
    <w:rsid w:val="00466083"/>
    <w:rsid w:val="004777E3"/>
    <w:rsid w:val="0048042C"/>
    <w:rsid w:val="00482437"/>
    <w:rsid w:val="0048576D"/>
    <w:rsid w:val="00486F0E"/>
    <w:rsid w:val="0049270B"/>
    <w:rsid w:val="00497BB9"/>
    <w:rsid w:val="00497DBF"/>
    <w:rsid w:val="004A3762"/>
    <w:rsid w:val="004A5AA7"/>
    <w:rsid w:val="004B07B4"/>
    <w:rsid w:val="004B1A67"/>
    <w:rsid w:val="004B7853"/>
    <w:rsid w:val="004C0BC6"/>
    <w:rsid w:val="004C4CFE"/>
    <w:rsid w:val="004C4F11"/>
    <w:rsid w:val="004C5DF8"/>
    <w:rsid w:val="004C6768"/>
    <w:rsid w:val="004D11B4"/>
    <w:rsid w:val="004D3B79"/>
    <w:rsid w:val="004D4AB0"/>
    <w:rsid w:val="004D55F2"/>
    <w:rsid w:val="004D731F"/>
    <w:rsid w:val="004E7377"/>
    <w:rsid w:val="004F10F9"/>
    <w:rsid w:val="004F1DF1"/>
    <w:rsid w:val="004F312A"/>
    <w:rsid w:val="004F5C05"/>
    <w:rsid w:val="005033BF"/>
    <w:rsid w:val="00504A87"/>
    <w:rsid w:val="00505C83"/>
    <w:rsid w:val="00512CC4"/>
    <w:rsid w:val="00515F29"/>
    <w:rsid w:val="005230DC"/>
    <w:rsid w:val="00524184"/>
    <w:rsid w:val="00530319"/>
    <w:rsid w:val="00530A42"/>
    <w:rsid w:val="005426DE"/>
    <w:rsid w:val="005432B5"/>
    <w:rsid w:val="00547008"/>
    <w:rsid w:val="005526F1"/>
    <w:rsid w:val="005539C8"/>
    <w:rsid w:val="005579D4"/>
    <w:rsid w:val="00557AE0"/>
    <w:rsid w:val="00560EC0"/>
    <w:rsid w:val="0056426D"/>
    <w:rsid w:val="00565475"/>
    <w:rsid w:val="005676E2"/>
    <w:rsid w:val="005700FF"/>
    <w:rsid w:val="00571CA9"/>
    <w:rsid w:val="0057331A"/>
    <w:rsid w:val="00577F49"/>
    <w:rsid w:val="00577FA8"/>
    <w:rsid w:val="0058004F"/>
    <w:rsid w:val="005843B3"/>
    <w:rsid w:val="005877F8"/>
    <w:rsid w:val="005878EA"/>
    <w:rsid w:val="005944D9"/>
    <w:rsid w:val="005A11A2"/>
    <w:rsid w:val="005A1F40"/>
    <w:rsid w:val="005A3A09"/>
    <w:rsid w:val="005A3D85"/>
    <w:rsid w:val="005A6155"/>
    <w:rsid w:val="005A7362"/>
    <w:rsid w:val="005B079D"/>
    <w:rsid w:val="005B2BDA"/>
    <w:rsid w:val="005B3F8C"/>
    <w:rsid w:val="005B4551"/>
    <w:rsid w:val="005C04C6"/>
    <w:rsid w:val="005C28D0"/>
    <w:rsid w:val="005C4036"/>
    <w:rsid w:val="005C766A"/>
    <w:rsid w:val="005D0313"/>
    <w:rsid w:val="005D3BEC"/>
    <w:rsid w:val="005E35AC"/>
    <w:rsid w:val="005E577E"/>
    <w:rsid w:val="005E6DD7"/>
    <w:rsid w:val="005F0B26"/>
    <w:rsid w:val="005F58BD"/>
    <w:rsid w:val="006013CE"/>
    <w:rsid w:val="00605309"/>
    <w:rsid w:val="006103C2"/>
    <w:rsid w:val="006117A5"/>
    <w:rsid w:val="00621E6D"/>
    <w:rsid w:val="00623046"/>
    <w:rsid w:val="00624F03"/>
    <w:rsid w:val="00625935"/>
    <w:rsid w:val="006334E3"/>
    <w:rsid w:val="00636709"/>
    <w:rsid w:val="006377D3"/>
    <w:rsid w:val="00643099"/>
    <w:rsid w:val="00651A19"/>
    <w:rsid w:val="00652C06"/>
    <w:rsid w:val="0065494C"/>
    <w:rsid w:val="00660D25"/>
    <w:rsid w:val="0067496B"/>
    <w:rsid w:val="00682EA2"/>
    <w:rsid w:val="00683750"/>
    <w:rsid w:val="00683B11"/>
    <w:rsid w:val="00683E09"/>
    <w:rsid w:val="00685F5A"/>
    <w:rsid w:val="00686487"/>
    <w:rsid w:val="00687A29"/>
    <w:rsid w:val="00693430"/>
    <w:rsid w:val="00697342"/>
    <w:rsid w:val="00697351"/>
    <w:rsid w:val="00697B7E"/>
    <w:rsid w:val="006A40CC"/>
    <w:rsid w:val="006A45A0"/>
    <w:rsid w:val="006A6312"/>
    <w:rsid w:val="006B3050"/>
    <w:rsid w:val="006B5AA7"/>
    <w:rsid w:val="006B6149"/>
    <w:rsid w:val="006C2F63"/>
    <w:rsid w:val="006C65A3"/>
    <w:rsid w:val="006D079C"/>
    <w:rsid w:val="006D3F57"/>
    <w:rsid w:val="006E26E5"/>
    <w:rsid w:val="006E3CFF"/>
    <w:rsid w:val="006E7196"/>
    <w:rsid w:val="006F77D6"/>
    <w:rsid w:val="0070318A"/>
    <w:rsid w:val="00704BC3"/>
    <w:rsid w:val="0070640D"/>
    <w:rsid w:val="00712D7D"/>
    <w:rsid w:val="00716B2D"/>
    <w:rsid w:val="00727607"/>
    <w:rsid w:val="00730E8A"/>
    <w:rsid w:val="0074088D"/>
    <w:rsid w:val="00741A4A"/>
    <w:rsid w:val="0074515D"/>
    <w:rsid w:val="00765898"/>
    <w:rsid w:val="0076774F"/>
    <w:rsid w:val="007732FC"/>
    <w:rsid w:val="00774C82"/>
    <w:rsid w:val="0077578C"/>
    <w:rsid w:val="00777DCC"/>
    <w:rsid w:val="00783896"/>
    <w:rsid w:val="00785B67"/>
    <w:rsid w:val="00785B96"/>
    <w:rsid w:val="007862BA"/>
    <w:rsid w:val="00787301"/>
    <w:rsid w:val="0079546F"/>
    <w:rsid w:val="00797216"/>
    <w:rsid w:val="007A0A23"/>
    <w:rsid w:val="007A17AC"/>
    <w:rsid w:val="007A4475"/>
    <w:rsid w:val="007A5BE4"/>
    <w:rsid w:val="007A5D74"/>
    <w:rsid w:val="007A6EFD"/>
    <w:rsid w:val="007B0090"/>
    <w:rsid w:val="007B7BCB"/>
    <w:rsid w:val="007C2E9E"/>
    <w:rsid w:val="007C3A53"/>
    <w:rsid w:val="007D1251"/>
    <w:rsid w:val="007D1DB0"/>
    <w:rsid w:val="007D6CE8"/>
    <w:rsid w:val="007E0B50"/>
    <w:rsid w:val="007E12B4"/>
    <w:rsid w:val="007E236F"/>
    <w:rsid w:val="007E57EF"/>
    <w:rsid w:val="007E693D"/>
    <w:rsid w:val="007E6E78"/>
    <w:rsid w:val="007E6F5B"/>
    <w:rsid w:val="007E6FEE"/>
    <w:rsid w:val="007F3703"/>
    <w:rsid w:val="00804B2B"/>
    <w:rsid w:val="008052ED"/>
    <w:rsid w:val="00806791"/>
    <w:rsid w:val="00813E8D"/>
    <w:rsid w:val="00814A8C"/>
    <w:rsid w:val="008264FB"/>
    <w:rsid w:val="008321C8"/>
    <w:rsid w:val="00833CD6"/>
    <w:rsid w:val="00837006"/>
    <w:rsid w:val="00841CF8"/>
    <w:rsid w:val="008444BA"/>
    <w:rsid w:val="00845573"/>
    <w:rsid w:val="00846481"/>
    <w:rsid w:val="00847786"/>
    <w:rsid w:val="008506DF"/>
    <w:rsid w:val="008575D7"/>
    <w:rsid w:val="00861D99"/>
    <w:rsid w:val="0086257D"/>
    <w:rsid w:val="00864080"/>
    <w:rsid w:val="008650FA"/>
    <w:rsid w:val="00870BC4"/>
    <w:rsid w:val="00871D78"/>
    <w:rsid w:val="008759BF"/>
    <w:rsid w:val="00876D8B"/>
    <w:rsid w:val="00877E47"/>
    <w:rsid w:val="008850AC"/>
    <w:rsid w:val="008971A6"/>
    <w:rsid w:val="008978F2"/>
    <w:rsid w:val="008A1716"/>
    <w:rsid w:val="008A2792"/>
    <w:rsid w:val="008A32CD"/>
    <w:rsid w:val="008A4832"/>
    <w:rsid w:val="008A4BAD"/>
    <w:rsid w:val="008B22D1"/>
    <w:rsid w:val="008B7453"/>
    <w:rsid w:val="008B78E4"/>
    <w:rsid w:val="008C0AC7"/>
    <w:rsid w:val="008C4FA3"/>
    <w:rsid w:val="008D6682"/>
    <w:rsid w:val="008E0B75"/>
    <w:rsid w:val="008E250F"/>
    <w:rsid w:val="008E3939"/>
    <w:rsid w:val="008E63E3"/>
    <w:rsid w:val="008F1B52"/>
    <w:rsid w:val="008F48C6"/>
    <w:rsid w:val="009033D7"/>
    <w:rsid w:val="00907CE6"/>
    <w:rsid w:val="009166AA"/>
    <w:rsid w:val="00916A60"/>
    <w:rsid w:val="009203CB"/>
    <w:rsid w:val="00920E4F"/>
    <w:rsid w:val="00925163"/>
    <w:rsid w:val="009271D9"/>
    <w:rsid w:val="009408B0"/>
    <w:rsid w:val="00940CBC"/>
    <w:rsid w:val="00947C56"/>
    <w:rsid w:val="009535E9"/>
    <w:rsid w:val="00960452"/>
    <w:rsid w:val="009648AF"/>
    <w:rsid w:val="00964A58"/>
    <w:rsid w:val="00966CCA"/>
    <w:rsid w:val="009671DB"/>
    <w:rsid w:val="00967897"/>
    <w:rsid w:val="0097267A"/>
    <w:rsid w:val="009771C1"/>
    <w:rsid w:val="00980853"/>
    <w:rsid w:val="009860B3"/>
    <w:rsid w:val="00991BED"/>
    <w:rsid w:val="0099370C"/>
    <w:rsid w:val="009959A1"/>
    <w:rsid w:val="009A1490"/>
    <w:rsid w:val="009A353C"/>
    <w:rsid w:val="009A4558"/>
    <w:rsid w:val="009A7470"/>
    <w:rsid w:val="009B0E7F"/>
    <w:rsid w:val="009B3D6D"/>
    <w:rsid w:val="009B5719"/>
    <w:rsid w:val="009B6D55"/>
    <w:rsid w:val="009C0EF7"/>
    <w:rsid w:val="009C24DB"/>
    <w:rsid w:val="009C342F"/>
    <w:rsid w:val="009C5C88"/>
    <w:rsid w:val="009E1ED4"/>
    <w:rsid w:val="009E3A60"/>
    <w:rsid w:val="009E50ED"/>
    <w:rsid w:val="009F0B2B"/>
    <w:rsid w:val="009F251C"/>
    <w:rsid w:val="009F25FA"/>
    <w:rsid w:val="009F3EE7"/>
    <w:rsid w:val="009F4AB6"/>
    <w:rsid w:val="00A02690"/>
    <w:rsid w:val="00A06FBD"/>
    <w:rsid w:val="00A076CB"/>
    <w:rsid w:val="00A1471B"/>
    <w:rsid w:val="00A16895"/>
    <w:rsid w:val="00A168BB"/>
    <w:rsid w:val="00A20189"/>
    <w:rsid w:val="00A20256"/>
    <w:rsid w:val="00A220CA"/>
    <w:rsid w:val="00A22977"/>
    <w:rsid w:val="00A27AF7"/>
    <w:rsid w:val="00A32FB4"/>
    <w:rsid w:val="00A34F54"/>
    <w:rsid w:val="00A44C3C"/>
    <w:rsid w:val="00A462A3"/>
    <w:rsid w:val="00A46DC4"/>
    <w:rsid w:val="00A631FF"/>
    <w:rsid w:val="00A65D37"/>
    <w:rsid w:val="00A666C4"/>
    <w:rsid w:val="00A67095"/>
    <w:rsid w:val="00A72171"/>
    <w:rsid w:val="00A75631"/>
    <w:rsid w:val="00A7782D"/>
    <w:rsid w:val="00A81C20"/>
    <w:rsid w:val="00A85A22"/>
    <w:rsid w:val="00A86A2B"/>
    <w:rsid w:val="00A926B4"/>
    <w:rsid w:val="00A92B40"/>
    <w:rsid w:val="00A962C0"/>
    <w:rsid w:val="00A978B4"/>
    <w:rsid w:val="00AA3288"/>
    <w:rsid w:val="00AA4A7F"/>
    <w:rsid w:val="00AA4AF1"/>
    <w:rsid w:val="00AA4C6A"/>
    <w:rsid w:val="00AB0E9A"/>
    <w:rsid w:val="00AB3B53"/>
    <w:rsid w:val="00AB629C"/>
    <w:rsid w:val="00AB6DCF"/>
    <w:rsid w:val="00AC07B1"/>
    <w:rsid w:val="00AC26AE"/>
    <w:rsid w:val="00AC3F03"/>
    <w:rsid w:val="00AC4135"/>
    <w:rsid w:val="00AC6473"/>
    <w:rsid w:val="00AD5D01"/>
    <w:rsid w:val="00AE0433"/>
    <w:rsid w:val="00AE1160"/>
    <w:rsid w:val="00AE2EB4"/>
    <w:rsid w:val="00AE6773"/>
    <w:rsid w:val="00AE75FC"/>
    <w:rsid w:val="00AF0080"/>
    <w:rsid w:val="00B00858"/>
    <w:rsid w:val="00B10A55"/>
    <w:rsid w:val="00B11584"/>
    <w:rsid w:val="00B14C08"/>
    <w:rsid w:val="00B17633"/>
    <w:rsid w:val="00B25E57"/>
    <w:rsid w:val="00B310CD"/>
    <w:rsid w:val="00B32608"/>
    <w:rsid w:val="00B3750F"/>
    <w:rsid w:val="00B40151"/>
    <w:rsid w:val="00B46D5B"/>
    <w:rsid w:val="00B53B5E"/>
    <w:rsid w:val="00B57D9B"/>
    <w:rsid w:val="00B63D9B"/>
    <w:rsid w:val="00B7015F"/>
    <w:rsid w:val="00B80B17"/>
    <w:rsid w:val="00B8133E"/>
    <w:rsid w:val="00B84DD0"/>
    <w:rsid w:val="00B85125"/>
    <w:rsid w:val="00B94E4D"/>
    <w:rsid w:val="00B953F5"/>
    <w:rsid w:val="00B978B2"/>
    <w:rsid w:val="00BA4FB3"/>
    <w:rsid w:val="00BB27E1"/>
    <w:rsid w:val="00BB6BB2"/>
    <w:rsid w:val="00BC0523"/>
    <w:rsid w:val="00BC34A7"/>
    <w:rsid w:val="00BC5D71"/>
    <w:rsid w:val="00BD0161"/>
    <w:rsid w:val="00BD2872"/>
    <w:rsid w:val="00BD584D"/>
    <w:rsid w:val="00BD670B"/>
    <w:rsid w:val="00BE2769"/>
    <w:rsid w:val="00BF1924"/>
    <w:rsid w:val="00BF6CD7"/>
    <w:rsid w:val="00C0195A"/>
    <w:rsid w:val="00C02401"/>
    <w:rsid w:val="00C06888"/>
    <w:rsid w:val="00C10644"/>
    <w:rsid w:val="00C10822"/>
    <w:rsid w:val="00C14EF5"/>
    <w:rsid w:val="00C15853"/>
    <w:rsid w:val="00C17D8E"/>
    <w:rsid w:val="00C220A0"/>
    <w:rsid w:val="00C2292D"/>
    <w:rsid w:val="00C23979"/>
    <w:rsid w:val="00C272AB"/>
    <w:rsid w:val="00C30443"/>
    <w:rsid w:val="00C31871"/>
    <w:rsid w:val="00C35526"/>
    <w:rsid w:val="00C36875"/>
    <w:rsid w:val="00C40ACD"/>
    <w:rsid w:val="00C40CA8"/>
    <w:rsid w:val="00C44997"/>
    <w:rsid w:val="00C46EC0"/>
    <w:rsid w:val="00C50925"/>
    <w:rsid w:val="00C61777"/>
    <w:rsid w:val="00C62A28"/>
    <w:rsid w:val="00C64243"/>
    <w:rsid w:val="00C676CB"/>
    <w:rsid w:val="00C703B2"/>
    <w:rsid w:val="00C7252B"/>
    <w:rsid w:val="00C8028F"/>
    <w:rsid w:val="00C804B5"/>
    <w:rsid w:val="00C805A1"/>
    <w:rsid w:val="00C8278D"/>
    <w:rsid w:val="00C85239"/>
    <w:rsid w:val="00C8682D"/>
    <w:rsid w:val="00C904C9"/>
    <w:rsid w:val="00CA0354"/>
    <w:rsid w:val="00CA1215"/>
    <w:rsid w:val="00CA45A9"/>
    <w:rsid w:val="00CB2637"/>
    <w:rsid w:val="00CB2B53"/>
    <w:rsid w:val="00CB4886"/>
    <w:rsid w:val="00CB4E70"/>
    <w:rsid w:val="00CC1764"/>
    <w:rsid w:val="00CC17B3"/>
    <w:rsid w:val="00CC6890"/>
    <w:rsid w:val="00CC754B"/>
    <w:rsid w:val="00CD1E45"/>
    <w:rsid w:val="00CD3913"/>
    <w:rsid w:val="00CD46F4"/>
    <w:rsid w:val="00CD5D53"/>
    <w:rsid w:val="00CE2F8B"/>
    <w:rsid w:val="00CE63DC"/>
    <w:rsid w:val="00CE747A"/>
    <w:rsid w:val="00CE76CB"/>
    <w:rsid w:val="00CE7F1F"/>
    <w:rsid w:val="00CF3330"/>
    <w:rsid w:val="00CF5875"/>
    <w:rsid w:val="00CF750A"/>
    <w:rsid w:val="00D01875"/>
    <w:rsid w:val="00D032C7"/>
    <w:rsid w:val="00D034B8"/>
    <w:rsid w:val="00D0386E"/>
    <w:rsid w:val="00D04E16"/>
    <w:rsid w:val="00D06993"/>
    <w:rsid w:val="00D151FB"/>
    <w:rsid w:val="00D32AA9"/>
    <w:rsid w:val="00D333FE"/>
    <w:rsid w:val="00D35C0A"/>
    <w:rsid w:val="00D375D1"/>
    <w:rsid w:val="00D41C74"/>
    <w:rsid w:val="00D464BD"/>
    <w:rsid w:val="00D506DC"/>
    <w:rsid w:val="00D51B72"/>
    <w:rsid w:val="00D544CC"/>
    <w:rsid w:val="00D5613C"/>
    <w:rsid w:val="00D568D3"/>
    <w:rsid w:val="00D57D78"/>
    <w:rsid w:val="00D61065"/>
    <w:rsid w:val="00D6273E"/>
    <w:rsid w:val="00D64737"/>
    <w:rsid w:val="00D66409"/>
    <w:rsid w:val="00D66B9B"/>
    <w:rsid w:val="00D672F8"/>
    <w:rsid w:val="00D73A31"/>
    <w:rsid w:val="00D75079"/>
    <w:rsid w:val="00D75CED"/>
    <w:rsid w:val="00D86A2D"/>
    <w:rsid w:val="00D873D0"/>
    <w:rsid w:val="00D92B1C"/>
    <w:rsid w:val="00DA597D"/>
    <w:rsid w:val="00DA6327"/>
    <w:rsid w:val="00DB113E"/>
    <w:rsid w:val="00DB1211"/>
    <w:rsid w:val="00DB4336"/>
    <w:rsid w:val="00DB7A1F"/>
    <w:rsid w:val="00DC0D58"/>
    <w:rsid w:val="00DC1195"/>
    <w:rsid w:val="00DC1ADC"/>
    <w:rsid w:val="00DC27A2"/>
    <w:rsid w:val="00DC48D0"/>
    <w:rsid w:val="00DD002F"/>
    <w:rsid w:val="00DD0266"/>
    <w:rsid w:val="00DD3934"/>
    <w:rsid w:val="00DD3DBA"/>
    <w:rsid w:val="00DD465D"/>
    <w:rsid w:val="00DD5549"/>
    <w:rsid w:val="00DE2C29"/>
    <w:rsid w:val="00DE2CF5"/>
    <w:rsid w:val="00DE503B"/>
    <w:rsid w:val="00DE5A22"/>
    <w:rsid w:val="00DE6EBB"/>
    <w:rsid w:val="00DF08BC"/>
    <w:rsid w:val="00E0020F"/>
    <w:rsid w:val="00E01115"/>
    <w:rsid w:val="00E03D82"/>
    <w:rsid w:val="00E05828"/>
    <w:rsid w:val="00E05E12"/>
    <w:rsid w:val="00E0737C"/>
    <w:rsid w:val="00E13B6E"/>
    <w:rsid w:val="00E15901"/>
    <w:rsid w:val="00E16377"/>
    <w:rsid w:val="00E16A0D"/>
    <w:rsid w:val="00E2498B"/>
    <w:rsid w:val="00E25CCB"/>
    <w:rsid w:val="00E2674C"/>
    <w:rsid w:val="00E27DDB"/>
    <w:rsid w:val="00E31237"/>
    <w:rsid w:val="00E40B1A"/>
    <w:rsid w:val="00E41C34"/>
    <w:rsid w:val="00E44384"/>
    <w:rsid w:val="00E46772"/>
    <w:rsid w:val="00E47DAE"/>
    <w:rsid w:val="00E521DF"/>
    <w:rsid w:val="00E54280"/>
    <w:rsid w:val="00E668DD"/>
    <w:rsid w:val="00E70B8F"/>
    <w:rsid w:val="00E8252E"/>
    <w:rsid w:val="00E82988"/>
    <w:rsid w:val="00E93BC5"/>
    <w:rsid w:val="00E94A66"/>
    <w:rsid w:val="00EA1E3D"/>
    <w:rsid w:val="00EA2990"/>
    <w:rsid w:val="00EA2E8D"/>
    <w:rsid w:val="00EA3A3A"/>
    <w:rsid w:val="00EA5751"/>
    <w:rsid w:val="00EB1A5A"/>
    <w:rsid w:val="00EB3B26"/>
    <w:rsid w:val="00EC0BD5"/>
    <w:rsid w:val="00EC1123"/>
    <w:rsid w:val="00EC3E69"/>
    <w:rsid w:val="00EC617C"/>
    <w:rsid w:val="00ED2EC6"/>
    <w:rsid w:val="00ED7937"/>
    <w:rsid w:val="00EE1167"/>
    <w:rsid w:val="00EE75A6"/>
    <w:rsid w:val="00EF077C"/>
    <w:rsid w:val="00EF17F5"/>
    <w:rsid w:val="00F00CB6"/>
    <w:rsid w:val="00F03C28"/>
    <w:rsid w:val="00F03EB1"/>
    <w:rsid w:val="00F101F4"/>
    <w:rsid w:val="00F134A7"/>
    <w:rsid w:val="00F147F3"/>
    <w:rsid w:val="00F14D5B"/>
    <w:rsid w:val="00F16323"/>
    <w:rsid w:val="00F1760A"/>
    <w:rsid w:val="00F2683A"/>
    <w:rsid w:val="00F277F4"/>
    <w:rsid w:val="00F3286F"/>
    <w:rsid w:val="00F34120"/>
    <w:rsid w:val="00F36437"/>
    <w:rsid w:val="00F418DF"/>
    <w:rsid w:val="00F4320B"/>
    <w:rsid w:val="00F50B89"/>
    <w:rsid w:val="00F50FB9"/>
    <w:rsid w:val="00F549BA"/>
    <w:rsid w:val="00F54FAC"/>
    <w:rsid w:val="00F555AB"/>
    <w:rsid w:val="00F62198"/>
    <w:rsid w:val="00F63837"/>
    <w:rsid w:val="00F71E06"/>
    <w:rsid w:val="00F725CA"/>
    <w:rsid w:val="00F75DB6"/>
    <w:rsid w:val="00F76336"/>
    <w:rsid w:val="00F77408"/>
    <w:rsid w:val="00F77CDE"/>
    <w:rsid w:val="00F928FF"/>
    <w:rsid w:val="00F962E7"/>
    <w:rsid w:val="00FA3054"/>
    <w:rsid w:val="00FB4AE1"/>
    <w:rsid w:val="00FB5884"/>
    <w:rsid w:val="00FB61DD"/>
    <w:rsid w:val="00FC51DA"/>
    <w:rsid w:val="00FC5AAA"/>
    <w:rsid w:val="00FC60EB"/>
    <w:rsid w:val="00FD15FC"/>
    <w:rsid w:val="00FE25F0"/>
    <w:rsid w:val="00FE2E33"/>
    <w:rsid w:val="00FE42DF"/>
    <w:rsid w:val="00FF0364"/>
    <w:rsid w:val="00FF0C62"/>
    <w:rsid w:val="00FF2DDA"/>
    <w:rsid w:val="00FF3AB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A2503"/>
  <w15:docId w15:val="{B96B15AA-3BF4-4D41-B677-DEE5CF64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44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C4468"/>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C17D8E"/>
    <w:pPr>
      <w:ind w:left="720"/>
      <w:contextualSpacing/>
    </w:pPr>
  </w:style>
  <w:style w:type="paragraph" w:styleId="BalloonText">
    <w:name w:val="Balloon Text"/>
    <w:basedOn w:val="Normal"/>
    <w:link w:val="BalloonTextChar"/>
    <w:uiPriority w:val="99"/>
    <w:semiHidden/>
    <w:unhideWhenUsed/>
    <w:rsid w:val="00B8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125"/>
    <w:rPr>
      <w:rFonts w:ascii="Segoe UI" w:eastAsia="Calibri" w:hAnsi="Segoe UI" w:cs="Segoe UI"/>
      <w:sz w:val="18"/>
      <w:szCs w:val="18"/>
    </w:rPr>
  </w:style>
  <w:style w:type="paragraph" w:styleId="Header">
    <w:name w:val="header"/>
    <w:basedOn w:val="Normal"/>
    <w:link w:val="HeaderChar"/>
    <w:uiPriority w:val="99"/>
    <w:unhideWhenUsed/>
    <w:rsid w:val="00621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E6D"/>
    <w:rPr>
      <w:rFonts w:ascii="Calibri" w:eastAsia="Calibri" w:hAnsi="Calibri" w:cs="Times New Roman"/>
    </w:rPr>
  </w:style>
  <w:style w:type="paragraph" w:styleId="Footer">
    <w:name w:val="footer"/>
    <w:basedOn w:val="Normal"/>
    <w:link w:val="FooterChar"/>
    <w:uiPriority w:val="99"/>
    <w:unhideWhenUsed/>
    <w:rsid w:val="00621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E6D"/>
    <w:rPr>
      <w:rFonts w:ascii="Calibri" w:eastAsia="Calibri" w:hAnsi="Calibri" w:cs="Times New Roman"/>
    </w:rPr>
  </w:style>
  <w:style w:type="paragraph" w:customStyle="1" w:styleId="Default">
    <w:name w:val="Default"/>
    <w:rsid w:val="00B978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99463">
      <w:bodyDiv w:val="1"/>
      <w:marLeft w:val="0"/>
      <w:marRight w:val="0"/>
      <w:marTop w:val="0"/>
      <w:marBottom w:val="0"/>
      <w:divBdr>
        <w:top w:val="none" w:sz="0" w:space="0" w:color="auto"/>
        <w:left w:val="none" w:sz="0" w:space="0" w:color="auto"/>
        <w:bottom w:val="none" w:sz="0" w:space="0" w:color="auto"/>
        <w:right w:val="none" w:sz="0" w:space="0" w:color="auto"/>
      </w:divBdr>
    </w:div>
    <w:div w:id="381364150">
      <w:bodyDiv w:val="1"/>
      <w:marLeft w:val="0"/>
      <w:marRight w:val="0"/>
      <w:marTop w:val="0"/>
      <w:marBottom w:val="0"/>
      <w:divBdr>
        <w:top w:val="none" w:sz="0" w:space="0" w:color="auto"/>
        <w:left w:val="none" w:sz="0" w:space="0" w:color="auto"/>
        <w:bottom w:val="none" w:sz="0" w:space="0" w:color="auto"/>
        <w:right w:val="none" w:sz="0" w:space="0" w:color="auto"/>
      </w:divBdr>
    </w:div>
    <w:div w:id="544021127">
      <w:bodyDiv w:val="1"/>
      <w:marLeft w:val="0"/>
      <w:marRight w:val="0"/>
      <w:marTop w:val="0"/>
      <w:marBottom w:val="0"/>
      <w:divBdr>
        <w:top w:val="none" w:sz="0" w:space="0" w:color="auto"/>
        <w:left w:val="none" w:sz="0" w:space="0" w:color="auto"/>
        <w:bottom w:val="none" w:sz="0" w:space="0" w:color="auto"/>
        <w:right w:val="none" w:sz="0" w:space="0" w:color="auto"/>
      </w:divBdr>
    </w:div>
    <w:div w:id="545142073">
      <w:bodyDiv w:val="1"/>
      <w:marLeft w:val="0"/>
      <w:marRight w:val="0"/>
      <w:marTop w:val="0"/>
      <w:marBottom w:val="0"/>
      <w:divBdr>
        <w:top w:val="none" w:sz="0" w:space="0" w:color="auto"/>
        <w:left w:val="none" w:sz="0" w:space="0" w:color="auto"/>
        <w:bottom w:val="none" w:sz="0" w:space="0" w:color="auto"/>
        <w:right w:val="none" w:sz="0" w:space="0" w:color="auto"/>
      </w:divBdr>
    </w:div>
    <w:div w:id="590625092">
      <w:bodyDiv w:val="1"/>
      <w:marLeft w:val="0"/>
      <w:marRight w:val="0"/>
      <w:marTop w:val="0"/>
      <w:marBottom w:val="0"/>
      <w:divBdr>
        <w:top w:val="none" w:sz="0" w:space="0" w:color="auto"/>
        <w:left w:val="none" w:sz="0" w:space="0" w:color="auto"/>
        <w:bottom w:val="none" w:sz="0" w:space="0" w:color="auto"/>
        <w:right w:val="none" w:sz="0" w:space="0" w:color="auto"/>
      </w:divBdr>
    </w:div>
    <w:div w:id="790703838">
      <w:bodyDiv w:val="1"/>
      <w:marLeft w:val="0"/>
      <w:marRight w:val="0"/>
      <w:marTop w:val="0"/>
      <w:marBottom w:val="0"/>
      <w:divBdr>
        <w:top w:val="none" w:sz="0" w:space="0" w:color="auto"/>
        <w:left w:val="none" w:sz="0" w:space="0" w:color="auto"/>
        <w:bottom w:val="none" w:sz="0" w:space="0" w:color="auto"/>
        <w:right w:val="none" w:sz="0" w:space="0" w:color="auto"/>
      </w:divBdr>
    </w:div>
    <w:div w:id="848253094">
      <w:bodyDiv w:val="1"/>
      <w:marLeft w:val="0"/>
      <w:marRight w:val="0"/>
      <w:marTop w:val="0"/>
      <w:marBottom w:val="0"/>
      <w:divBdr>
        <w:top w:val="none" w:sz="0" w:space="0" w:color="auto"/>
        <w:left w:val="none" w:sz="0" w:space="0" w:color="auto"/>
        <w:bottom w:val="none" w:sz="0" w:space="0" w:color="auto"/>
        <w:right w:val="none" w:sz="0" w:space="0" w:color="auto"/>
      </w:divBdr>
    </w:div>
    <w:div w:id="999580849">
      <w:bodyDiv w:val="1"/>
      <w:marLeft w:val="0"/>
      <w:marRight w:val="0"/>
      <w:marTop w:val="0"/>
      <w:marBottom w:val="0"/>
      <w:divBdr>
        <w:top w:val="none" w:sz="0" w:space="0" w:color="auto"/>
        <w:left w:val="none" w:sz="0" w:space="0" w:color="auto"/>
        <w:bottom w:val="none" w:sz="0" w:space="0" w:color="auto"/>
        <w:right w:val="none" w:sz="0" w:space="0" w:color="auto"/>
      </w:divBdr>
    </w:div>
    <w:div w:id="1011756759">
      <w:bodyDiv w:val="1"/>
      <w:marLeft w:val="0"/>
      <w:marRight w:val="0"/>
      <w:marTop w:val="0"/>
      <w:marBottom w:val="0"/>
      <w:divBdr>
        <w:top w:val="none" w:sz="0" w:space="0" w:color="auto"/>
        <w:left w:val="none" w:sz="0" w:space="0" w:color="auto"/>
        <w:bottom w:val="none" w:sz="0" w:space="0" w:color="auto"/>
        <w:right w:val="none" w:sz="0" w:space="0" w:color="auto"/>
      </w:divBdr>
    </w:div>
    <w:div w:id="1062632828">
      <w:bodyDiv w:val="1"/>
      <w:marLeft w:val="0"/>
      <w:marRight w:val="0"/>
      <w:marTop w:val="0"/>
      <w:marBottom w:val="0"/>
      <w:divBdr>
        <w:top w:val="none" w:sz="0" w:space="0" w:color="auto"/>
        <w:left w:val="none" w:sz="0" w:space="0" w:color="auto"/>
        <w:bottom w:val="none" w:sz="0" w:space="0" w:color="auto"/>
        <w:right w:val="none" w:sz="0" w:space="0" w:color="auto"/>
      </w:divBdr>
    </w:div>
    <w:div w:id="1080370806">
      <w:bodyDiv w:val="1"/>
      <w:marLeft w:val="0"/>
      <w:marRight w:val="0"/>
      <w:marTop w:val="0"/>
      <w:marBottom w:val="0"/>
      <w:divBdr>
        <w:top w:val="none" w:sz="0" w:space="0" w:color="auto"/>
        <w:left w:val="none" w:sz="0" w:space="0" w:color="auto"/>
        <w:bottom w:val="none" w:sz="0" w:space="0" w:color="auto"/>
        <w:right w:val="none" w:sz="0" w:space="0" w:color="auto"/>
      </w:divBdr>
    </w:div>
    <w:div w:id="1131240774">
      <w:bodyDiv w:val="1"/>
      <w:marLeft w:val="0"/>
      <w:marRight w:val="0"/>
      <w:marTop w:val="0"/>
      <w:marBottom w:val="0"/>
      <w:divBdr>
        <w:top w:val="none" w:sz="0" w:space="0" w:color="auto"/>
        <w:left w:val="none" w:sz="0" w:space="0" w:color="auto"/>
        <w:bottom w:val="none" w:sz="0" w:space="0" w:color="auto"/>
        <w:right w:val="none" w:sz="0" w:space="0" w:color="auto"/>
      </w:divBdr>
    </w:div>
    <w:div w:id="1206984278">
      <w:bodyDiv w:val="1"/>
      <w:marLeft w:val="0"/>
      <w:marRight w:val="0"/>
      <w:marTop w:val="0"/>
      <w:marBottom w:val="0"/>
      <w:divBdr>
        <w:top w:val="none" w:sz="0" w:space="0" w:color="auto"/>
        <w:left w:val="none" w:sz="0" w:space="0" w:color="auto"/>
        <w:bottom w:val="none" w:sz="0" w:space="0" w:color="auto"/>
        <w:right w:val="none" w:sz="0" w:space="0" w:color="auto"/>
      </w:divBdr>
    </w:div>
    <w:div w:id="1437746917">
      <w:bodyDiv w:val="1"/>
      <w:marLeft w:val="0"/>
      <w:marRight w:val="0"/>
      <w:marTop w:val="0"/>
      <w:marBottom w:val="0"/>
      <w:divBdr>
        <w:top w:val="none" w:sz="0" w:space="0" w:color="auto"/>
        <w:left w:val="none" w:sz="0" w:space="0" w:color="auto"/>
        <w:bottom w:val="none" w:sz="0" w:space="0" w:color="auto"/>
        <w:right w:val="none" w:sz="0" w:space="0" w:color="auto"/>
      </w:divBdr>
    </w:div>
    <w:div w:id="1613782740">
      <w:bodyDiv w:val="1"/>
      <w:marLeft w:val="0"/>
      <w:marRight w:val="0"/>
      <w:marTop w:val="0"/>
      <w:marBottom w:val="0"/>
      <w:divBdr>
        <w:top w:val="none" w:sz="0" w:space="0" w:color="auto"/>
        <w:left w:val="none" w:sz="0" w:space="0" w:color="auto"/>
        <w:bottom w:val="none" w:sz="0" w:space="0" w:color="auto"/>
        <w:right w:val="none" w:sz="0" w:space="0" w:color="auto"/>
      </w:divBdr>
    </w:div>
    <w:div w:id="1814986702">
      <w:bodyDiv w:val="1"/>
      <w:marLeft w:val="0"/>
      <w:marRight w:val="0"/>
      <w:marTop w:val="0"/>
      <w:marBottom w:val="0"/>
      <w:divBdr>
        <w:top w:val="none" w:sz="0" w:space="0" w:color="auto"/>
        <w:left w:val="none" w:sz="0" w:space="0" w:color="auto"/>
        <w:bottom w:val="none" w:sz="0" w:space="0" w:color="auto"/>
        <w:right w:val="none" w:sz="0" w:space="0" w:color="auto"/>
      </w:divBdr>
    </w:div>
    <w:div w:id="2013216005">
      <w:bodyDiv w:val="1"/>
      <w:marLeft w:val="0"/>
      <w:marRight w:val="0"/>
      <w:marTop w:val="0"/>
      <w:marBottom w:val="0"/>
      <w:divBdr>
        <w:top w:val="none" w:sz="0" w:space="0" w:color="auto"/>
        <w:left w:val="none" w:sz="0" w:space="0" w:color="auto"/>
        <w:bottom w:val="none" w:sz="0" w:space="0" w:color="auto"/>
        <w:right w:val="none" w:sz="0" w:space="0" w:color="auto"/>
      </w:divBdr>
    </w:div>
    <w:div w:id="2061243316">
      <w:bodyDiv w:val="1"/>
      <w:marLeft w:val="0"/>
      <w:marRight w:val="0"/>
      <w:marTop w:val="0"/>
      <w:marBottom w:val="0"/>
      <w:divBdr>
        <w:top w:val="none" w:sz="0" w:space="0" w:color="auto"/>
        <w:left w:val="none" w:sz="0" w:space="0" w:color="auto"/>
        <w:bottom w:val="none" w:sz="0" w:space="0" w:color="auto"/>
        <w:right w:val="none" w:sz="0" w:space="0" w:color="auto"/>
      </w:divBdr>
    </w:div>
    <w:div w:id="212310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VNSGNFSR001\Finance\AFMC\CBPF%20REPORTS\Database\BC%20Cong%20ty%20QLQ%20TT181\Database%20nam%202025%20CBPF.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b="1">
                <a:latin typeface="Times New Roman" panose="02020603050405020304" pitchFamily="18" charset="0"/>
                <a:cs typeface="Times New Roman" panose="02020603050405020304" pitchFamily="18" charset="0"/>
              </a:rPr>
              <a:t>NAV/CCQ</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spPr>
            <a:ln w="22225" cap="rnd" cmpd="sng" algn="ctr">
              <a:solidFill>
                <a:schemeClr val="accent1"/>
              </a:solidFill>
              <a:round/>
            </a:ln>
            <a:effectLst/>
          </c:spPr>
          <c:marker>
            <c:symbol val="none"/>
          </c:marker>
          <c:cat>
            <c:strRef>
              <c:f>'Chart NAV'!$B$2:$M$2</c:f>
              <c:strCache>
                <c:ptCount val="12"/>
                <c:pt idx="0">
                  <c:v>Tuần 1</c:v>
                </c:pt>
                <c:pt idx="1">
                  <c:v>Tuần 2</c:v>
                </c:pt>
                <c:pt idx="2">
                  <c:v>Tuần 3</c:v>
                </c:pt>
                <c:pt idx="3">
                  <c:v>Tuần 4</c:v>
                </c:pt>
                <c:pt idx="4">
                  <c:v>Tuần 5</c:v>
                </c:pt>
                <c:pt idx="5">
                  <c:v>Tuần 6</c:v>
                </c:pt>
                <c:pt idx="6">
                  <c:v>Tuần 7</c:v>
                </c:pt>
                <c:pt idx="7">
                  <c:v>Tuần 8</c:v>
                </c:pt>
                <c:pt idx="8">
                  <c:v>Tuần 9</c:v>
                </c:pt>
                <c:pt idx="9">
                  <c:v>Tuần 10</c:v>
                </c:pt>
                <c:pt idx="10">
                  <c:v>Tuần 11</c:v>
                </c:pt>
                <c:pt idx="11">
                  <c:v>Tuần 12</c:v>
                </c:pt>
              </c:strCache>
            </c:strRef>
          </c:cat>
          <c:val>
            <c:numRef>
              <c:f>'Chart NAV'!$B$3:$M$3</c:f>
              <c:numCache>
                <c:formatCode>_(* #,##0_);_(* \(#,##0\);_(* "-"??_);_(@_)</c:formatCode>
                <c:ptCount val="12"/>
                <c:pt idx="0">
                  <c:v>13146</c:v>
                </c:pt>
                <c:pt idx="1">
                  <c:v>13152.07</c:v>
                </c:pt>
                <c:pt idx="2">
                  <c:v>13162.61</c:v>
                </c:pt>
                <c:pt idx="3">
                  <c:v>13175.26</c:v>
                </c:pt>
                <c:pt idx="4">
                  <c:v>13205.49</c:v>
                </c:pt>
                <c:pt idx="5">
                  <c:v>13214.74</c:v>
                </c:pt>
                <c:pt idx="6">
                  <c:v>13226.93</c:v>
                </c:pt>
                <c:pt idx="7">
                  <c:v>13239.52</c:v>
                </c:pt>
                <c:pt idx="8">
                  <c:v>13251.78</c:v>
                </c:pt>
                <c:pt idx="9">
                  <c:v>13264.18</c:v>
                </c:pt>
                <c:pt idx="10">
                  <c:v>13263.37</c:v>
                </c:pt>
                <c:pt idx="11">
                  <c:v>13293.28</c:v>
                </c:pt>
              </c:numCache>
            </c:numRef>
          </c:val>
          <c:smooth val="0"/>
          <c:extLst>
            <c:ext xmlns:c16="http://schemas.microsoft.com/office/drawing/2014/chart" uri="{C3380CC4-5D6E-409C-BE32-E72D297353CC}">
              <c16:uniqueId val="{00000000-08BA-4840-8802-79B80B7B749A}"/>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967306720"/>
        <c:axId val="967316232"/>
      </c:lineChart>
      <c:catAx>
        <c:axId val="967306720"/>
        <c:scaling>
          <c:orientation val="minMax"/>
        </c:scaling>
        <c:delete val="0"/>
        <c:axPos val="b"/>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316232"/>
        <c:crosses val="autoZero"/>
        <c:auto val="0"/>
        <c:lblAlgn val="ctr"/>
        <c:lblOffset val="100"/>
        <c:tickLblSkip val="1"/>
        <c:tickMarkSkip val="2"/>
        <c:noMultiLvlLbl val="0"/>
      </c:catAx>
      <c:valAx>
        <c:axId val="967316232"/>
        <c:scaling>
          <c:orientation val="minMax"/>
        </c:scaling>
        <c:delete val="0"/>
        <c:axPos val="l"/>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30672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JedG+JGoep4fepEIRRyzZPLysyFL/5nu/uxiHiuahDk=</DigestValue>
    </Reference>
    <Reference Type="http://www.w3.org/2000/09/xmldsig#Object" URI="#idOfficeObject">
      <DigestMethod Algorithm="http://www.w3.org/2001/04/xmlenc#sha256"/>
      <DigestValue>cx2Hi2rNJYdbygAdNfWHnx+Tm6ZtKUVpTwK8o3FNzFY=</DigestValue>
    </Reference>
    <Reference Type="http://uri.etsi.org/01903#SignedProperties" URI="#idSignedProperties">
      <Transforms>
        <Transform Algorithm="http://www.w3.org/TR/2001/REC-xml-c14n-20010315"/>
      </Transforms>
      <DigestMethod Algorithm="http://www.w3.org/2001/04/xmlenc#sha256"/>
      <DigestValue>erww5uSvhtcv5FGJzfpMDb9DEn6EA1M/3m2bsY8hpSk=</DigestValue>
    </Reference>
  </SignedInfo>
  <SignatureValue>C47SY8zdibZw+IOuIgUNEgKZLtT5SJNOEBQL4mHl39nI6CNA84HhSkQquH1joULfy7muvL6I0xcQ
0kw1Re99Xtc7Q4NgpmEPqyL6lvpdX6ke3E6NInI9F2dBFjondK9uEQVNRDwj+D+XTfKPBWt3zNSK
zH93UA+5yrnKx8CT8wPg1jcgX8dhnzKp5Kk2awWKkc1hnv6lv7A/Wp0lBxsq2kLAoM7XgJZ6RxOc
9s1EbzK7hX+x7v39rEoOS1TeEmimZx4rdYch+NixUd01Z26ASNjP8tQKUO069XkHEEwQxfbCP4T9
vMLcBO0rD1PXgGI+1yxHmQgcKABbTVbt9S+rHw==</SignatureValue>
  <KeyInfo>
    <X509Data>
      <X509Certificate>MIIFeDCCBGCgAwIBAgIQVAEBAd31ZKiWoI8+Xt/DMzANBgkqhkiG9w0BAQsFADBcMQswCQYDVQQGEwJWTjEzMDEGA1UECgwqVklFVE5BTSBQT1NUUyBBTkQgVEVMRUNPTU1VTklDQVRJT05TIEdST1VQMRgwFgYDVQQDDA9WTlBULUNBIFNIQS0yNTYwHhcNMjQwNjEyMDExOTAwWhcNMjUwNzI4MTEwOTQ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mL88pwDGBC1nY35fXTvffbJX6x0sgwZYOxSRV7NTzE4=</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WyRSudeap+ZQn2LQlMFKyJ/NP9uhQjru4gArS/hLO8Q=</DigestValue>
      </Reference>
      <Reference URI="/word/charts/chart1.xml?ContentType=application/vnd.openxmlformats-officedocument.drawingml.chart+xml">
        <DigestMethod Algorithm="http://www.w3.org/2001/04/xmlenc#sha256"/>
        <DigestValue>oHUNEARJz6eZk5MJhA3k9fAk89KYIs/RaeDYK6TQO3U=</DigestValue>
      </Reference>
      <Reference URI="/word/charts/colors1.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8AUSMABVC3wmy2iiSD3Ga6X5Q1CFSIO/d0ROJNvx5jY=</DigestValue>
      </Reference>
      <Reference URI="/word/document.xml?ContentType=application/vnd.openxmlformats-officedocument.wordprocessingml.document.main+xml">
        <DigestMethod Algorithm="http://www.w3.org/2001/04/xmlenc#sha256"/>
        <DigestValue>CkVPZfKTHvtZJ0IqfYSxnl8kyoW7mDZVkXX1hRVAuss=</DigestValue>
      </Reference>
      <Reference URI="/word/endnotes.xml?ContentType=application/vnd.openxmlformats-officedocument.wordprocessingml.endnotes+xml">
        <DigestMethod Algorithm="http://www.w3.org/2001/04/xmlenc#sha256"/>
        <DigestValue>Kavx1aabTjZI/35ruoZAqkTJ1TGyECHlEWjPN6dV5YE=</DigestValue>
      </Reference>
      <Reference URI="/word/fontTable.xml?ContentType=application/vnd.openxmlformats-officedocument.wordprocessingml.fontTable+xml">
        <DigestMethod Algorithm="http://www.w3.org/2001/04/xmlenc#sha256"/>
        <DigestValue>ehCawtdpn58yt64xSLtfpTeuH5I4vQY/xfkc9oBmw10=</DigestValue>
      </Reference>
      <Reference URI="/word/footer1.xml?ContentType=application/vnd.openxmlformats-officedocument.wordprocessingml.footer+xml">
        <DigestMethod Algorithm="http://www.w3.org/2001/04/xmlenc#sha256"/>
        <DigestValue>isOusJh9OL9nAwPGlIeaHUt2tY/dE+2lDzC9NDOUjKo=</DigestValue>
      </Reference>
      <Reference URI="/word/footer2.xml?ContentType=application/vnd.openxmlformats-officedocument.wordprocessingml.footer+xml">
        <DigestMethod Algorithm="http://www.w3.org/2001/04/xmlenc#sha256"/>
        <DigestValue>NsUepqzkVL5o7YyGrhaMoqdBs6DsbTPKU2opCBWsN2M=</DigestValue>
      </Reference>
      <Reference URI="/word/footer3.xml?ContentType=application/vnd.openxmlformats-officedocument.wordprocessingml.footer+xml">
        <DigestMethod Algorithm="http://www.w3.org/2001/04/xmlenc#sha256"/>
        <DigestValue>JXR7Ox8YonoGJDcGsszJqkamu77r02So5IMWV62keAA=</DigestValue>
      </Reference>
      <Reference URI="/word/footnotes.xml?ContentType=application/vnd.openxmlformats-officedocument.wordprocessingml.footnotes+xml">
        <DigestMethod Algorithm="http://www.w3.org/2001/04/xmlenc#sha256"/>
        <DigestValue>kqLk2HgPwfg/lSuRh9pT3GqVFJfBn4TdDzqjcF3FUak=</DigestValue>
      </Reference>
      <Reference URI="/word/header1.xml?ContentType=application/vnd.openxmlformats-officedocument.wordprocessingml.header+xml">
        <DigestMethod Algorithm="http://www.w3.org/2001/04/xmlenc#sha256"/>
        <DigestValue>dDY4GKgzNpSPnXk5XHoMA9ZPykxyROzhr/1InvOmgEc=</DigestValue>
      </Reference>
      <Reference URI="/word/header2.xml?ContentType=application/vnd.openxmlformats-officedocument.wordprocessingml.header+xml">
        <DigestMethod Algorithm="http://www.w3.org/2001/04/xmlenc#sha256"/>
        <DigestValue>apSKwbS3tTw4mE7sJJLJR2atxvzSWN++XpMLiNModYU=</DigestValue>
      </Reference>
      <Reference URI="/word/header3.xml?ContentType=application/vnd.openxmlformats-officedocument.wordprocessingml.header+xml">
        <DigestMethod Algorithm="http://www.w3.org/2001/04/xmlenc#sha256"/>
        <DigestValue>fVOHB1Xd7f8o8L4333J8GbJASUlVnn3zjs2R13sfFaE=</DigestValue>
      </Reference>
      <Reference URI="/word/media/image1.png?ContentType=image/png">
        <DigestMethod Algorithm="http://www.w3.org/2001/04/xmlenc#sha256"/>
        <DigestValue>Co0TD77rSev8mX1HWYufUG3DiI9KTmJYafC2FKdUotg=</DigestValue>
      </Reference>
      <Reference URI="/word/media/image2.png?ContentType=image/png">
        <DigestMethod Algorithm="http://www.w3.org/2001/04/xmlenc#sha256"/>
        <DigestValue>N2g7BiBK+ntyaS0bN+1hBzxXPYrnVAat7py63iGO0y0=</DigestValue>
      </Reference>
      <Reference URI="/word/numbering.xml?ContentType=application/vnd.openxmlformats-officedocument.wordprocessingml.numbering+xml">
        <DigestMethod Algorithm="http://www.w3.org/2001/04/xmlenc#sha256"/>
        <DigestValue>uLRapdeGPF5bvdEgIrmbiQwQp6UxQhjHYn27PliuJME=</DigestValue>
      </Reference>
      <Reference URI="/word/settings.xml?ContentType=application/vnd.openxmlformats-officedocument.wordprocessingml.settings+xml">
        <DigestMethod Algorithm="http://www.w3.org/2001/04/xmlenc#sha256"/>
        <DigestValue>dhkYVLcbpZB6pBpOxIJKMhv0fdOScC6uv/rJRjx8xMY=</DigestValue>
      </Reference>
      <Reference URI="/word/styles.xml?ContentType=application/vnd.openxmlformats-officedocument.wordprocessingml.styles+xml">
        <DigestMethod Algorithm="http://www.w3.org/2001/04/xmlenc#sha256"/>
        <DigestValue>4yLAEzzi2azdgTc2O9278OyrWM6DWt0j+IknF1YYbHk=</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y6kvtRZGWDBjDZ2UMAzMHhtwOlwgK8gfhHWBcy0Dagk=</DigestValue>
      </Reference>
    </Manifest>
    <SignatureProperties>
      <SignatureProperty Id="idSignatureTime" Target="#idPackageSignature">
        <mdssi:SignatureTime xmlns:mdssi="http://schemas.openxmlformats.org/package/2006/digital-signature">
          <mdssi:Format>YYYY-MM-DDThh:mm:ssTZD</mdssi:Format>
          <mdssi:Value>2025-04-17T07:00:42Z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16.0.17928/26</OfficeVersion>
          <ApplicationVersion>16.0.17928</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2025-04-17T07:00:42Z</xd:SigningTime>
          <xd:SigningCertificate>
            <xd:Cert>
              <xd:CertDigest>
                <DigestMethod Algorithm="http://www.w3.org/2001/04/xmlenc#sha256"/>
                <DigestValue>I6W2lDPuD8U1UpG439moyNMIHpHRntIW+slt+35uSzU=</DigestValue>
              </xd:CertDigest>
              <xd:IssuerSerial>
                <X509IssuerName>CN=VNPT-CA SHA-256, O=VIETNAM POSTS AND TELECOMMUNICATIONS GROUP, C=VN</X509IssuerName>
                <X509SerialNumber>111660364373122083660361053384384430899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</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F020-E274-4FB6-803A-9B205899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12</Pages>
  <Words>3489</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Thanh Thuy - CFMC Vietnam</dc:creator>
  <cp:lastModifiedBy>Nguyen, Thi Bich Ngoc</cp:lastModifiedBy>
  <cp:revision>20</cp:revision>
  <cp:lastPrinted>2022-01-19T10:21:00Z</cp:lastPrinted>
  <dcterms:created xsi:type="dcterms:W3CDTF">2024-04-17T08:16:00Z</dcterms:created>
  <dcterms:modified xsi:type="dcterms:W3CDTF">2025-04-17T06:59:00Z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2021-04-15T02:16:22Z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98d88398-352a-4e9b-bd79-a7f441adb190</vt:lpwstr>
  </property>
  <property fmtid="{D5CDD505-2E9C-101B-9397-08002B2CF9AE}" pid="8" name="MSIP_Label_b279a5b4-1824-49e3-a612-20b3893cf696_ContentBits">
    <vt:lpwstr>0</vt:lpwstr>
  </property>
</Properties>
</file>