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AF69" w14:textId="77777777" w:rsidR="001C4468" w:rsidRPr="00845946" w:rsidRDefault="001C4468" w:rsidP="00406622">
      <w:pPr>
        <w:shd w:val="clear" w:color="auto" w:fill="FFFFFF"/>
        <w:tabs>
          <w:tab w:val="left" w:pos="27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QUẢN LÝ QUỸ</w:t>
      </w:r>
    </w:p>
    <w:p w14:paraId="0E96F330"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w:t>
      </w:r>
      <w:r w:rsidRPr="00845946">
        <w:rPr>
          <w:rFonts w:ascii="Times New Roman" w:hAnsi="Times New Roman"/>
          <w:b/>
          <w:i/>
          <w:sz w:val="24"/>
          <w:szCs w:val="24"/>
          <w:lang w:val="nl-NL"/>
        </w:rPr>
        <w:t>Ban hành kèm theo Thông tư số 181/2015/TT-BTC ngày 13 tháng 11 năm 2015 của Bộ Tài chính)</w:t>
      </w:r>
    </w:p>
    <w:p w14:paraId="4FFC3A13" w14:textId="77777777" w:rsidR="00C17D8E" w:rsidRPr="00845946" w:rsidRDefault="00C17D8E" w:rsidP="00FF0C62">
      <w:pPr>
        <w:shd w:val="clear" w:color="auto" w:fill="FFFFFF"/>
        <w:tabs>
          <w:tab w:val="left" w:pos="540"/>
        </w:tabs>
        <w:spacing w:before="120" w:after="0" w:line="240" w:lineRule="auto"/>
        <w:jc w:val="center"/>
        <w:rPr>
          <w:rFonts w:ascii="Times New Roman" w:hAnsi="Times New Roman"/>
          <w:b/>
          <w:sz w:val="24"/>
          <w:szCs w:val="24"/>
          <w:lang w:val="nl-NL"/>
        </w:rPr>
      </w:pPr>
      <w:r w:rsidRPr="00845946">
        <w:rPr>
          <w:rFonts w:ascii="Times New Roman" w:hAnsi="Times New Roman"/>
          <w:b/>
          <w:sz w:val="24"/>
          <w:szCs w:val="24"/>
          <w:lang w:val="nl-NL"/>
        </w:rPr>
        <w:t>BÁO CÁO CỦA CÔNG TY TNHH MTV QUẢN LÝ QUỸ CHUBB LIFE</w:t>
      </w:r>
    </w:p>
    <w:p w14:paraId="1A4CC93D" w14:textId="69FB5908" w:rsidR="00C17D8E" w:rsidRPr="00845946" w:rsidRDefault="00C17D8E" w:rsidP="008A4832">
      <w:pPr>
        <w:shd w:val="clear" w:color="auto" w:fill="FFFFFF"/>
        <w:tabs>
          <w:tab w:val="left" w:pos="540"/>
        </w:tabs>
        <w:spacing w:before="120" w:after="240" w:line="240" w:lineRule="auto"/>
        <w:jc w:val="center"/>
        <w:rPr>
          <w:rFonts w:ascii="Times New Roman" w:hAnsi="Times New Roman"/>
          <w:b/>
          <w:i/>
          <w:sz w:val="24"/>
          <w:szCs w:val="24"/>
          <w:lang w:val="nl-NL"/>
        </w:rPr>
      </w:pPr>
      <w:r w:rsidRPr="00845946">
        <w:rPr>
          <w:rFonts w:ascii="Times New Roman" w:hAnsi="Times New Roman"/>
          <w:b/>
          <w:i/>
          <w:sz w:val="24"/>
          <w:szCs w:val="24"/>
          <w:lang w:val="nl-NL"/>
        </w:rPr>
        <w:t>(</w:t>
      </w:r>
      <w:r w:rsidR="0009242D" w:rsidRPr="00845946">
        <w:rPr>
          <w:rFonts w:ascii="Times New Roman" w:hAnsi="Times New Roman"/>
          <w:b/>
          <w:i/>
          <w:sz w:val="24"/>
          <w:szCs w:val="24"/>
          <w:lang w:val="nl-NL"/>
        </w:rPr>
        <w:t xml:space="preserve">Quý </w:t>
      </w:r>
      <w:r w:rsidR="00BE0D4A">
        <w:rPr>
          <w:rFonts w:ascii="Times New Roman" w:hAnsi="Times New Roman"/>
          <w:b/>
          <w:i/>
          <w:sz w:val="24"/>
          <w:szCs w:val="24"/>
          <w:lang w:val="nl-NL"/>
        </w:rPr>
        <w:t>4</w:t>
      </w:r>
      <w:r w:rsidR="002D54C8" w:rsidRPr="00845946">
        <w:rPr>
          <w:rFonts w:ascii="Times New Roman" w:hAnsi="Times New Roman"/>
          <w:b/>
          <w:i/>
          <w:sz w:val="24"/>
          <w:szCs w:val="24"/>
          <w:lang w:val="nl-NL"/>
        </w:rPr>
        <w:t>/202</w:t>
      </w:r>
      <w:r w:rsidR="00EB7D41" w:rsidRPr="00845946">
        <w:rPr>
          <w:rFonts w:ascii="Times New Roman" w:hAnsi="Times New Roman"/>
          <w:b/>
          <w:i/>
          <w:sz w:val="24"/>
          <w:szCs w:val="24"/>
          <w:lang w:val="nl-NL"/>
        </w:rPr>
        <w:t>4</w:t>
      </w:r>
      <w:r w:rsidRPr="00845946">
        <w:rPr>
          <w:rFonts w:ascii="Times New Roman" w:hAnsi="Times New Roman"/>
          <w:b/>
          <w:i/>
          <w:sz w:val="24"/>
          <w:szCs w:val="24"/>
          <w:lang w:val="nl-NL"/>
        </w:rPr>
        <w:t>)</w:t>
      </w:r>
    </w:p>
    <w:p w14:paraId="0ED0F6F0" w14:textId="77777777" w:rsidR="001C4468" w:rsidRPr="00845946"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845946">
        <w:rPr>
          <w:rFonts w:ascii="Times New Roman" w:hAnsi="Times New Roman"/>
          <w:b/>
          <w:sz w:val="24"/>
          <w:szCs w:val="24"/>
          <w:lang w:val="nl-NL"/>
        </w:rPr>
        <w:t>T</w:t>
      </w:r>
      <w:r w:rsidR="00D86A2D" w:rsidRPr="00845946">
        <w:rPr>
          <w:rFonts w:ascii="Times New Roman" w:hAnsi="Times New Roman"/>
          <w:b/>
          <w:sz w:val="24"/>
          <w:szCs w:val="24"/>
          <w:lang w:val="nl-NL"/>
        </w:rPr>
        <w:t>HÔNG TIN CHUNG VỀ QUỸ</w:t>
      </w:r>
    </w:p>
    <w:p w14:paraId="019E1D7F" w14:textId="77777777" w:rsidR="00C17D8E" w:rsidRPr="00845946"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 xml:space="preserve">Tên quỹ: </w:t>
      </w:r>
      <w:r w:rsidRPr="00845946">
        <w:rPr>
          <w:rFonts w:ascii="Times New Roman" w:eastAsia="Times New Roman" w:hAnsi="Times New Roman"/>
          <w:b/>
          <w:bCs/>
          <w:color w:val="000000"/>
          <w:sz w:val="24"/>
          <w:szCs w:val="24"/>
          <w:lang w:val="nl-NL" w:eastAsia="en-SG"/>
        </w:rPr>
        <w:t>Quỹ Đầu tư Trái phiếu Mở rộng Chubb</w:t>
      </w:r>
    </w:p>
    <w:p w14:paraId="29DE4F7B" w14:textId="77777777" w:rsidR="00C17D8E" w:rsidRPr="00845946"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845946">
        <w:rPr>
          <w:rFonts w:ascii="Times New Roman" w:eastAsia="Times New Roman" w:hAnsi="Times New Roman"/>
          <w:bCs/>
          <w:color w:val="000000"/>
          <w:sz w:val="24"/>
          <w:szCs w:val="24"/>
          <w:lang w:val="nl-NL" w:eastAsia="en-SG"/>
        </w:rPr>
        <w:t xml:space="preserve"> </w:t>
      </w:r>
      <w:r w:rsidR="00C17D8E" w:rsidRPr="00845946">
        <w:rPr>
          <w:rFonts w:ascii="Times New Roman" w:eastAsia="Times New Roman" w:hAnsi="Times New Roman"/>
          <w:bCs/>
          <w:color w:val="000000"/>
          <w:sz w:val="24"/>
          <w:szCs w:val="24"/>
          <w:lang w:val="nl-NL" w:eastAsia="en-SG"/>
        </w:rPr>
        <w:t xml:space="preserve">Loại hình quỹ: </w:t>
      </w:r>
      <w:r w:rsidR="00C17D8E" w:rsidRPr="00845946">
        <w:rPr>
          <w:rFonts w:ascii="Times New Roman" w:eastAsia="Times New Roman" w:hAnsi="Times New Roman"/>
          <w:b/>
          <w:bCs/>
          <w:color w:val="000000"/>
          <w:sz w:val="24"/>
          <w:szCs w:val="24"/>
          <w:lang w:val="nl-NL" w:eastAsia="en-SG"/>
        </w:rPr>
        <w:t>Quỹ mở</w:t>
      </w:r>
    </w:p>
    <w:p w14:paraId="509BD9F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Mục tiêu của Quỹ:</w:t>
      </w:r>
    </w:p>
    <w:p w14:paraId="06055ACB" w14:textId="77777777" w:rsidR="00C17D8E" w:rsidRPr="00845946" w:rsidRDefault="00967897" w:rsidP="00B3750F">
      <w:pPr>
        <w:shd w:val="clear" w:color="auto" w:fill="FFFFFF"/>
        <w:tabs>
          <w:tab w:val="left" w:pos="540"/>
        </w:tabs>
        <w:spacing w:before="120" w:after="0" w:line="240" w:lineRule="auto"/>
        <w:jc w:val="both"/>
        <w:rPr>
          <w:rFonts w:ascii="Times New Roman" w:eastAsia="Times New Roman" w:hAnsi="Times New Roman"/>
          <w:bCs/>
          <w:color w:val="000000"/>
          <w:sz w:val="24"/>
          <w:szCs w:val="24"/>
          <w:lang w:val="nl-NL" w:eastAsia="en-SG"/>
        </w:rPr>
      </w:pPr>
      <w:r w:rsidRPr="00845946">
        <w:rPr>
          <w:rFonts w:ascii="Times New Roman" w:eastAsia="Times New Roman" w:hAnsi="Times New Roman"/>
          <w:bCs/>
          <w:color w:val="000000"/>
          <w:sz w:val="24"/>
          <w:szCs w:val="24"/>
          <w:lang w:val="nl-NL" w:eastAsia="en-SG"/>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845946">
        <w:rPr>
          <w:rFonts w:ascii="Times New Roman" w:eastAsia="Times New Roman" w:hAnsi="Times New Roman"/>
          <w:bCs/>
          <w:color w:val="000000"/>
          <w:sz w:val="24"/>
          <w:szCs w:val="24"/>
          <w:lang w:val="nl-NL" w:eastAsia="en-SG"/>
        </w:rPr>
        <w:t xml:space="preserve">. </w:t>
      </w:r>
    </w:p>
    <w:p w14:paraId="1678E42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Hiệu quả hoạt động của Quỹ:</w:t>
      </w:r>
    </w:p>
    <w:tbl>
      <w:tblPr>
        <w:tblW w:w="7349" w:type="dxa"/>
        <w:jc w:val="center"/>
        <w:tblLook w:val="04A0" w:firstRow="1" w:lastRow="0" w:firstColumn="1" w:lastColumn="0" w:noHBand="0" w:noVBand="1"/>
      </w:tblPr>
      <w:tblGrid>
        <w:gridCol w:w="3787"/>
        <w:gridCol w:w="3562"/>
      </w:tblGrid>
      <w:tr w:rsidR="009860B3" w:rsidRPr="00845946" w14:paraId="0A641D04" w14:textId="77777777" w:rsidTr="00ED7937">
        <w:trPr>
          <w:trHeight w:val="677"/>
          <w:jc w:val="center"/>
        </w:trPr>
        <w:tc>
          <w:tcPr>
            <w:tcW w:w="3787"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6D688A9" w14:textId="015840DD"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075853">
              <w:rPr>
                <w:rFonts w:ascii="Times New Roman" w:eastAsia="Times New Roman" w:hAnsi="Times New Roman"/>
                <w:bCs/>
                <w:color w:val="000000"/>
                <w:sz w:val="24"/>
                <w:szCs w:val="24"/>
                <w:lang w:val="en-SG" w:eastAsia="en-SG"/>
              </w:rPr>
              <w:t>31/12/2023</w:t>
            </w:r>
            <w:r w:rsidRPr="00845946">
              <w:rPr>
                <w:rFonts w:ascii="Times New Roman" w:eastAsia="Times New Roman" w:hAnsi="Times New Roman"/>
                <w:bCs/>
                <w:color w:val="000000"/>
                <w:sz w:val="24"/>
                <w:szCs w:val="24"/>
                <w:lang w:val="en-SG" w:eastAsia="en-SG"/>
              </w:rPr>
              <w:t xml:space="preserve"> (VNĐ)</w:t>
            </w:r>
          </w:p>
        </w:tc>
        <w:tc>
          <w:tcPr>
            <w:tcW w:w="3562" w:type="dxa"/>
            <w:tcBorders>
              <w:top w:val="single" w:sz="4" w:space="0" w:color="auto"/>
              <w:left w:val="nil"/>
              <w:bottom w:val="single" w:sz="4" w:space="0" w:color="auto"/>
              <w:right w:val="single" w:sz="4" w:space="0" w:color="auto"/>
            </w:tcBorders>
            <w:shd w:val="clear" w:color="000000" w:fill="DCE6F1"/>
            <w:vAlign w:val="center"/>
            <w:hideMark/>
          </w:tcPr>
          <w:p w14:paraId="5F458DF7" w14:textId="3EF78F5E" w:rsidR="009860B3" w:rsidRPr="00845946" w:rsidRDefault="009860B3" w:rsidP="009860B3">
            <w:pPr>
              <w:spacing w:after="0" w:line="240" w:lineRule="auto"/>
              <w:jc w:val="center"/>
              <w:rPr>
                <w:rFonts w:ascii="Times New Roman" w:eastAsia="Times New Roman" w:hAnsi="Times New Roman"/>
                <w:bCs/>
                <w:color w:val="000000"/>
                <w:sz w:val="24"/>
                <w:szCs w:val="24"/>
                <w:lang w:val="en-SG" w:eastAsia="en-SG"/>
              </w:rPr>
            </w:pPr>
            <w:r w:rsidRPr="00845946">
              <w:rPr>
                <w:rFonts w:ascii="Times New Roman" w:eastAsia="Times New Roman" w:hAnsi="Times New Roman"/>
                <w:bCs/>
                <w:color w:val="000000"/>
                <w:sz w:val="24"/>
                <w:szCs w:val="24"/>
                <w:lang w:val="en-SG" w:eastAsia="en-SG"/>
              </w:rPr>
              <w:t xml:space="preserve">NAV </w:t>
            </w:r>
            <w:proofErr w:type="spellStart"/>
            <w:r w:rsidRPr="00845946">
              <w:rPr>
                <w:rFonts w:ascii="Times New Roman" w:eastAsia="Times New Roman" w:hAnsi="Times New Roman"/>
                <w:bCs/>
                <w:color w:val="000000"/>
                <w:sz w:val="24"/>
                <w:szCs w:val="24"/>
                <w:lang w:val="en-SG" w:eastAsia="en-SG"/>
              </w:rPr>
              <w:t>ngày</w:t>
            </w:r>
            <w:proofErr w:type="spellEnd"/>
            <w:r w:rsidRPr="00845946">
              <w:rPr>
                <w:rFonts w:ascii="Times New Roman" w:eastAsia="Times New Roman" w:hAnsi="Times New Roman"/>
                <w:bCs/>
                <w:color w:val="000000"/>
                <w:sz w:val="24"/>
                <w:szCs w:val="24"/>
                <w:lang w:val="en-SG" w:eastAsia="en-SG"/>
              </w:rPr>
              <w:t xml:space="preserve"> </w:t>
            </w:r>
            <w:r w:rsidR="00075853">
              <w:rPr>
                <w:rFonts w:ascii="Times New Roman" w:eastAsia="Times New Roman" w:hAnsi="Times New Roman"/>
                <w:bCs/>
                <w:color w:val="000000"/>
                <w:sz w:val="24"/>
                <w:szCs w:val="24"/>
                <w:lang w:val="en-SG" w:eastAsia="en-SG"/>
              </w:rPr>
              <w:t>31/12</w:t>
            </w:r>
            <w:r w:rsidR="002D6606" w:rsidRPr="00845946">
              <w:rPr>
                <w:rFonts w:ascii="Times New Roman" w:eastAsia="Times New Roman" w:hAnsi="Times New Roman"/>
                <w:bCs/>
                <w:color w:val="000000"/>
                <w:sz w:val="24"/>
                <w:szCs w:val="24"/>
                <w:lang w:val="en-SG" w:eastAsia="en-SG"/>
              </w:rPr>
              <w:t>/202</w:t>
            </w:r>
            <w:r w:rsidR="00EB7D41" w:rsidRPr="00845946">
              <w:rPr>
                <w:rFonts w:ascii="Times New Roman" w:eastAsia="Times New Roman" w:hAnsi="Times New Roman"/>
                <w:bCs/>
                <w:color w:val="000000"/>
                <w:sz w:val="24"/>
                <w:szCs w:val="24"/>
                <w:lang w:val="en-SG" w:eastAsia="en-SG"/>
              </w:rPr>
              <w:t>4</w:t>
            </w:r>
            <w:r w:rsidRPr="00845946">
              <w:rPr>
                <w:rFonts w:ascii="Times New Roman" w:eastAsia="Times New Roman" w:hAnsi="Times New Roman"/>
                <w:bCs/>
                <w:color w:val="000000"/>
                <w:sz w:val="24"/>
                <w:szCs w:val="24"/>
                <w:lang w:val="en-SG" w:eastAsia="en-SG"/>
              </w:rPr>
              <w:t xml:space="preserve"> (VNĐ)</w:t>
            </w:r>
          </w:p>
        </w:tc>
      </w:tr>
      <w:tr w:rsidR="009860B3" w:rsidRPr="00845946" w14:paraId="49BCADE4" w14:textId="77777777" w:rsidTr="003271F8">
        <w:trPr>
          <w:trHeight w:val="503"/>
          <w:jc w:val="center"/>
        </w:trPr>
        <w:tc>
          <w:tcPr>
            <w:tcW w:w="3787" w:type="dxa"/>
            <w:tcBorders>
              <w:top w:val="nil"/>
              <w:left w:val="single" w:sz="4" w:space="0" w:color="auto"/>
              <w:bottom w:val="single" w:sz="4" w:space="0" w:color="auto"/>
              <w:right w:val="single" w:sz="4" w:space="0" w:color="auto"/>
            </w:tcBorders>
            <w:shd w:val="clear" w:color="000000" w:fill="DCE6F1"/>
            <w:noWrap/>
            <w:vAlign w:val="center"/>
          </w:tcPr>
          <w:p w14:paraId="3DB9E597" w14:textId="77BB5667" w:rsidR="009860B3" w:rsidRPr="00845946" w:rsidRDefault="00075853" w:rsidP="003271F8">
            <w:pPr>
              <w:spacing w:after="0" w:line="240" w:lineRule="auto"/>
              <w:jc w:val="center"/>
              <w:rPr>
                <w:rFonts w:ascii="Times New Roman" w:eastAsia="Times New Roman" w:hAnsi="Times New Roman"/>
                <w:bCs/>
                <w:color w:val="000000"/>
                <w:sz w:val="24"/>
                <w:szCs w:val="24"/>
                <w:lang w:val="en-SG" w:eastAsia="en-SG"/>
              </w:rPr>
            </w:pPr>
            <w:r w:rsidRPr="00075853">
              <w:rPr>
                <w:rFonts w:ascii="Times New Roman" w:eastAsia="Times New Roman" w:hAnsi="Times New Roman"/>
                <w:bCs/>
                <w:color w:val="000000"/>
                <w:sz w:val="24"/>
                <w:szCs w:val="24"/>
                <w:lang w:val="en-SG" w:eastAsia="en-SG"/>
              </w:rPr>
              <w:t>124</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297</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101</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376</w:t>
            </w:r>
          </w:p>
        </w:tc>
        <w:tc>
          <w:tcPr>
            <w:tcW w:w="3562" w:type="dxa"/>
            <w:tcBorders>
              <w:top w:val="nil"/>
              <w:left w:val="nil"/>
              <w:bottom w:val="single" w:sz="4" w:space="0" w:color="auto"/>
              <w:right w:val="single" w:sz="4" w:space="0" w:color="auto"/>
            </w:tcBorders>
            <w:shd w:val="clear" w:color="000000" w:fill="DCE6F1"/>
            <w:noWrap/>
            <w:vAlign w:val="center"/>
          </w:tcPr>
          <w:p w14:paraId="1FA9A21B" w14:textId="40CA8B1C" w:rsidR="009860B3" w:rsidRPr="00845946" w:rsidRDefault="00075853" w:rsidP="001C68EF">
            <w:pPr>
              <w:spacing w:after="0" w:line="240" w:lineRule="auto"/>
              <w:jc w:val="center"/>
              <w:rPr>
                <w:rFonts w:ascii="Times New Roman" w:eastAsia="Times New Roman" w:hAnsi="Times New Roman"/>
                <w:bCs/>
                <w:color w:val="000000"/>
                <w:sz w:val="24"/>
                <w:szCs w:val="24"/>
                <w:lang w:val="en-SG" w:eastAsia="en-SG"/>
              </w:rPr>
            </w:pPr>
            <w:r w:rsidRPr="00075853">
              <w:rPr>
                <w:rFonts w:ascii="Times New Roman" w:eastAsia="Times New Roman" w:hAnsi="Times New Roman"/>
                <w:bCs/>
                <w:color w:val="000000"/>
                <w:sz w:val="24"/>
                <w:szCs w:val="24"/>
                <w:lang w:val="en-SG" w:eastAsia="en-SG"/>
              </w:rPr>
              <w:t>131</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341</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075853">
              <w:rPr>
                <w:rFonts w:ascii="Times New Roman" w:eastAsia="Times New Roman" w:hAnsi="Times New Roman"/>
                <w:bCs/>
                <w:color w:val="000000"/>
                <w:sz w:val="24"/>
                <w:szCs w:val="24"/>
                <w:lang w:val="en-SG" w:eastAsia="en-SG"/>
              </w:rPr>
              <w:t>853</w:t>
            </w:r>
          </w:p>
        </w:tc>
      </w:tr>
    </w:tbl>
    <w:p w14:paraId="6667D3A0" w14:textId="31968691"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Tính đến kỳ báo cáo, giá trị tài sản ròng (NAV) của Quỹ tăng </w:t>
      </w:r>
      <w:r w:rsidR="008D0026">
        <w:rPr>
          <w:rFonts w:ascii="Times New Roman" w:hAnsi="Times New Roman"/>
          <w:sz w:val="24"/>
          <w:szCs w:val="24"/>
          <w:lang w:val="nl-NL"/>
        </w:rPr>
        <w:t>5,</w:t>
      </w:r>
      <w:r w:rsidR="00075853">
        <w:rPr>
          <w:rFonts w:ascii="Times New Roman" w:hAnsi="Times New Roman"/>
          <w:sz w:val="24"/>
          <w:szCs w:val="24"/>
          <w:lang w:val="nl-NL"/>
        </w:rPr>
        <w:t>67</w:t>
      </w:r>
      <w:r w:rsidRPr="00845946">
        <w:rPr>
          <w:rFonts w:ascii="Times New Roman" w:hAnsi="Times New Roman"/>
          <w:sz w:val="24"/>
          <w:szCs w:val="24"/>
          <w:lang w:val="nl-NL"/>
        </w:rPr>
        <w:t xml:space="preserve">% so với giá trị tài sản ròng (NAV) của Quỹ </w:t>
      </w:r>
      <w:r w:rsidR="00F549BA" w:rsidRPr="00845946">
        <w:rPr>
          <w:rFonts w:ascii="Times New Roman" w:hAnsi="Times New Roman"/>
          <w:sz w:val="24"/>
          <w:szCs w:val="24"/>
          <w:lang w:val="nl-NL"/>
        </w:rPr>
        <w:t>cùng kỳ năm trước</w:t>
      </w:r>
      <w:r w:rsidRPr="00845946">
        <w:rPr>
          <w:rFonts w:ascii="Times New Roman" w:hAnsi="Times New Roman"/>
          <w:sz w:val="24"/>
          <w:szCs w:val="24"/>
          <w:lang w:val="nl-NL"/>
        </w:rPr>
        <w:t>.</w:t>
      </w:r>
    </w:p>
    <w:p w14:paraId="382E8C20"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và chiến lược đầu tư của Quỹ:</w:t>
      </w:r>
    </w:p>
    <w:p w14:paraId="6CC269C9" w14:textId="77777777" w:rsidR="009B0E7F" w:rsidRPr="00845946" w:rsidRDefault="009B0E7F" w:rsidP="009B0E7F">
      <w:pPr>
        <w:widowControl w:val="0"/>
        <w:spacing w:before="120" w:after="120"/>
        <w:jc w:val="both"/>
        <w:rPr>
          <w:rFonts w:ascii="Times New Roman" w:hAnsi="Times New Roman"/>
          <w:sz w:val="24"/>
          <w:szCs w:val="24"/>
          <w:lang w:val="nl-NL"/>
        </w:rPr>
      </w:pPr>
      <w:r w:rsidRPr="00845946">
        <w:rPr>
          <w:rFonts w:ascii="Times New Roman" w:hAnsi="Times New Roman"/>
          <w:sz w:val="24"/>
          <w:szCs w:val="24"/>
          <w:lang w:val="nl-NL"/>
        </w:rPr>
        <w:t xml:space="preserve">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 </w:t>
      </w:r>
    </w:p>
    <w:p w14:paraId="79612CC4" w14:textId="77777777" w:rsidR="00C17D8E" w:rsidRPr="00845946" w:rsidRDefault="009B0E7F" w:rsidP="009B0E7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r w:rsidR="009C342F" w:rsidRPr="00845946">
        <w:rPr>
          <w:rFonts w:ascii="Times New Roman" w:hAnsi="Times New Roman"/>
          <w:sz w:val="24"/>
          <w:szCs w:val="24"/>
          <w:lang w:val="nl-NL"/>
        </w:rPr>
        <w:t>.</w:t>
      </w:r>
    </w:p>
    <w:p w14:paraId="1FFF5903"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Phân loại Quỹ:</w:t>
      </w:r>
    </w:p>
    <w:p w14:paraId="22067AAB" w14:textId="1CA95E8F" w:rsidR="00C17D8E" w:rsidRPr="00845946"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14:paraId="289D5C2F" w14:textId="340016B3" w:rsidR="0009242D" w:rsidRPr="00845946" w:rsidRDefault="0009242D" w:rsidP="00B3750F">
      <w:pPr>
        <w:shd w:val="clear" w:color="auto" w:fill="FFFFFF"/>
        <w:tabs>
          <w:tab w:val="left" w:pos="540"/>
        </w:tabs>
        <w:spacing w:before="120" w:after="0" w:line="240" w:lineRule="auto"/>
        <w:jc w:val="both"/>
        <w:rPr>
          <w:rFonts w:ascii="Times New Roman" w:hAnsi="Times New Roman"/>
          <w:sz w:val="24"/>
          <w:szCs w:val="24"/>
          <w:lang w:val="nl-NL"/>
        </w:rPr>
      </w:pPr>
    </w:p>
    <w:p w14:paraId="0273A2EE" w14:textId="77777777" w:rsidR="00D6273E" w:rsidRPr="00845946" w:rsidRDefault="00D6273E" w:rsidP="00B3750F">
      <w:pPr>
        <w:shd w:val="clear" w:color="auto" w:fill="FFFFFF"/>
        <w:tabs>
          <w:tab w:val="left" w:pos="540"/>
        </w:tabs>
        <w:spacing w:before="120" w:after="0" w:line="240" w:lineRule="auto"/>
        <w:jc w:val="both"/>
        <w:rPr>
          <w:rFonts w:ascii="Times New Roman" w:hAnsi="Times New Roman"/>
          <w:sz w:val="24"/>
          <w:szCs w:val="24"/>
          <w:lang w:val="nl-NL"/>
        </w:rPr>
      </w:pPr>
    </w:p>
    <w:p w14:paraId="6D9CBCE6"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Thời gian khuyến cáo đầu tư của Quỹ:</w:t>
      </w:r>
    </w:p>
    <w:p w14:paraId="3107A809"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không bị giới hạn về thời hạn hoạt động.</w:t>
      </w:r>
    </w:p>
    <w:p w14:paraId="0DC62B14"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Mức độ rủi ro ngắn hạn (thấp, trung bình, cao):</w:t>
      </w:r>
    </w:p>
    <w:p w14:paraId="066F4E86"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có mức độ rủi ro ngắn hạn t</w:t>
      </w:r>
      <w:r w:rsidR="00D506DC" w:rsidRPr="00845946">
        <w:rPr>
          <w:rFonts w:ascii="Times New Roman" w:hAnsi="Times New Roman"/>
          <w:sz w:val="24"/>
          <w:szCs w:val="24"/>
          <w:lang w:val="nl-NL"/>
        </w:rPr>
        <w:t>hấp</w:t>
      </w:r>
      <w:r w:rsidRPr="00845946">
        <w:rPr>
          <w:rFonts w:ascii="Times New Roman" w:hAnsi="Times New Roman"/>
          <w:sz w:val="24"/>
          <w:szCs w:val="24"/>
          <w:lang w:val="nl-NL"/>
        </w:rPr>
        <w:t>.</w:t>
      </w:r>
    </w:p>
    <w:p w14:paraId="77241D41"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Thời điểm bắt đầu hoạt động của Quỹ:</w:t>
      </w:r>
    </w:p>
    <w:p w14:paraId="3F8337C1" w14:textId="77777777"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bắt đầu hoạt động từ ngày 03/04/2019.</w:t>
      </w:r>
    </w:p>
    <w:p w14:paraId="27FECBBE" w14:textId="77777777" w:rsidR="001C4468" w:rsidRPr="00845946"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845946">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845946" w14:paraId="78EEBDA3" w14:textId="77777777"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4DB0FB0"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14:paraId="12F5C0B6" w14:textId="0CB4771C" w:rsidR="009C5C88" w:rsidRPr="00845946" w:rsidRDefault="00075853" w:rsidP="00AE2EB4">
            <w:pPr>
              <w:spacing w:after="0" w:line="240" w:lineRule="auto"/>
              <w:jc w:val="center"/>
              <w:rPr>
                <w:rFonts w:ascii="Times New Roman" w:hAnsi="Times New Roman"/>
                <w:sz w:val="24"/>
                <w:szCs w:val="24"/>
                <w:lang w:val="nl-NL"/>
              </w:rPr>
            </w:pPr>
            <w:r w:rsidRPr="00075853">
              <w:rPr>
                <w:rFonts w:ascii="Times New Roman" w:hAnsi="Times New Roman"/>
                <w:sz w:val="24"/>
                <w:szCs w:val="24"/>
                <w:lang w:val="nl-NL"/>
              </w:rPr>
              <w:t>99</w:t>
            </w:r>
            <w:r>
              <w:rPr>
                <w:rFonts w:ascii="Times New Roman" w:hAnsi="Times New Roman"/>
                <w:sz w:val="24"/>
                <w:szCs w:val="24"/>
                <w:lang w:val="nl-NL"/>
              </w:rPr>
              <w:t>.</w:t>
            </w:r>
            <w:r w:rsidRPr="00075853">
              <w:rPr>
                <w:rFonts w:ascii="Times New Roman" w:hAnsi="Times New Roman"/>
                <w:sz w:val="24"/>
                <w:szCs w:val="24"/>
                <w:lang w:val="nl-NL"/>
              </w:rPr>
              <w:t>921</w:t>
            </w:r>
            <w:r>
              <w:rPr>
                <w:rFonts w:ascii="Times New Roman" w:hAnsi="Times New Roman"/>
                <w:sz w:val="24"/>
                <w:szCs w:val="24"/>
                <w:lang w:val="nl-NL"/>
              </w:rPr>
              <w:t>.</w:t>
            </w:r>
            <w:r w:rsidRPr="00075853">
              <w:rPr>
                <w:rFonts w:ascii="Times New Roman" w:hAnsi="Times New Roman"/>
                <w:sz w:val="24"/>
                <w:szCs w:val="24"/>
                <w:lang w:val="nl-NL"/>
              </w:rPr>
              <w:t>769</w:t>
            </w:r>
            <w:r>
              <w:rPr>
                <w:rFonts w:ascii="Times New Roman" w:hAnsi="Times New Roman"/>
                <w:sz w:val="24"/>
                <w:szCs w:val="24"/>
                <w:lang w:val="nl-NL"/>
              </w:rPr>
              <w:t>.</w:t>
            </w:r>
            <w:r w:rsidRPr="00075853">
              <w:rPr>
                <w:rFonts w:ascii="Times New Roman" w:hAnsi="Times New Roman"/>
                <w:sz w:val="24"/>
                <w:szCs w:val="24"/>
                <w:lang w:val="nl-NL"/>
              </w:rPr>
              <w:t>900</w:t>
            </w:r>
          </w:p>
        </w:tc>
      </w:tr>
      <w:tr w:rsidR="009C5C88" w:rsidRPr="00845946" w14:paraId="7E368697" w14:textId="77777777"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14:paraId="79EE06E7" w14:textId="77777777" w:rsidR="009C5C88" w:rsidRPr="00845946" w:rsidRDefault="009C5C88" w:rsidP="00B3750F">
            <w:pPr>
              <w:spacing w:after="0" w:line="240" w:lineRule="auto"/>
              <w:jc w:val="both"/>
              <w:rPr>
                <w:rFonts w:ascii="Times New Roman" w:hAnsi="Times New Roman"/>
                <w:sz w:val="24"/>
                <w:szCs w:val="24"/>
                <w:lang w:val="nl-NL"/>
              </w:rPr>
            </w:pPr>
            <w:r w:rsidRPr="00845946">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14:paraId="3B8BD350" w14:textId="6D371C29" w:rsidR="009C5C88" w:rsidRPr="00845946" w:rsidRDefault="00075853" w:rsidP="00AE2EB4">
            <w:pPr>
              <w:spacing w:after="0" w:line="240" w:lineRule="auto"/>
              <w:jc w:val="center"/>
              <w:rPr>
                <w:rFonts w:ascii="Times New Roman" w:hAnsi="Times New Roman"/>
                <w:sz w:val="24"/>
                <w:szCs w:val="24"/>
                <w:lang w:val="nl-NL"/>
              </w:rPr>
            </w:pPr>
            <w:r w:rsidRPr="00075853">
              <w:rPr>
                <w:rFonts w:ascii="Times New Roman" w:hAnsi="Times New Roman"/>
                <w:sz w:val="24"/>
                <w:szCs w:val="24"/>
                <w:lang w:val="nl-NL"/>
              </w:rPr>
              <w:t>9</w:t>
            </w:r>
            <w:r>
              <w:rPr>
                <w:rFonts w:ascii="Times New Roman" w:hAnsi="Times New Roman"/>
                <w:sz w:val="24"/>
                <w:szCs w:val="24"/>
                <w:lang w:val="nl-NL"/>
              </w:rPr>
              <w:t>.</w:t>
            </w:r>
            <w:r w:rsidRPr="00075853">
              <w:rPr>
                <w:rFonts w:ascii="Times New Roman" w:hAnsi="Times New Roman"/>
                <w:sz w:val="24"/>
                <w:szCs w:val="24"/>
                <w:lang w:val="nl-NL"/>
              </w:rPr>
              <w:t>992</w:t>
            </w:r>
            <w:r>
              <w:rPr>
                <w:rFonts w:ascii="Times New Roman" w:hAnsi="Times New Roman"/>
                <w:sz w:val="24"/>
                <w:szCs w:val="24"/>
                <w:lang w:val="nl-NL"/>
              </w:rPr>
              <w:t>.</w:t>
            </w:r>
            <w:r w:rsidRPr="00075853">
              <w:rPr>
                <w:rFonts w:ascii="Times New Roman" w:hAnsi="Times New Roman"/>
                <w:sz w:val="24"/>
                <w:szCs w:val="24"/>
                <w:lang w:val="nl-NL"/>
              </w:rPr>
              <w:t>176</w:t>
            </w:r>
            <w:r>
              <w:rPr>
                <w:rFonts w:ascii="Times New Roman" w:hAnsi="Times New Roman"/>
                <w:sz w:val="24"/>
                <w:szCs w:val="24"/>
                <w:lang w:val="nl-NL"/>
              </w:rPr>
              <w:t>,</w:t>
            </w:r>
            <w:r w:rsidRPr="00075853">
              <w:rPr>
                <w:rFonts w:ascii="Times New Roman" w:hAnsi="Times New Roman"/>
                <w:sz w:val="24"/>
                <w:szCs w:val="24"/>
                <w:lang w:val="nl-NL"/>
              </w:rPr>
              <w:t>99</w:t>
            </w:r>
          </w:p>
        </w:tc>
      </w:tr>
    </w:tbl>
    <w:p w14:paraId="0CD64997" w14:textId="296C6785" w:rsidR="004D4AB0" w:rsidRPr="00845946"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075853">
        <w:rPr>
          <w:rFonts w:ascii="Times New Roman" w:hAnsi="Times New Roman"/>
          <w:sz w:val="24"/>
          <w:szCs w:val="24"/>
          <w:lang w:val="nl-NL"/>
        </w:rPr>
        <w:t>31</w:t>
      </w:r>
      <w:r w:rsidR="005878EA" w:rsidRPr="00845946">
        <w:rPr>
          <w:rFonts w:ascii="Times New Roman" w:hAnsi="Times New Roman"/>
          <w:sz w:val="24"/>
          <w:szCs w:val="24"/>
          <w:lang w:val="nl-NL"/>
        </w:rPr>
        <w:t xml:space="preserve"> t</w:t>
      </w:r>
      <w:r w:rsidRPr="00845946">
        <w:rPr>
          <w:rFonts w:ascii="Times New Roman" w:hAnsi="Times New Roman"/>
          <w:sz w:val="24"/>
          <w:szCs w:val="24"/>
          <w:lang w:val="nl-NL"/>
        </w:rPr>
        <w:t xml:space="preserve">háng </w:t>
      </w:r>
      <w:r w:rsidR="00075853">
        <w:rPr>
          <w:rFonts w:ascii="Times New Roman" w:hAnsi="Times New Roman"/>
          <w:sz w:val="24"/>
          <w:szCs w:val="24"/>
          <w:lang w:val="nl-NL"/>
        </w:rPr>
        <w:t>12</w:t>
      </w:r>
      <w:r w:rsidRPr="00845946">
        <w:rPr>
          <w:rFonts w:ascii="Times New Roman" w:hAnsi="Times New Roman"/>
          <w:sz w:val="24"/>
          <w:szCs w:val="24"/>
          <w:lang w:val="nl-NL"/>
        </w:rPr>
        <w:t xml:space="preserve"> năm 20</w:t>
      </w:r>
      <w:r w:rsidR="002D54C8" w:rsidRPr="00845946">
        <w:rPr>
          <w:rFonts w:ascii="Times New Roman" w:hAnsi="Times New Roman"/>
          <w:sz w:val="24"/>
          <w:szCs w:val="24"/>
          <w:lang w:val="nl-NL"/>
        </w:rPr>
        <w:t>2</w:t>
      </w:r>
      <w:r w:rsidR="00990F15" w:rsidRPr="00845946">
        <w:rPr>
          <w:rFonts w:ascii="Times New Roman" w:hAnsi="Times New Roman"/>
          <w:sz w:val="24"/>
          <w:szCs w:val="24"/>
          <w:lang w:val="nl-NL"/>
        </w:rPr>
        <w:t>4</w:t>
      </w:r>
      <w:r w:rsidRPr="00845946">
        <w:rPr>
          <w:rFonts w:ascii="Times New Roman" w:hAnsi="Times New Roman"/>
          <w:sz w:val="24"/>
          <w:szCs w:val="24"/>
          <w:lang w:val="nl-NL"/>
        </w:rPr>
        <w:t xml:space="preserve">, số lượng Chứng chỉ quỹ (“CCQ”) đang lưu hành của Quỹ là </w:t>
      </w:r>
      <w:r w:rsidR="00075853" w:rsidRPr="00075853">
        <w:rPr>
          <w:rFonts w:ascii="Times New Roman" w:hAnsi="Times New Roman"/>
          <w:sz w:val="24"/>
          <w:szCs w:val="24"/>
          <w:lang w:val="nl-NL"/>
        </w:rPr>
        <w:t>9</w:t>
      </w:r>
      <w:r w:rsidR="00075853">
        <w:rPr>
          <w:rFonts w:ascii="Times New Roman" w:hAnsi="Times New Roman"/>
          <w:sz w:val="24"/>
          <w:szCs w:val="24"/>
          <w:lang w:val="nl-NL"/>
        </w:rPr>
        <w:t>.</w:t>
      </w:r>
      <w:r w:rsidR="00075853" w:rsidRPr="00075853">
        <w:rPr>
          <w:rFonts w:ascii="Times New Roman" w:hAnsi="Times New Roman"/>
          <w:sz w:val="24"/>
          <w:szCs w:val="24"/>
          <w:lang w:val="nl-NL"/>
        </w:rPr>
        <w:t>992</w:t>
      </w:r>
      <w:r w:rsidR="00075853">
        <w:rPr>
          <w:rFonts w:ascii="Times New Roman" w:hAnsi="Times New Roman"/>
          <w:sz w:val="24"/>
          <w:szCs w:val="24"/>
          <w:lang w:val="nl-NL"/>
        </w:rPr>
        <w:t>.</w:t>
      </w:r>
      <w:r w:rsidR="00075853" w:rsidRPr="00075853">
        <w:rPr>
          <w:rFonts w:ascii="Times New Roman" w:hAnsi="Times New Roman"/>
          <w:sz w:val="24"/>
          <w:szCs w:val="24"/>
          <w:lang w:val="nl-NL"/>
        </w:rPr>
        <w:t>176</w:t>
      </w:r>
      <w:r w:rsidR="00075853">
        <w:rPr>
          <w:rFonts w:ascii="Times New Roman" w:hAnsi="Times New Roman"/>
          <w:sz w:val="24"/>
          <w:szCs w:val="24"/>
          <w:lang w:val="nl-NL"/>
        </w:rPr>
        <w:t>,</w:t>
      </w:r>
      <w:r w:rsidR="00075853" w:rsidRPr="00075853">
        <w:rPr>
          <w:rFonts w:ascii="Times New Roman" w:hAnsi="Times New Roman"/>
          <w:sz w:val="24"/>
          <w:szCs w:val="24"/>
          <w:lang w:val="nl-NL"/>
        </w:rPr>
        <w:t>99</w:t>
      </w:r>
      <w:r w:rsidR="00075853">
        <w:rPr>
          <w:rFonts w:ascii="Times New Roman" w:hAnsi="Times New Roman"/>
          <w:sz w:val="24"/>
          <w:szCs w:val="24"/>
          <w:lang w:val="nl-NL"/>
        </w:rPr>
        <w:t xml:space="preserve"> </w:t>
      </w:r>
      <w:r w:rsidRPr="00845946">
        <w:rPr>
          <w:rFonts w:ascii="Times New Roman" w:hAnsi="Times New Roman"/>
          <w:sz w:val="24"/>
          <w:szCs w:val="24"/>
          <w:lang w:val="nl-NL"/>
        </w:rPr>
        <w:t xml:space="preserve">CCQ, tương đương với quy mô vốn của Quỹ theo mệnh giá là </w:t>
      </w:r>
      <w:r w:rsidR="00075853" w:rsidRPr="00075853">
        <w:rPr>
          <w:rFonts w:ascii="Times New Roman" w:hAnsi="Times New Roman"/>
          <w:sz w:val="24"/>
          <w:szCs w:val="24"/>
          <w:lang w:val="nl-NL"/>
        </w:rPr>
        <w:t>99</w:t>
      </w:r>
      <w:r w:rsidR="00075853">
        <w:rPr>
          <w:rFonts w:ascii="Times New Roman" w:hAnsi="Times New Roman"/>
          <w:sz w:val="24"/>
          <w:szCs w:val="24"/>
          <w:lang w:val="nl-NL"/>
        </w:rPr>
        <w:t>.</w:t>
      </w:r>
      <w:r w:rsidR="00075853" w:rsidRPr="00075853">
        <w:rPr>
          <w:rFonts w:ascii="Times New Roman" w:hAnsi="Times New Roman"/>
          <w:sz w:val="24"/>
          <w:szCs w:val="24"/>
          <w:lang w:val="nl-NL"/>
        </w:rPr>
        <w:t>921</w:t>
      </w:r>
      <w:r w:rsidR="00075853">
        <w:rPr>
          <w:rFonts w:ascii="Times New Roman" w:hAnsi="Times New Roman"/>
          <w:sz w:val="24"/>
          <w:szCs w:val="24"/>
          <w:lang w:val="nl-NL"/>
        </w:rPr>
        <w:t>.</w:t>
      </w:r>
      <w:r w:rsidR="00075853" w:rsidRPr="00075853">
        <w:rPr>
          <w:rFonts w:ascii="Times New Roman" w:hAnsi="Times New Roman"/>
          <w:sz w:val="24"/>
          <w:szCs w:val="24"/>
          <w:lang w:val="nl-NL"/>
        </w:rPr>
        <w:t>769</w:t>
      </w:r>
      <w:r w:rsidR="00075853">
        <w:rPr>
          <w:rFonts w:ascii="Times New Roman" w:hAnsi="Times New Roman"/>
          <w:sz w:val="24"/>
          <w:szCs w:val="24"/>
          <w:lang w:val="nl-NL"/>
        </w:rPr>
        <w:t>.</w:t>
      </w:r>
      <w:r w:rsidR="00075853" w:rsidRPr="00075853">
        <w:rPr>
          <w:rFonts w:ascii="Times New Roman" w:hAnsi="Times New Roman"/>
          <w:sz w:val="24"/>
          <w:szCs w:val="24"/>
          <w:lang w:val="nl-NL"/>
        </w:rPr>
        <w:t>900</w:t>
      </w:r>
      <w:r w:rsidR="00075853">
        <w:rPr>
          <w:rFonts w:ascii="Times New Roman" w:hAnsi="Times New Roman"/>
          <w:sz w:val="24"/>
          <w:szCs w:val="24"/>
          <w:lang w:val="nl-NL"/>
        </w:rPr>
        <w:t xml:space="preserve"> </w:t>
      </w:r>
      <w:r w:rsidRPr="00845946">
        <w:rPr>
          <w:rFonts w:ascii="Times New Roman" w:hAnsi="Times New Roman"/>
          <w:sz w:val="24"/>
          <w:szCs w:val="24"/>
          <w:lang w:val="nl-NL"/>
        </w:rPr>
        <w:t>VN</w:t>
      </w:r>
      <w:r w:rsidR="00CC754B" w:rsidRPr="00845946">
        <w:rPr>
          <w:rFonts w:ascii="Times New Roman" w:hAnsi="Times New Roman"/>
          <w:sz w:val="24"/>
          <w:szCs w:val="24"/>
          <w:lang w:val="nl-NL"/>
        </w:rPr>
        <w:t>Đ</w:t>
      </w:r>
      <w:r w:rsidR="009C5C88" w:rsidRPr="00845946">
        <w:rPr>
          <w:rFonts w:ascii="Times New Roman" w:hAnsi="Times New Roman"/>
          <w:sz w:val="24"/>
          <w:szCs w:val="24"/>
          <w:lang w:val="nl-NL"/>
        </w:rPr>
        <w:t>.</w:t>
      </w:r>
    </w:p>
    <w:p w14:paraId="13D1EDB7"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Chỉ số tham chiếu của Quỹ:</w:t>
      </w:r>
    </w:p>
    <w:p w14:paraId="7799405F" w14:textId="77777777" w:rsidR="000E3955" w:rsidRPr="00845946"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Chỉ số Trái phiếu Chính phủ năm (05) năm của HNX</w:t>
      </w:r>
      <w:r w:rsidR="000E3955" w:rsidRPr="00845946">
        <w:rPr>
          <w:rFonts w:ascii="Times New Roman" w:hAnsi="Times New Roman"/>
          <w:sz w:val="24"/>
          <w:szCs w:val="24"/>
          <w:lang w:val="nl-NL"/>
        </w:rPr>
        <w:t>.</w:t>
      </w:r>
    </w:p>
    <w:p w14:paraId="4D4773DF"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Chính sách phân phối lợi nhuận của Quỹ:</w:t>
      </w:r>
    </w:p>
    <w:p w14:paraId="4935197D" w14:textId="77777777" w:rsidR="00287AF8" w:rsidRPr="00845946"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151FA455" w14:textId="77777777" w:rsidR="001C4468" w:rsidRPr="00845946"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845946">
        <w:rPr>
          <w:rFonts w:ascii="Times New Roman" w:hAnsi="Times New Roman"/>
          <w:b/>
          <w:sz w:val="24"/>
          <w:szCs w:val="24"/>
          <w:lang w:val="nl-NL"/>
        </w:rPr>
        <w:t>Lợi nhuận thuần thực tế phân phối trên một đơn vị Chứng chỉ quỹ Quỹ</w:t>
      </w:r>
      <w:r w:rsidRPr="00845946">
        <w:rPr>
          <w:rFonts w:ascii="Times New Roman" w:hAnsi="Times New Roman"/>
          <w:sz w:val="24"/>
          <w:szCs w:val="24"/>
          <w:lang w:val="nl-NL"/>
        </w:rPr>
        <w:t>:</w:t>
      </w:r>
    </w:p>
    <w:p w14:paraId="79F01523" w14:textId="2E8F77D7" w:rsidR="00C272AB" w:rsidRPr="00845946"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Tại ngày </w:t>
      </w:r>
      <w:r w:rsidR="00200BB4" w:rsidRPr="00845946">
        <w:rPr>
          <w:rFonts w:ascii="Times New Roman" w:hAnsi="Times New Roman"/>
          <w:sz w:val="24"/>
          <w:szCs w:val="24"/>
          <w:lang w:val="nl-NL"/>
        </w:rPr>
        <w:t>3</w:t>
      </w:r>
      <w:r w:rsidR="00075853">
        <w:rPr>
          <w:rFonts w:ascii="Times New Roman" w:hAnsi="Times New Roman"/>
          <w:sz w:val="24"/>
          <w:szCs w:val="24"/>
          <w:lang w:val="nl-NL"/>
        </w:rPr>
        <w:t>1</w:t>
      </w:r>
      <w:r w:rsidRPr="00845946">
        <w:rPr>
          <w:rFonts w:ascii="Times New Roman" w:hAnsi="Times New Roman"/>
          <w:sz w:val="24"/>
          <w:szCs w:val="24"/>
          <w:lang w:val="nl-NL"/>
        </w:rPr>
        <w:t xml:space="preserve"> tháng </w:t>
      </w:r>
      <w:r w:rsidR="00075853">
        <w:rPr>
          <w:rFonts w:ascii="Times New Roman" w:hAnsi="Times New Roman"/>
          <w:sz w:val="24"/>
          <w:szCs w:val="24"/>
          <w:lang w:val="nl-NL"/>
        </w:rPr>
        <w:t>12</w:t>
      </w:r>
      <w:r w:rsidRPr="00845946">
        <w:rPr>
          <w:rFonts w:ascii="Times New Roman" w:hAnsi="Times New Roman"/>
          <w:sz w:val="24"/>
          <w:szCs w:val="24"/>
          <w:lang w:val="nl-NL"/>
        </w:rPr>
        <w:t xml:space="preserve"> năm 20</w:t>
      </w:r>
      <w:r w:rsidR="00682EA2" w:rsidRPr="00845946">
        <w:rPr>
          <w:rFonts w:ascii="Times New Roman" w:hAnsi="Times New Roman"/>
          <w:sz w:val="24"/>
          <w:szCs w:val="24"/>
          <w:lang w:val="nl-NL"/>
        </w:rPr>
        <w:t>2</w:t>
      </w:r>
      <w:r w:rsidR="00162A21" w:rsidRPr="00845946">
        <w:rPr>
          <w:rFonts w:ascii="Times New Roman" w:hAnsi="Times New Roman"/>
          <w:sz w:val="24"/>
          <w:szCs w:val="24"/>
          <w:lang w:val="nl-NL"/>
        </w:rPr>
        <w:t>4</w:t>
      </w:r>
      <w:r w:rsidRPr="00845946">
        <w:rPr>
          <w:rFonts w:ascii="Times New Roman" w:hAnsi="Times New Roman"/>
          <w:sz w:val="24"/>
          <w:szCs w:val="24"/>
          <w:lang w:val="nl-NL"/>
        </w:rPr>
        <w:t>, lợi nhuận thuần thực tế phân phối trên một đơn vị CCQ là 0 VNĐ</w:t>
      </w:r>
      <w:r w:rsidR="00685F5A" w:rsidRPr="00845946">
        <w:rPr>
          <w:rFonts w:ascii="Times New Roman" w:hAnsi="Times New Roman"/>
          <w:sz w:val="24"/>
          <w:szCs w:val="24"/>
          <w:lang w:val="nl-NL"/>
        </w:rPr>
        <w:t>.</w:t>
      </w:r>
    </w:p>
    <w:p w14:paraId="0A67CBC4" w14:textId="77777777" w:rsidR="001C4468" w:rsidRPr="00845946"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 </w:t>
      </w:r>
      <w:r w:rsidR="00685F5A" w:rsidRPr="00845946">
        <w:rPr>
          <w:rFonts w:ascii="Times New Roman" w:hAnsi="Times New Roman"/>
          <w:b/>
          <w:sz w:val="24"/>
          <w:szCs w:val="24"/>
          <w:lang w:val="nl-NL"/>
        </w:rPr>
        <w:tab/>
      </w:r>
      <w:r w:rsidRPr="00845946">
        <w:rPr>
          <w:rFonts w:ascii="Times New Roman" w:hAnsi="Times New Roman"/>
          <w:b/>
          <w:sz w:val="24"/>
          <w:szCs w:val="24"/>
          <w:lang w:val="nl-NL"/>
        </w:rPr>
        <w:t>S</w:t>
      </w:r>
      <w:r w:rsidR="008321C8" w:rsidRPr="00845946">
        <w:rPr>
          <w:rFonts w:ascii="Times New Roman" w:hAnsi="Times New Roman"/>
          <w:b/>
          <w:sz w:val="24"/>
          <w:szCs w:val="24"/>
          <w:lang w:val="nl-NL"/>
        </w:rPr>
        <w:t>Ố LIỆU HOẠT ĐỘNG</w:t>
      </w:r>
    </w:p>
    <w:p w14:paraId="4B00CEFB" w14:textId="77777777" w:rsidR="001C4468"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297"/>
        <w:gridCol w:w="1800"/>
        <w:gridCol w:w="1980"/>
        <w:gridCol w:w="1838"/>
      </w:tblGrid>
      <w:tr w:rsidR="00D92FBA" w:rsidRPr="00845946" w14:paraId="1D4D651E" w14:textId="77777777" w:rsidTr="00406622">
        <w:trPr>
          <w:trHeight w:val="988"/>
        </w:trPr>
        <w:tc>
          <w:tcPr>
            <w:tcW w:w="4297" w:type="dxa"/>
            <w:vAlign w:val="center"/>
          </w:tcPr>
          <w:p w14:paraId="79115689" w14:textId="77777777" w:rsidR="00D92FBA" w:rsidRPr="00845946" w:rsidRDefault="00D92FBA" w:rsidP="00D92FBA">
            <w:pPr>
              <w:spacing w:before="120" w:line="276" w:lineRule="auto"/>
              <w:jc w:val="both"/>
              <w:rPr>
                <w:rFonts w:ascii="Times New Roman" w:hAnsi="Times New Roman"/>
                <w:b/>
                <w:sz w:val="24"/>
                <w:szCs w:val="24"/>
                <w:lang w:val="nl-NL"/>
              </w:rPr>
            </w:pPr>
            <w:r w:rsidRPr="00845946">
              <w:rPr>
                <w:rFonts w:ascii="Times New Roman" w:eastAsia="Times New Roman" w:hAnsi="Times New Roman"/>
                <w:b/>
                <w:sz w:val="24"/>
                <w:szCs w:val="24"/>
                <w:lang w:val="nl-NL"/>
              </w:rPr>
              <w:t>Cơ cấu tài sản quỹ</w:t>
            </w:r>
          </w:p>
        </w:tc>
        <w:tc>
          <w:tcPr>
            <w:tcW w:w="1800" w:type="dxa"/>
          </w:tcPr>
          <w:p w14:paraId="558C514A" w14:textId="484369F0" w:rsidR="00D92FBA" w:rsidRPr="00845946" w:rsidRDefault="00D92FBA" w:rsidP="00D92FBA">
            <w:pPr>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845946">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845946">
              <w:rPr>
                <w:rFonts w:ascii="Times New Roman" w:eastAsia="Times New Roman" w:hAnsi="Times New Roman"/>
                <w:b/>
                <w:sz w:val="24"/>
                <w:szCs w:val="24"/>
                <w:lang w:val="nl-NL"/>
              </w:rPr>
              <w:t>/2024</w:t>
            </w:r>
          </w:p>
          <w:p w14:paraId="74AFFCC5" w14:textId="77777777" w:rsidR="00D92FBA" w:rsidRPr="00845946" w:rsidRDefault="00D92FBA" w:rsidP="00D92FBA">
            <w:pPr>
              <w:spacing w:before="120" w:line="276"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w:t>
            </w:r>
          </w:p>
        </w:tc>
        <w:tc>
          <w:tcPr>
            <w:tcW w:w="1980" w:type="dxa"/>
          </w:tcPr>
          <w:p w14:paraId="18C255E5" w14:textId="77777777" w:rsidR="00D92FBA" w:rsidRPr="00E93BC5" w:rsidRDefault="00D92FBA" w:rsidP="00D92FBA">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942DC59" w14:textId="7265EA63" w:rsidR="00D92FBA" w:rsidRPr="00845946" w:rsidRDefault="00D92FBA" w:rsidP="00D92FBA">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c>
          <w:tcPr>
            <w:tcW w:w="1838" w:type="dxa"/>
          </w:tcPr>
          <w:p w14:paraId="374E2E53" w14:textId="77777777" w:rsidR="00D92FBA" w:rsidRPr="00E93BC5" w:rsidRDefault="00D92FBA" w:rsidP="00D92FBA">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6F2298D0" w14:textId="4D53EC96" w:rsidR="00D92FBA" w:rsidRPr="00845946" w:rsidRDefault="00D92FBA" w:rsidP="00D92FBA">
            <w:pPr>
              <w:spacing w:before="120" w:line="276" w:lineRule="auto"/>
              <w:jc w:val="center"/>
              <w:rPr>
                <w:rFonts w:ascii="Times New Roman" w:hAnsi="Times New Roman"/>
                <w:b/>
                <w:sz w:val="24"/>
                <w:szCs w:val="24"/>
                <w:lang w:val="nl-NL"/>
              </w:rPr>
            </w:pPr>
            <w:r w:rsidRPr="00E93BC5">
              <w:rPr>
                <w:rFonts w:ascii="Times New Roman" w:eastAsia="Times New Roman" w:hAnsi="Times New Roman"/>
                <w:b/>
                <w:sz w:val="24"/>
                <w:szCs w:val="24"/>
                <w:lang w:val="nl-NL"/>
              </w:rPr>
              <w:t>(%)</w:t>
            </w:r>
          </w:p>
        </w:tc>
      </w:tr>
      <w:tr w:rsidR="00162A21" w:rsidRPr="00845946" w14:paraId="570C3F01" w14:textId="77777777" w:rsidTr="008D0026">
        <w:trPr>
          <w:trHeight w:val="557"/>
        </w:trPr>
        <w:tc>
          <w:tcPr>
            <w:tcW w:w="4297" w:type="dxa"/>
            <w:vAlign w:val="center"/>
          </w:tcPr>
          <w:p w14:paraId="19E7C699" w14:textId="5D07EB66" w:rsidR="00162A21" w:rsidRPr="00845946" w:rsidRDefault="00162A21" w:rsidP="00162A21">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niêm yết</w:t>
            </w:r>
          </w:p>
        </w:tc>
        <w:tc>
          <w:tcPr>
            <w:tcW w:w="1800" w:type="dxa"/>
            <w:vAlign w:val="center"/>
          </w:tcPr>
          <w:p w14:paraId="6BBA9AE5" w14:textId="005FC119" w:rsidR="00162A21" w:rsidRPr="00845946" w:rsidRDefault="00D92FBA" w:rsidP="00162A21">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11,64</w:t>
            </w:r>
          </w:p>
        </w:tc>
        <w:tc>
          <w:tcPr>
            <w:tcW w:w="1980" w:type="dxa"/>
            <w:vAlign w:val="center"/>
          </w:tcPr>
          <w:p w14:paraId="70D52FAF" w14:textId="4F84ABD7" w:rsidR="00162A21" w:rsidRPr="00845946" w:rsidRDefault="00162A21" w:rsidP="00162A21">
            <w:pPr>
              <w:tabs>
                <w:tab w:val="left" w:pos="540"/>
              </w:tabs>
              <w:spacing w:before="120"/>
              <w:jc w:val="center"/>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0</w:t>
            </w:r>
          </w:p>
        </w:tc>
        <w:tc>
          <w:tcPr>
            <w:tcW w:w="1838" w:type="dxa"/>
            <w:vAlign w:val="center"/>
          </w:tcPr>
          <w:p w14:paraId="3D934D60" w14:textId="2CDBFF75" w:rsidR="00162A21" w:rsidRPr="00845946" w:rsidRDefault="008D0026" w:rsidP="00162A21">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D92FBA" w:rsidRPr="00845946" w14:paraId="66A1C6D0" w14:textId="77777777" w:rsidTr="002B7B9A">
        <w:trPr>
          <w:trHeight w:val="557"/>
        </w:trPr>
        <w:tc>
          <w:tcPr>
            <w:tcW w:w="4297" w:type="dxa"/>
            <w:vAlign w:val="center"/>
          </w:tcPr>
          <w:p w14:paraId="7FDA937C" w14:textId="47C97730" w:rsidR="00D92FBA" w:rsidRPr="00845946" w:rsidRDefault="00D92FBA" w:rsidP="00D92FBA">
            <w:pPr>
              <w:pStyle w:val="ListParagraph"/>
              <w:numPr>
                <w:ilvl w:val="0"/>
                <w:numId w:val="15"/>
              </w:numPr>
              <w:spacing w:before="120"/>
              <w:jc w:val="both"/>
              <w:rPr>
                <w:rFonts w:ascii="Times New Roman" w:eastAsia="Times New Roman" w:hAnsi="Times New Roman"/>
                <w:bCs/>
                <w:sz w:val="24"/>
                <w:szCs w:val="24"/>
                <w:lang w:val="nl-NL"/>
              </w:rPr>
            </w:pPr>
            <w:r w:rsidRPr="00845946">
              <w:rPr>
                <w:rFonts w:ascii="Times New Roman" w:eastAsia="Times New Roman" w:hAnsi="Times New Roman"/>
                <w:bCs/>
                <w:sz w:val="24"/>
                <w:szCs w:val="24"/>
                <w:lang w:val="nl-NL"/>
              </w:rPr>
              <w:t>Trái phiếu chưa niêm yết</w:t>
            </w:r>
          </w:p>
        </w:tc>
        <w:tc>
          <w:tcPr>
            <w:tcW w:w="1800" w:type="dxa"/>
          </w:tcPr>
          <w:p w14:paraId="7F58EC10" w14:textId="747F9BFE"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980" w:type="dxa"/>
          </w:tcPr>
          <w:p w14:paraId="116510EF" w14:textId="24488FD3"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c>
          <w:tcPr>
            <w:tcW w:w="1838" w:type="dxa"/>
          </w:tcPr>
          <w:p w14:paraId="6D4762AF" w14:textId="4F83A1E8" w:rsidR="00D92FBA" w:rsidRPr="00845946" w:rsidRDefault="00D92FBA" w:rsidP="00D92FBA">
            <w:pPr>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0</w:t>
            </w:r>
          </w:p>
        </w:tc>
      </w:tr>
      <w:tr w:rsidR="00D92FBA" w:rsidRPr="00845946" w14:paraId="0451AD18" w14:textId="77777777" w:rsidTr="008D0026">
        <w:trPr>
          <w:trHeight w:val="494"/>
        </w:trPr>
        <w:tc>
          <w:tcPr>
            <w:tcW w:w="4297" w:type="dxa"/>
            <w:vAlign w:val="center"/>
          </w:tcPr>
          <w:p w14:paraId="3D2CE59F" w14:textId="34117613" w:rsidR="00D92FBA" w:rsidRPr="00845946" w:rsidRDefault="00D92FBA" w:rsidP="00D92FBA">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ngân hàng</w:t>
            </w:r>
          </w:p>
        </w:tc>
        <w:tc>
          <w:tcPr>
            <w:tcW w:w="1800" w:type="dxa"/>
            <w:vAlign w:val="center"/>
          </w:tcPr>
          <w:p w14:paraId="7E71E7AA" w14:textId="7612928D"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10,70</w:t>
            </w:r>
          </w:p>
        </w:tc>
        <w:tc>
          <w:tcPr>
            <w:tcW w:w="1980" w:type="dxa"/>
            <w:vAlign w:val="center"/>
          </w:tcPr>
          <w:p w14:paraId="72D15BF7" w14:textId="4A66CAA5"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eastAsia="Times New Roman" w:hAnsi="Times New Roman"/>
                <w:bCs/>
                <w:sz w:val="24"/>
                <w:szCs w:val="24"/>
                <w:lang w:val="nl-NL"/>
              </w:rPr>
              <w:t>9,07</w:t>
            </w:r>
          </w:p>
        </w:tc>
        <w:tc>
          <w:tcPr>
            <w:tcW w:w="1838" w:type="dxa"/>
            <w:vAlign w:val="center"/>
          </w:tcPr>
          <w:p w14:paraId="64C212A2" w14:textId="115415FE" w:rsidR="00D92FBA" w:rsidRPr="00845946" w:rsidRDefault="00D92FBA" w:rsidP="00D92FBA">
            <w:pPr>
              <w:spacing w:before="120" w:line="276" w:lineRule="auto"/>
              <w:jc w:val="center"/>
              <w:rPr>
                <w:rFonts w:ascii="Times New Roman" w:eastAsia="Times New Roman" w:hAnsi="Times New Roman"/>
                <w:bCs/>
                <w:sz w:val="24"/>
                <w:szCs w:val="24"/>
                <w:lang w:val="nl-NL"/>
              </w:rPr>
            </w:pPr>
            <w:r w:rsidRPr="00E35E84">
              <w:rPr>
                <w:rFonts w:ascii="Times New Roman" w:eastAsia="Times New Roman" w:hAnsi="Times New Roman"/>
                <w:bCs/>
                <w:sz w:val="24"/>
                <w:szCs w:val="24"/>
                <w:lang w:val="nl-NL"/>
              </w:rPr>
              <w:t>1,</w:t>
            </w:r>
            <w:r>
              <w:rPr>
                <w:rFonts w:ascii="Times New Roman" w:eastAsia="Times New Roman" w:hAnsi="Times New Roman"/>
                <w:bCs/>
                <w:sz w:val="24"/>
                <w:szCs w:val="24"/>
                <w:lang w:val="nl-NL"/>
              </w:rPr>
              <w:t>53</w:t>
            </w:r>
          </w:p>
        </w:tc>
      </w:tr>
      <w:tr w:rsidR="00D92FBA" w:rsidRPr="00845946" w14:paraId="586753DF" w14:textId="77777777" w:rsidTr="008D0026">
        <w:trPr>
          <w:trHeight w:val="443"/>
        </w:trPr>
        <w:tc>
          <w:tcPr>
            <w:tcW w:w="4297" w:type="dxa"/>
            <w:vAlign w:val="center"/>
          </w:tcPr>
          <w:p w14:paraId="4C6A15D5" w14:textId="77777777" w:rsidR="00D92FBA" w:rsidRPr="00845946" w:rsidRDefault="00D92FBA" w:rsidP="00D92FBA">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Các khoản tương đương tiền</w:t>
            </w:r>
          </w:p>
        </w:tc>
        <w:tc>
          <w:tcPr>
            <w:tcW w:w="1800" w:type="dxa"/>
            <w:vAlign w:val="center"/>
          </w:tcPr>
          <w:p w14:paraId="1CD47B5A" w14:textId="418D1180" w:rsidR="00D92FBA" w:rsidRPr="00845946" w:rsidRDefault="00D92FBA" w:rsidP="00D92FBA">
            <w:pPr>
              <w:spacing w:before="120"/>
              <w:jc w:val="center"/>
              <w:rPr>
                <w:rFonts w:ascii="Times New Roman" w:hAnsi="Times New Roman"/>
                <w:bCs/>
                <w:sz w:val="24"/>
                <w:szCs w:val="24"/>
                <w:lang w:val="nl-NL"/>
              </w:rPr>
            </w:pPr>
            <w:r>
              <w:rPr>
                <w:rFonts w:ascii="Times New Roman" w:hAnsi="Times New Roman"/>
                <w:bCs/>
                <w:sz w:val="24"/>
                <w:szCs w:val="24"/>
                <w:lang w:val="nl-NL"/>
              </w:rPr>
              <w:t>0</w:t>
            </w:r>
          </w:p>
        </w:tc>
        <w:tc>
          <w:tcPr>
            <w:tcW w:w="1980" w:type="dxa"/>
            <w:vAlign w:val="center"/>
          </w:tcPr>
          <w:p w14:paraId="1E8CDF8C" w14:textId="6095F9F6"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sidRPr="00E93BC5">
              <w:rPr>
                <w:rFonts w:ascii="Times New Roman" w:hAnsi="Times New Roman"/>
                <w:bCs/>
                <w:sz w:val="24"/>
                <w:szCs w:val="24"/>
                <w:lang w:val="nl-NL"/>
              </w:rPr>
              <w:t>0</w:t>
            </w:r>
          </w:p>
        </w:tc>
        <w:tc>
          <w:tcPr>
            <w:tcW w:w="1838" w:type="dxa"/>
            <w:vAlign w:val="center"/>
          </w:tcPr>
          <w:p w14:paraId="1D68CC03" w14:textId="35AF7EB9"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0</w:t>
            </w:r>
          </w:p>
        </w:tc>
      </w:tr>
      <w:tr w:rsidR="00D92FBA" w:rsidRPr="00845946" w14:paraId="6DAE5080" w14:textId="77777777" w:rsidTr="008D0026">
        <w:trPr>
          <w:trHeight w:val="494"/>
        </w:trPr>
        <w:tc>
          <w:tcPr>
            <w:tcW w:w="4297" w:type="dxa"/>
            <w:vAlign w:val="center"/>
          </w:tcPr>
          <w:p w14:paraId="0F09887A" w14:textId="77777777" w:rsidR="00D92FBA" w:rsidRPr="00845946" w:rsidRDefault="00D92FBA" w:rsidP="00D92FBA">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Tiền gửi kỳ hạn trên 3 tháng</w:t>
            </w:r>
          </w:p>
        </w:tc>
        <w:tc>
          <w:tcPr>
            <w:tcW w:w="1800" w:type="dxa"/>
            <w:vAlign w:val="center"/>
          </w:tcPr>
          <w:p w14:paraId="7BC56A76" w14:textId="1671B5A9" w:rsidR="00D92FBA" w:rsidRPr="00845946" w:rsidRDefault="00D92FBA" w:rsidP="00D92FBA">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48,63</w:t>
            </w:r>
          </w:p>
        </w:tc>
        <w:tc>
          <w:tcPr>
            <w:tcW w:w="1980" w:type="dxa"/>
            <w:vAlign w:val="center"/>
          </w:tcPr>
          <w:p w14:paraId="5F922F45" w14:textId="38D262FF"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74,02</w:t>
            </w:r>
          </w:p>
        </w:tc>
        <w:tc>
          <w:tcPr>
            <w:tcW w:w="1838" w:type="dxa"/>
            <w:vAlign w:val="center"/>
          </w:tcPr>
          <w:p w14:paraId="062C5465" w14:textId="1CAC31FB"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85,23</w:t>
            </w:r>
          </w:p>
        </w:tc>
      </w:tr>
      <w:tr w:rsidR="00D92FBA" w:rsidRPr="00845946" w14:paraId="2DFB9C16" w14:textId="77777777" w:rsidTr="008D0026">
        <w:trPr>
          <w:trHeight w:val="494"/>
        </w:trPr>
        <w:tc>
          <w:tcPr>
            <w:tcW w:w="4297" w:type="dxa"/>
            <w:vAlign w:val="center"/>
          </w:tcPr>
          <w:p w14:paraId="535325FA" w14:textId="77777777" w:rsidR="00D92FBA" w:rsidRPr="00845946" w:rsidRDefault="00D92FBA" w:rsidP="00D92FBA">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Chứng chỉ tiền gửi</w:t>
            </w:r>
          </w:p>
        </w:tc>
        <w:tc>
          <w:tcPr>
            <w:tcW w:w="1800" w:type="dxa"/>
            <w:vAlign w:val="center"/>
          </w:tcPr>
          <w:p w14:paraId="37E4BBD1" w14:textId="6E924E2B" w:rsidR="00D92FBA" w:rsidRPr="00845946" w:rsidRDefault="00D92FBA" w:rsidP="00D92FBA">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23,17</w:t>
            </w:r>
          </w:p>
        </w:tc>
        <w:tc>
          <w:tcPr>
            <w:tcW w:w="1980" w:type="dxa"/>
            <w:vAlign w:val="center"/>
          </w:tcPr>
          <w:p w14:paraId="5D060C27" w14:textId="281C9D84"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10,44</w:t>
            </w:r>
          </w:p>
        </w:tc>
        <w:tc>
          <w:tcPr>
            <w:tcW w:w="1838" w:type="dxa"/>
            <w:vAlign w:val="center"/>
          </w:tcPr>
          <w:p w14:paraId="4C0D1C18" w14:textId="0AEAF1DC"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11,</w:t>
            </w:r>
            <w:r>
              <w:rPr>
                <w:rFonts w:ascii="Times New Roman" w:hAnsi="Times New Roman"/>
                <w:bCs/>
                <w:sz w:val="24"/>
                <w:szCs w:val="24"/>
                <w:lang w:val="nl-NL"/>
              </w:rPr>
              <w:t>09</w:t>
            </w:r>
          </w:p>
        </w:tc>
      </w:tr>
      <w:tr w:rsidR="00D92FBA" w:rsidRPr="00845946" w14:paraId="76C2237A" w14:textId="77777777" w:rsidTr="008D0026">
        <w:trPr>
          <w:trHeight w:val="477"/>
        </w:trPr>
        <w:tc>
          <w:tcPr>
            <w:tcW w:w="4297" w:type="dxa"/>
            <w:vAlign w:val="center"/>
          </w:tcPr>
          <w:p w14:paraId="289FC9E4" w14:textId="77777777" w:rsidR="00D92FBA" w:rsidRPr="00845946" w:rsidRDefault="00D92FBA" w:rsidP="00D92FBA">
            <w:pPr>
              <w:pStyle w:val="ListParagraph"/>
              <w:numPr>
                <w:ilvl w:val="0"/>
                <w:numId w:val="15"/>
              </w:numPr>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Khác</w:t>
            </w:r>
          </w:p>
        </w:tc>
        <w:tc>
          <w:tcPr>
            <w:tcW w:w="1800" w:type="dxa"/>
            <w:vAlign w:val="center"/>
          </w:tcPr>
          <w:p w14:paraId="1510F7C3" w14:textId="77A24DF2" w:rsidR="00D92FBA" w:rsidRPr="00845946" w:rsidRDefault="00D92FBA" w:rsidP="00D92FBA">
            <w:pPr>
              <w:spacing w:before="120" w:line="276" w:lineRule="auto"/>
              <w:jc w:val="center"/>
              <w:rPr>
                <w:rFonts w:ascii="Times New Roman" w:hAnsi="Times New Roman"/>
                <w:bCs/>
                <w:sz w:val="24"/>
                <w:szCs w:val="24"/>
                <w:lang w:val="nl-NL"/>
              </w:rPr>
            </w:pPr>
            <w:r>
              <w:rPr>
                <w:rFonts w:ascii="Times New Roman" w:hAnsi="Times New Roman"/>
                <w:bCs/>
                <w:sz w:val="24"/>
                <w:szCs w:val="24"/>
                <w:lang w:val="nl-NL"/>
              </w:rPr>
              <w:t>5,86</w:t>
            </w:r>
          </w:p>
        </w:tc>
        <w:tc>
          <w:tcPr>
            <w:tcW w:w="1980" w:type="dxa"/>
            <w:vAlign w:val="center"/>
          </w:tcPr>
          <w:p w14:paraId="46FDB5B4" w14:textId="16CCFA7D"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Pr>
                <w:rFonts w:ascii="Times New Roman" w:hAnsi="Times New Roman"/>
                <w:bCs/>
                <w:sz w:val="24"/>
                <w:szCs w:val="24"/>
                <w:lang w:val="nl-NL"/>
              </w:rPr>
              <w:t>6,47</w:t>
            </w:r>
          </w:p>
        </w:tc>
        <w:tc>
          <w:tcPr>
            <w:tcW w:w="1838" w:type="dxa"/>
            <w:vAlign w:val="center"/>
          </w:tcPr>
          <w:p w14:paraId="0E308745" w14:textId="63F3F92A" w:rsidR="00D92FBA" w:rsidRPr="00845946" w:rsidRDefault="00D92FBA" w:rsidP="00D92FBA">
            <w:pPr>
              <w:tabs>
                <w:tab w:val="left" w:pos="540"/>
              </w:tabs>
              <w:spacing w:before="120"/>
              <w:jc w:val="center"/>
              <w:rPr>
                <w:rFonts w:ascii="Times New Roman" w:eastAsia="Times New Roman" w:hAnsi="Times New Roman"/>
                <w:bCs/>
                <w:sz w:val="24"/>
                <w:szCs w:val="24"/>
                <w:lang w:val="nl-NL"/>
              </w:rPr>
            </w:pPr>
            <w:r w:rsidRPr="00E35E84">
              <w:rPr>
                <w:rFonts w:ascii="Times New Roman" w:hAnsi="Times New Roman"/>
                <w:bCs/>
                <w:sz w:val="24"/>
                <w:szCs w:val="24"/>
                <w:lang w:val="nl-NL"/>
              </w:rPr>
              <w:t>2,</w:t>
            </w:r>
            <w:r>
              <w:rPr>
                <w:rFonts w:ascii="Times New Roman" w:hAnsi="Times New Roman"/>
                <w:bCs/>
                <w:sz w:val="24"/>
                <w:szCs w:val="24"/>
                <w:lang w:val="nl-NL"/>
              </w:rPr>
              <w:t>15</w:t>
            </w:r>
          </w:p>
        </w:tc>
      </w:tr>
      <w:tr w:rsidR="008D0026" w:rsidRPr="00845946" w14:paraId="60A2975C" w14:textId="77777777" w:rsidTr="008D0026">
        <w:trPr>
          <w:trHeight w:val="494"/>
        </w:trPr>
        <w:tc>
          <w:tcPr>
            <w:tcW w:w="4297" w:type="dxa"/>
            <w:vAlign w:val="center"/>
          </w:tcPr>
          <w:p w14:paraId="10D7EF1E" w14:textId="77777777" w:rsidR="008D0026" w:rsidRPr="00845946" w:rsidRDefault="008D0026" w:rsidP="008D0026">
            <w:pPr>
              <w:spacing w:before="120" w:line="276" w:lineRule="auto"/>
              <w:jc w:val="center"/>
              <w:rPr>
                <w:rFonts w:ascii="Times New Roman" w:hAnsi="Times New Roman"/>
                <w:sz w:val="24"/>
                <w:szCs w:val="24"/>
                <w:lang w:val="nl-NL"/>
              </w:rPr>
            </w:pPr>
            <w:r w:rsidRPr="00845946">
              <w:rPr>
                <w:rFonts w:ascii="Times New Roman" w:eastAsia="Times New Roman" w:hAnsi="Times New Roman"/>
                <w:sz w:val="24"/>
                <w:szCs w:val="24"/>
                <w:lang w:val="nl-NL"/>
              </w:rPr>
              <w:t>Cộng</w:t>
            </w:r>
          </w:p>
        </w:tc>
        <w:tc>
          <w:tcPr>
            <w:tcW w:w="1800" w:type="dxa"/>
            <w:vAlign w:val="center"/>
          </w:tcPr>
          <w:p w14:paraId="46FD05AC" w14:textId="77777777" w:rsidR="008D0026" w:rsidRPr="00845946" w:rsidRDefault="008D0026" w:rsidP="008D0026">
            <w:pPr>
              <w:spacing w:before="120" w:line="276" w:lineRule="auto"/>
              <w:jc w:val="center"/>
              <w:rPr>
                <w:rFonts w:ascii="Times New Roman" w:hAnsi="Times New Roman"/>
                <w:b/>
                <w:sz w:val="24"/>
                <w:szCs w:val="24"/>
                <w:lang w:val="nl-NL"/>
              </w:rPr>
            </w:pPr>
            <w:r w:rsidRPr="00845946">
              <w:rPr>
                <w:rFonts w:ascii="Times New Roman" w:hAnsi="Times New Roman"/>
                <w:b/>
                <w:sz w:val="24"/>
                <w:szCs w:val="24"/>
                <w:lang w:val="nl-NL"/>
              </w:rPr>
              <w:t>100,00</w:t>
            </w:r>
          </w:p>
        </w:tc>
        <w:tc>
          <w:tcPr>
            <w:tcW w:w="1980" w:type="dxa"/>
            <w:vAlign w:val="center"/>
          </w:tcPr>
          <w:p w14:paraId="73CF8507" w14:textId="2D50AE8D" w:rsidR="008D0026" w:rsidRPr="00845946" w:rsidRDefault="008D0026" w:rsidP="008D0026">
            <w:pPr>
              <w:tabs>
                <w:tab w:val="left" w:pos="540"/>
              </w:tabs>
              <w:spacing w:before="120"/>
              <w:jc w:val="center"/>
              <w:rPr>
                <w:rFonts w:ascii="Times New Roman" w:eastAsia="Times New Roman" w:hAnsi="Times New Roman"/>
                <w:b/>
                <w:sz w:val="24"/>
                <w:szCs w:val="24"/>
                <w:lang w:val="nl-NL"/>
              </w:rPr>
            </w:pPr>
            <w:r w:rsidRPr="00E93BC5">
              <w:rPr>
                <w:rFonts w:ascii="Times New Roman" w:hAnsi="Times New Roman"/>
                <w:b/>
                <w:sz w:val="24"/>
                <w:szCs w:val="24"/>
                <w:lang w:val="nl-NL"/>
              </w:rPr>
              <w:t>100,00</w:t>
            </w:r>
          </w:p>
        </w:tc>
        <w:tc>
          <w:tcPr>
            <w:tcW w:w="1838" w:type="dxa"/>
            <w:vAlign w:val="center"/>
          </w:tcPr>
          <w:p w14:paraId="7B2F4CCF" w14:textId="769DB9D2" w:rsidR="008D0026" w:rsidRPr="00845946" w:rsidRDefault="008D0026" w:rsidP="008D0026">
            <w:pPr>
              <w:tabs>
                <w:tab w:val="left" w:pos="540"/>
              </w:tabs>
              <w:spacing w:before="120"/>
              <w:jc w:val="center"/>
              <w:rPr>
                <w:rFonts w:ascii="Times New Roman" w:eastAsia="Times New Roman" w:hAnsi="Times New Roman"/>
                <w:b/>
                <w:sz w:val="24"/>
                <w:szCs w:val="24"/>
                <w:lang w:val="nl-NL"/>
              </w:rPr>
            </w:pPr>
            <w:r w:rsidRPr="00E35E84">
              <w:rPr>
                <w:rFonts w:ascii="Times New Roman" w:hAnsi="Times New Roman"/>
                <w:b/>
                <w:sz w:val="24"/>
                <w:szCs w:val="24"/>
                <w:lang w:val="nl-NL"/>
              </w:rPr>
              <w:t>100,00</w:t>
            </w:r>
          </w:p>
        </w:tc>
      </w:tr>
    </w:tbl>
    <w:p w14:paraId="3E91B723" w14:textId="77777777" w:rsidR="002B3684" w:rsidRPr="00845946" w:rsidRDefault="002B3684" w:rsidP="00B3750F">
      <w:pPr>
        <w:shd w:val="clear" w:color="auto" w:fill="FFFFFF"/>
        <w:spacing w:before="120" w:after="0" w:line="240" w:lineRule="auto"/>
        <w:jc w:val="both"/>
        <w:rPr>
          <w:rFonts w:ascii="Times New Roman" w:hAnsi="Times New Roman"/>
          <w:b/>
          <w:sz w:val="24"/>
          <w:szCs w:val="24"/>
          <w:lang w:val="nl-NL"/>
        </w:rPr>
      </w:pPr>
    </w:p>
    <w:p w14:paraId="772B9367" w14:textId="77777777" w:rsidR="0056426D" w:rsidRPr="00845946" w:rsidRDefault="0056426D" w:rsidP="00B3750F">
      <w:pPr>
        <w:shd w:val="clear" w:color="auto" w:fill="FFFFFF"/>
        <w:spacing w:before="120" w:after="0" w:line="240" w:lineRule="auto"/>
        <w:jc w:val="both"/>
        <w:rPr>
          <w:rFonts w:ascii="Times New Roman" w:hAnsi="Times New Roman"/>
          <w:b/>
          <w:sz w:val="24"/>
          <w:szCs w:val="24"/>
          <w:lang w:val="nl-NL"/>
        </w:rPr>
      </w:pPr>
    </w:p>
    <w:p w14:paraId="5DC2C084" w14:textId="77777777" w:rsidR="00B40151" w:rsidRPr="00845946"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228"/>
        <w:gridCol w:w="1882"/>
        <w:gridCol w:w="1836"/>
        <w:gridCol w:w="1836"/>
      </w:tblGrid>
      <w:tr w:rsidR="00D92FBA" w:rsidRPr="00845946" w14:paraId="119730C1" w14:textId="77777777" w:rsidTr="0056426D">
        <w:tc>
          <w:tcPr>
            <w:tcW w:w="4228" w:type="dxa"/>
            <w:vAlign w:val="center"/>
          </w:tcPr>
          <w:p w14:paraId="13606996" w14:textId="77777777" w:rsidR="00D92FBA" w:rsidRPr="00845946" w:rsidRDefault="00D92FBA" w:rsidP="00D92FBA">
            <w:pPr>
              <w:tabs>
                <w:tab w:val="left" w:pos="540"/>
              </w:tabs>
              <w:spacing w:before="120" w:line="276"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1882" w:type="dxa"/>
            <w:vAlign w:val="center"/>
          </w:tcPr>
          <w:p w14:paraId="74BF6CF7" w14:textId="3076BA1B" w:rsidR="00D92FBA" w:rsidRPr="00845946" w:rsidRDefault="00D92FBA" w:rsidP="00D92FB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w:t>
            </w:r>
            <w:r w:rsidRPr="00845946">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845946">
              <w:rPr>
                <w:rFonts w:ascii="Times New Roman" w:eastAsia="Times New Roman" w:hAnsi="Times New Roman"/>
                <w:b/>
                <w:sz w:val="24"/>
                <w:szCs w:val="24"/>
                <w:lang w:val="nl-NL"/>
              </w:rPr>
              <w:t>/2024</w:t>
            </w:r>
          </w:p>
        </w:tc>
        <w:tc>
          <w:tcPr>
            <w:tcW w:w="1836" w:type="dxa"/>
            <w:vAlign w:val="center"/>
          </w:tcPr>
          <w:p w14:paraId="6EC438E3" w14:textId="1836B734" w:rsidR="00D92FBA" w:rsidRPr="00845946" w:rsidRDefault="00D92FBA" w:rsidP="00D92FB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836" w:type="dxa"/>
            <w:vAlign w:val="center"/>
          </w:tcPr>
          <w:p w14:paraId="78C751B9" w14:textId="6ED84B3B" w:rsidR="00D92FBA" w:rsidRPr="00845946" w:rsidRDefault="00D92FBA" w:rsidP="00D92FBA">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D92FBA" w:rsidRPr="00845946" w14:paraId="789E88AB" w14:textId="77777777" w:rsidTr="0056426D">
        <w:trPr>
          <w:trHeight w:val="647"/>
        </w:trPr>
        <w:tc>
          <w:tcPr>
            <w:tcW w:w="4228" w:type="dxa"/>
            <w:vAlign w:val="center"/>
          </w:tcPr>
          <w:p w14:paraId="70360A0B" w14:textId="77777777" w:rsidR="00D92FBA" w:rsidRPr="00845946" w:rsidRDefault="00D92FBA" w:rsidP="00D92FBA">
            <w:pPr>
              <w:tabs>
                <w:tab w:val="left" w:pos="540"/>
              </w:tabs>
              <w:spacing w:before="120"/>
              <w:rPr>
                <w:rFonts w:ascii="Times New Roman" w:hAnsi="Times New Roman"/>
                <w:b/>
                <w:sz w:val="24"/>
                <w:szCs w:val="24"/>
                <w:lang w:val="nl-NL"/>
              </w:rPr>
            </w:pPr>
            <w:r w:rsidRPr="00845946">
              <w:rPr>
                <w:rFonts w:ascii="Times New Roman" w:hAnsi="Times New Roman"/>
                <w:sz w:val="24"/>
                <w:szCs w:val="24"/>
                <w:lang w:val="nl-NL"/>
              </w:rPr>
              <w:t xml:space="preserve">2.1. Giá trị tài sản ròng của Quỹ (VNĐ) </w:t>
            </w:r>
          </w:p>
        </w:tc>
        <w:tc>
          <w:tcPr>
            <w:tcW w:w="1882" w:type="dxa"/>
            <w:vAlign w:val="center"/>
          </w:tcPr>
          <w:p w14:paraId="642C2F18" w14:textId="22240348" w:rsidR="00D92FBA" w:rsidRPr="00845946" w:rsidRDefault="00D92FBA" w:rsidP="00D92FBA">
            <w:pPr>
              <w:tabs>
                <w:tab w:val="left" w:pos="540"/>
              </w:tabs>
              <w:spacing w:before="120" w:line="276" w:lineRule="auto"/>
              <w:rPr>
                <w:rFonts w:ascii="Times New Roman" w:hAnsi="Times New Roman"/>
                <w:sz w:val="24"/>
                <w:szCs w:val="24"/>
                <w:lang w:val="nl-NL"/>
              </w:rPr>
            </w:pPr>
            <w:r w:rsidRPr="00D92FBA">
              <w:rPr>
                <w:rFonts w:ascii="Times New Roman" w:eastAsia="Times New Roman" w:hAnsi="Times New Roman"/>
                <w:bCs/>
                <w:color w:val="000000"/>
                <w:sz w:val="24"/>
                <w:szCs w:val="24"/>
                <w:lang w:val="en-SG" w:eastAsia="en-SG"/>
              </w:rPr>
              <w:t>131</w:t>
            </w:r>
            <w:r>
              <w:rPr>
                <w:rFonts w:ascii="Times New Roman" w:eastAsia="Times New Roman" w:hAnsi="Times New Roman"/>
                <w:bCs/>
                <w:color w:val="000000"/>
                <w:sz w:val="24"/>
                <w:szCs w:val="24"/>
                <w:lang w:val="en-SG" w:eastAsia="en-SG"/>
              </w:rPr>
              <w:t>.</w:t>
            </w:r>
            <w:r w:rsidRPr="00D92FBA">
              <w:rPr>
                <w:rFonts w:ascii="Times New Roman" w:eastAsia="Times New Roman" w:hAnsi="Times New Roman"/>
                <w:bCs/>
                <w:color w:val="000000"/>
                <w:sz w:val="24"/>
                <w:szCs w:val="24"/>
                <w:lang w:val="en-SG" w:eastAsia="en-SG"/>
              </w:rPr>
              <w:t>341</w:t>
            </w:r>
            <w:r>
              <w:rPr>
                <w:rFonts w:ascii="Times New Roman" w:eastAsia="Times New Roman" w:hAnsi="Times New Roman"/>
                <w:bCs/>
                <w:color w:val="000000"/>
                <w:sz w:val="24"/>
                <w:szCs w:val="24"/>
                <w:lang w:val="en-SG" w:eastAsia="en-SG"/>
              </w:rPr>
              <w:t>.</w:t>
            </w:r>
            <w:r w:rsidRPr="00D92FBA">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D92FBA">
              <w:rPr>
                <w:rFonts w:ascii="Times New Roman" w:eastAsia="Times New Roman" w:hAnsi="Times New Roman"/>
                <w:bCs/>
                <w:color w:val="000000"/>
                <w:sz w:val="24"/>
                <w:szCs w:val="24"/>
                <w:lang w:val="en-SG" w:eastAsia="en-SG"/>
              </w:rPr>
              <w:t>853</w:t>
            </w:r>
          </w:p>
        </w:tc>
        <w:tc>
          <w:tcPr>
            <w:tcW w:w="1836" w:type="dxa"/>
            <w:vAlign w:val="center"/>
          </w:tcPr>
          <w:p w14:paraId="0E17A987" w14:textId="589E2616" w:rsidR="00D92FBA" w:rsidRPr="00845946" w:rsidRDefault="00D92FBA" w:rsidP="00D92FBA">
            <w:pPr>
              <w:tabs>
                <w:tab w:val="left" w:pos="540"/>
              </w:tabs>
              <w:spacing w:before="120" w:line="276" w:lineRule="auto"/>
              <w:rPr>
                <w:rFonts w:ascii="Times New Roman" w:hAnsi="Times New Roman"/>
                <w:sz w:val="24"/>
                <w:szCs w:val="24"/>
                <w:lang w:val="nl-NL"/>
              </w:rPr>
            </w:pPr>
            <w:r w:rsidRPr="007E236F">
              <w:rPr>
                <w:rFonts w:ascii="Times New Roman" w:eastAsia="Times New Roman" w:hAnsi="Times New Roman"/>
                <w:bCs/>
                <w:color w:val="000000"/>
                <w:sz w:val="24"/>
                <w:szCs w:val="24"/>
                <w:lang w:val="en-SG" w:eastAsia="en-SG"/>
              </w:rPr>
              <w:t>124.297.101.376</w:t>
            </w:r>
          </w:p>
        </w:tc>
        <w:tc>
          <w:tcPr>
            <w:tcW w:w="1836" w:type="dxa"/>
            <w:vAlign w:val="center"/>
          </w:tcPr>
          <w:p w14:paraId="3CCF528C" w14:textId="07AAAE12" w:rsidR="00D92FBA" w:rsidRPr="00845946" w:rsidRDefault="00D92FBA" w:rsidP="00D92FBA">
            <w:pPr>
              <w:tabs>
                <w:tab w:val="left" w:pos="540"/>
              </w:tabs>
              <w:spacing w:before="120" w:line="276" w:lineRule="auto"/>
              <w:rPr>
                <w:rFonts w:ascii="Times New Roman" w:hAnsi="Times New Roman"/>
                <w:b/>
                <w:sz w:val="24"/>
                <w:szCs w:val="24"/>
                <w:lang w:val="nl-NL"/>
              </w:rPr>
            </w:pPr>
            <w:r>
              <w:rPr>
                <w:rFonts w:ascii="Times New Roman" w:hAnsi="Times New Roman"/>
                <w:color w:val="000000"/>
                <w:sz w:val="24"/>
                <w:szCs w:val="24"/>
              </w:rPr>
              <w:t>116.965.740.516</w:t>
            </w:r>
          </w:p>
        </w:tc>
      </w:tr>
      <w:tr w:rsidR="00D92FBA" w:rsidRPr="00845946" w14:paraId="1E3FE81E" w14:textId="77777777" w:rsidTr="0056426D">
        <w:tc>
          <w:tcPr>
            <w:tcW w:w="4228" w:type="dxa"/>
          </w:tcPr>
          <w:p w14:paraId="74EDF0B8" w14:textId="77777777" w:rsidR="00D92FBA" w:rsidRPr="00845946" w:rsidRDefault="00D92FBA" w:rsidP="00D92FBA">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2.2. Tổng số chứng chỉ quỹ đang lưu hành (CCQ)</w:t>
            </w:r>
          </w:p>
        </w:tc>
        <w:tc>
          <w:tcPr>
            <w:tcW w:w="1882" w:type="dxa"/>
            <w:vAlign w:val="center"/>
          </w:tcPr>
          <w:p w14:paraId="6738B28F" w14:textId="5605FCEA" w:rsidR="00D92FBA" w:rsidRPr="00845946" w:rsidRDefault="00D92FBA" w:rsidP="00D92FBA">
            <w:pPr>
              <w:tabs>
                <w:tab w:val="left" w:pos="540"/>
              </w:tabs>
              <w:spacing w:before="120" w:line="276" w:lineRule="auto"/>
              <w:jc w:val="center"/>
              <w:rPr>
                <w:rFonts w:ascii="Times New Roman" w:hAnsi="Times New Roman"/>
                <w:bCs/>
                <w:sz w:val="24"/>
                <w:szCs w:val="24"/>
                <w:lang w:val="nl-NL"/>
              </w:rPr>
            </w:pPr>
            <w:r w:rsidRPr="00D92FBA">
              <w:rPr>
                <w:rFonts w:ascii="Times New Roman" w:hAnsi="Times New Roman"/>
                <w:sz w:val="24"/>
                <w:szCs w:val="24"/>
                <w:lang w:val="nl-NL"/>
              </w:rPr>
              <w:t>9</w:t>
            </w:r>
            <w:r>
              <w:rPr>
                <w:rFonts w:ascii="Times New Roman" w:hAnsi="Times New Roman"/>
                <w:sz w:val="24"/>
                <w:szCs w:val="24"/>
                <w:lang w:val="nl-NL"/>
              </w:rPr>
              <w:t>.</w:t>
            </w:r>
            <w:r w:rsidRPr="00D92FBA">
              <w:rPr>
                <w:rFonts w:ascii="Times New Roman" w:hAnsi="Times New Roman"/>
                <w:sz w:val="24"/>
                <w:szCs w:val="24"/>
                <w:lang w:val="nl-NL"/>
              </w:rPr>
              <w:t>992</w:t>
            </w:r>
            <w:r>
              <w:rPr>
                <w:rFonts w:ascii="Times New Roman" w:hAnsi="Times New Roman"/>
                <w:sz w:val="24"/>
                <w:szCs w:val="24"/>
                <w:lang w:val="nl-NL"/>
              </w:rPr>
              <w:t>.</w:t>
            </w:r>
            <w:r w:rsidRPr="00D92FBA">
              <w:rPr>
                <w:rFonts w:ascii="Times New Roman" w:hAnsi="Times New Roman"/>
                <w:sz w:val="24"/>
                <w:szCs w:val="24"/>
                <w:lang w:val="nl-NL"/>
              </w:rPr>
              <w:t>176</w:t>
            </w:r>
            <w:r>
              <w:rPr>
                <w:rFonts w:ascii="Times New Roman" w:hAnsi="Times New Roman"/>
                <w:sz w:val="24"/>
                <w:szCs w:val="24"/>
                <w:lang w:val="nl-NL"/>
              </w:rPr>
              <w:t>,</w:t>
            </w:r>
            <w:r w:rsidRPr="00D92FBA">
              <w:rPr>
                <w:rFonts w:ascii="Times New Roman" w:hAnsi="Times New Roman"/>
                <w:sz w:val="24"/>
                <w:szCs w:val="24"/>
                <w:lang w:val="nl-NL"/>
              </w:rPr>
              <w:t>99</w:t>
            </w:r>
          </w:p>
        </w:tc>
        <w:tc>
          <w:tcPr>
            <w:tcW w:w="1836" w:type="dxa"/>
            <w:vAlign w:val="center"/>
          </w:tcPr>
          <w:p w14:paraId="05271190" w14:textId="10AFA93C" w:rsidR="00D92FBA" w:rsidRPr="00845946" w:rsidRDefault="00D92FBA" w:rsidP="00D92FBA">
            <w:pPr>
              <w:tabs>
                <w:tab w:val="left" w:pos="540"/>
              </w:tabs>
              <w:spacing w:before="120" w:line="276" w:lineRule="auto"/>
              <w:jc w:val="center"/>
              <w:rPr>
                <w:rFonts w:ascii="Times New Roman" w:hAnsi="Times New Roman"/>
                <w:bCs/>
                <w:sz w:val="24"/>
                <w:szCs w:val="24"/>
                <w:lang w:val="nl-NL"/>
              </w:rPr>
            </w:pPr>
            <w:r w:rsidRPr="00F76336">
              <w:rPr>
                <w:rFonts w:ascii="Times New Roman" w:hAnsi="Times New Roman"/>
                <w:sz w:val="24"/>
                <w:szCs w:val="24"/>
                <w:lang w:val="nl-NL"/>
              </w:rPr>
              <w:t>9.994.</w:t>
            </w:r>
            <w:r>
              <w:rPr>
                <w:rFonts w:ascii="Times New Roman" w:hAnsi="Times New Roman"/>
                <w:sz w:val="24"/>
                <w:szCs w:val="24"/>
                <w:lang w:val="nl-NL"/>
              </w:rPr>
              <w:t>3</w:t>
            </w:r>
            <w:r w:rsidRPr="00F76336">
              <w:rPr>
                <w:rFonts w:ascii="Times New Roman" w:hAnsi="Times New Roman"/>
                <w:sz w:val="24"/>
                <w:szCs w:val="24"/>
                <w:lang w:val="nl-NL"/>
              </w:rPr>
              <w:t>19,08</w:t>
            </w:r>
          </w:p>
        </w:tc>
        <w:tc>
          <w:tcPr>
            <w:tcW w:w="1836" w:type="dxa"/>
            <w:vAlign w:val="center"/>
          </w:tcPr>
          <w:p w14:paraId="46D96D38" w14:textId="0B178B4B" w:rsidR="00D92FBA" w:rsidRPr="00845946" w:rsidRDefault="00D92FBA" w:rsidP="00D92FBA">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color w:val="000000"/>
                <w:sz w:val="24"/>
                <w:szCs w:val="24"/>
              </w:rPr>
              <w:t>10.00</w:t>
            </w:r>
            <w:r>
              <w:rPr>
                <w:rFonts w:ascii="Times New Roman" w:hAnsi="Times New Roman"/>
                <w:color w:val="000000"/>
                <w:sz w:val="24"/>
                <w:szCs w:val="24"/>
              </w:rPr>
              <w:t>2</w:t>
            </w:r>
            <w:r w:rsidRPr="00E35E84">
              <w:rPr>
                <w:rFonts w:ascii="Times New Roman" w:hAnsi="Times New Roman"/>
                <w:color w:val="000000"/>
                <w:sz w:val="24"/>
                <w:szCs w:val="24"/>
              </w:rPr>
              <w:t>.</w:t>
            </w:r>
            <w:r>
              <w:rPr>
                <w:rFonts w:ascii="Times New Roman" w:hAnsi="Times New Roman"/>
                <w:color w:val="000000"/>
                <w:sz w:val="24"/>
                <w:szCs w:val="24"/>
              </w:rPr>
              <w:t>2</w:t>
            </w:r>
            <w:r w:rsidRPr="00E35E84">
              <w:rPr>
                <w:rFonts w:ascii="Times New Roman" w:hAnsi="Times New Roman"/>
                <w:color w:val="000000"/>
                <w:sz w:val="24"/>
                <w:szCs w:val="24"/>
              </w:rPr>
              <w:t>19,08</w:t>
            </w:r>
          </w:p>
        </w:tc>
      </w:tr>
      <w:tr w:rsidR="00D92FBA" w:rsidRPr="00845946" w14:paraId="5BB5C05F" w14:textId="77777777" w:rsidTr="0056426D">
        <w:tc>
          <w:tcPr>
            <w:tcW w:w="4228" w:type="dxa"/>
          </w:tcPr>
          <w:p w14:paraId="14B89A85" w14:textId="77777777" w:rsidR="00D92FBA" w:rsidRPr="00845946" w:rsidRDefault="00D92FBA" w:rsidP="00D92FBA">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2.3. Giá trị tài sản ròng của một đơn vị Chứng chỉ quỹ (CCQ) (VNĐ)</w:t>
            </w:r>
          </w:p>
        </w:tc>
        <w:tc>
          <w:tcPr>
            <w:tcW w:w="1882" w:type="dxa"/>
            <w:vAlign w:val="center"/>
          </w:tcPr>
          <w:p w14:paraId="090CAF12" w14:textId="332C5266" w:rsidR="00D92FBA" w:rsidRPr="00845946" w:rsidRDefault="00AB6431" w:rsidP="00D92FBA">
            <w:pPr>
              <w:tabs>
                <w:tab w:val="left" w:pos="540"/>
              </w:tabs>
              <w:spacing w:before="120" w:line="276" w:lineRule="auto"/>
              <w:jc w:val="center"/>
              <w:rPr>
                <w:rFonts w:ascii="Times New Roman" w:hAnsi="Times New Roman"/>
                <w:sz w:val="24"/>
                <w:szCs w:val="24"/>
                <w:lang w:val="nl-NL"/>
              </w:rPr>
            </w:pPr>
            <w:r w:rsidRPr="00AB6431">
              <w:rPr>
                <w:rFonts w:ascii="Times New Roman" w:hAnsi="Times New Roman"/>
                <w:sz w:val="24"/>
                <w:szCs w:val="24"/>
                <w:lang w:val="nl-NL"/>
              </w:rPr>
              <w:t>13</w:t>
            </w:r>
            <w:r>
              <w:rPr>
                <w:rFonts w:ascii="Times New Roman" w:hAnsi="Times New Roman"/>
                <w:sz w:val="24"/>
                <w:szCs w:val="24"/>
                <w:lang w:val="nl-NL"/>
              </w:rPr>
              <w:t>.</w:t>
            </w:r>
            <w:r w:rsidRPr="00AB6431">
              <w:rPr>
                <w:rFonts w:ascii="Times New Roman" w:hAnsi="Times New Roman"/>
                <w:sz w:val="24"/>
                <w:szCs w:val="24"/>
                <w:lang w:val="nl-NL"/>
              </w:rPr>
              <w:t>144</w:t>
            </w:r>
            <w:r>
              <w:rPr>
                <w:rFonts w:ascii="Times New Roman" w:hAnsi="Times New Roman"/>
                <w:sz w:val="24"/>
                <w:szCs w:val="24"/>
                <w:lang w:val="nl-NL"/>
              </w:rPr>
              <w:t>,</w:t>
            </w:r>
            <w:r w:rsidRPr="00AB6431">
              <w:rPr>
                <w:rFonts w:ascii="Times New Roman" w:hAnsi="Times New Roman"/>
                <w:sz w:val="24"/>
                <w:szCs w:val="24"/>
                <w:lang w:val="nl-NL"/>
              </w:rPr>
              <w:t>47</w:t>
            </w:r>
          </w:p>
        </w:tc>
        <w:tc>
          <w:tcPr>
            <w:tcW w:w="1836" w:type="dxa"/>
            <w:vAlign w:val="center"/>
          </w:tcPr>
          <w:p w14:paraId="46A4F558" w14:textId="4F5EBDCE"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7E236F">
              <w:rPr>
                <w:rFonts w:ascii="Times New Roman" w:hAnsi="Times New Roman"/>
                <w:sz w:val="24"/>
                <w:szCs w:val="24"/>
                <w:lang w:val="nl-NL"/>
              </w:rPr>
              <w:t>12.436,77</w:t>
            </w:r>
          </w:p>
        </w:tc>
        <w:tc>
          <w:tcPr>
            <w:tcW w:w="1836" w:type="dxa"/>
            <w:vAlign w:val="center"/>
          </w:tcPr>
          <w:p w14:paraId="41650676" w14:textId="3F43A480" w:rsidR="00D92FBA" w:rsidRPr="00845946" w:rsidRDefault="00D92FBA" w:rsidP="00D92FBA">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693,98</w:t>
            </w:r>
          </w:p>
        </w:tc>
      </w:tr>
      <w:tr w:rsidR="00D92FBA" w:rsidRPr="00845946" w14:paraId="56539D5F" w14:textId="77777777" w:rsidTr="0056426D">
        <w:tc>
          <w:tcPr>
            <w:tcW w:w="4228" w:type="dxa"/>
          </w:tcPr>
          <w:p w14:paraId="66A1DEBE" w14:textId="77777777" w:rsidR="00D92FBA" w:rsidRPr="00845946" w:rsidRDefault="00D92FBA" w:rsidP="00D92FBA">
            <w:pPr>
              <w:tabs>
                <w:tab w:val="left" w:pos="540"/>
              </w:tabs>
              <w:spacing w:before="120" w:line="276" w:lineRule="auto"/>
              <w:jc w:val="both"/>
              <w:rPr>
                <w:rFonts w:ascii="Times New Roman" w:hAnsi="Times New Roman"/>
                <w:b/>
                <w:sz w:val="24"/>
                <w:szCs w:val="24"/>
                <w:lang w:val="nl-NL"/>
              </w:rPr>
            </w:pPr>
            <w:r w:rsidRPr="00845946">
              <w:rPr>
                <w:rFonts w:ascii="Times New Roman" w:hAnsi="Times New Roman"/>
                <w:sz w:val="24"/>
                <w:szCs w:val="24"/>
                <w:lang w:val="nl-NL"/>
              </w:rPr>
              <w:t>2.4. Giá trị tài sản ròng cao nhất của 1 đơn vị CCQ trong kỳ báo cáo (VNĐ)</w:t>
            </w:r>
          </w:p>
        </w:tc>
        <w:tc>
          <w:tcPr>
            <w:tcW w:w="1882" w:type="dxa"/>
            <w:vAlign w:val="center"/>
          </w:tcPr>
          <w:p w14:paraId="6AEAFDE1" w14:textId="30B3A962" w:rsidR="00D92FBA" w:rsidRPr="00845946" w:rsidRDefault="00AB6431" w:rsidP="00D92FBA">
            <w:pPr>
              <w:tabs>
                <w:tab w:val="left" w:pos="540"/>
              </w:tabs>
              <w:spacing w:before="120" w:line="276" w:lineRule="auto"/>
              <w:jc w:val="center"/>
              <w:rPr>
                <w:rFonts w:ascii="Times New Roman" w:hAnsi="Times New Roman"/>
                <w:sz w:val="24"/>
                <w:szCs w:val="24"/>
                <w:lang w:val="nl-NL"/>
              </w:rPr>
            </w:pPr>
            <w:r w:rsidRPr="00AB6431">
              <w:rPr>
                <w:rFonts w:ascii="Times New Roman" w:hAnsi="Times New Roman"/>
                <w:sz w:val="24"/>
                <w:szCs w:val="24"/>
                <w:lang w:val="nl-NL"/>
              </w:rPr>
              <w:t>13</w:t>
            </w:r>
            <w:r>
              <w:rPr>
                <w:rFonts w:ascii="Times New Roman" w:hAnsi="Times New Roman"/>
                <w:sz w:val="24"/>
                <w:szCs w:val="24"/>
                <w:lang w:val="nl-NL"/>
              </w:rPr>
              <w:t>.</w:t>
            </w:r>
            <w:r w:rsidRPr="00AB6431">
              <w:rPr>
                <w:rFonts w:ascii="Times New Roman" w:hAnsi="Times New Roman"/>
                <w:sz w:val="24"/>
                <w:szCs w:val="24"/>
                <w:lang w:val="nl-NL"/>
              </w:rPr>
              <w:t>144</w:t>
            </w:r>
            <w:r>
              <w:rPr>
                <w:rFonts w:ascii="Times New Roman" w:hAnsi="Times New Roman"/>
                <w:sz w:val="24"/>
                <w:szCs w:val="24"/>
                <w:lang w:val="nl-NL"/>
              </w:rPr>
              <w:t>,</w:t>
            </w:r>
            <w:r w:rsidRPr="00AB6431">
              <w:rPr>
                <w:rFonts w:ascii="Times New Roman" w:hAnsi="Times New Roman"/>
                <w:sz w:val="24"/>
                <w:szCs w:val="24"/>
                <w:lang w:val="nl-NL"/>
              </w:rPr>
              <w:t>47</w:t>
            </w:r>
          </w:p>
        </w:tc>
        <w:tc>
          <w:tcPr>
            <w:tcW w:w="1836" w:type="dxa"/>
            <w:vAlign w:val="center"/>
          </w:tcPr>
          <w:p w14:paraId="541A9F4B" w14:textId="2E591B89"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7E236F">
              <w:rPr>
                <w:rFonts w:ascii="Times New Roman" w:hAnsi="Times New Roman"/>
                <w:sz w:val="24"/>
                <w:szCs w:val="24"/>
                <w:lang w:val="nl-NL"/>
              </w:rPr>
              <w:t>12.436,77</w:t>
            </w:r>
          </w:p>
        </w:tc>
        <w:tc>
          <w:tcPr>
            <w:tcW w:w="1836" w:type="dxa"/>
            <w:vAlign w:val="center"/>
          </w:tcPr>
          <w:p w14:paraId="1C5DD225" w14:textId="3D0B3CC9" w:rsidR="00D92FBA" w:rsidRPr="00845946" w:rsidRDefault="00D92FBA" w:rsidP="00D92FBA">
            <w:pPr>
              <w:tabs>
                <w:tab w:val="left" w:pos="540"/>
              </w:tabs>
              <w:spacing w:before="120" w:line="276" w:lineRule="auto"/>
              <w:jc w:val="center"/>
              <w:rPr>
                <w:rFonts w:ascii="Times New Roman" w:hAnsi="Times New Roman"/>
                <w:b/>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693,98</w:t>
            </w:r>
          </w:p>
        </w:tc>
      </w:tr>
      <w:tr w:rsidR="00D92FBA" w:rsidRPr="00845946" w14:paraId="1105A406" w14:textId="77777777" w:rsidTr="0056426D">
        <w:tc>
          <w:tcPr>
            <w:tcW w:w="4228" w:type="dxa"/>
          </w:tcPr>
          <w:p w14:paraId="60C92DBC"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2.5. Giá trị tài sản ròng thấp nhất của 1 đơn vị CCQ trong kỳ báo cáo (VNĐ)</w:t>
            </w:r>
          </w:p>
        </w:tc>
        <w:tc>
          <w:tcPr>
            <w:tcW w:w="1882" w:type="dxa"/>
            <w:vAlign w:val="center"/>
          </w:tcPr>
          <w:p w14:paraId="20EC788A" w14:textId="2DBB53CC" w:rsidR="00D92FBA" w:rsidRPr="00845946" w:rsidRDefault="00E70E0B" w:rsidP="00D92FBA">
            <w:pPr>
              <w:tabs>
                <w:tab w:val="left" w:pos="540"/>
              </w:tabs>
              <w:spacing w:before="120" w:line="276" w:lineRule="auto"/>
              <w:jc w:val="center"/>
              <w:rPr>
                <w:rFonts w:ascii="Times New Roman" w:hAnsi="Times New Roman"/>
                <w:sz w:val="24"/>
                <w:szCs w:val="24"/>
                <w:lang w:val="nl-NL"/>
              </w:rPr>
            </w:pPr>
            <w:r w:rsidRPr="00E70E0B">
              <w:rPr>
                <w:rFonts w:ascii="Times New Roman" w:hAnsi="Times New Roman"/>
                <w:sz w:val="24"/>
                <w:szCs w:val="24"/>
                <w:lang w:val="nl-NL"/>
              </w:rPr>
              <w:t>12</w:t>
            </w:r>
            <w:r>
              <w:rPr>
                <w:rFonts w:ascii="Times New Roman" w:hAnsi="Times New Roman"/>
                <w:sz w:val="24"/>
                <w:szCs w:val="24"/>
                <w:lang w:val="nl-NL"/>
              </w:rPr>
              <w:t>.</w:t>
            </w:r>
            <w:r w:rsidRPr="00E70E0B">
              <w:rPr>
                <w:rFonts w:ascii="Times New Roman" w:hAnsi="Times New Roman"/>
                <w:sz w:val="24"/>
                <w:szCs w:val="24"/>
                <w:lang w:val="nl-NL"/>
              </w:rPr>
              <w:t>96</w:t>
            </w:r>
            <w:r>
              <w:rPr>
                <w:rFonts w:ascii="Times New Roman" w:hAnsi="Times New Roman"/>
                <w:sz w:val="24"/>
                <w:szCs w:val="24"/>
                <w:lang w:val="nl-NL"/>
              </w:rPr>
              <w:t>2,93</w:t>
            </w:r>
          </w:p>
        </w:tc>
        <w:tc>
          <w:tcPr>
            <w:tcW w:w="1836" w:type="dxa"/>
            <w:vAlign w:val="center"/>
          </w:tcPr>
          <w:p w14:paraId="2AD9078C" w14:textId="5417875D"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12.248,22</w:t>
            </w:r>
          </w:p>
        </w:tc>
        <w:tc>
          <w:tcPr>
            <w:tcW w:w="1836" w:type="dxa"/>
            <w:vAlign w:val="center"/>
          </w:tcPr>
          <w:p w14:paraId="63034F4A" w14:textId="0FCDA24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11.</w:t>
            </w:r>
            <w:r>
              <w:rPr>
                <w:rFonts w:ascii="Times New Roman" w:hAnsi="Times New Roman"/>
                <w:sz w:val="24"/>
                <w:szCs w:val="24"/>
                <w:lang w:val="nl-NL"/>
              </w:rPr>
              <w:t>551,99</w:t>
            </w:r>
          </w:p>
        </w:tc>
      </w:tr>
      <w:tr w:rsidR="00D92FBA" w:rsidRPr="00845946" w14:paraId="26276EE7" w14:textId="77777777" w:rsidTr="0056426D">
        <w:tc>
          <w:tcPr>
            <w:tcW w:w="4228" w:type="dxa"/>
          </w:tcPr>
          <w:p w14:paraId="2072415D"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2.6. Giá cuối ngày của 1 đơn vị CCQ tại ngày báo cáo (VNĐ)</w:t>
            </w:r>
          </w:p>
        </w:tc>
        <w:tc>
          <w:tcPr>
            <w:tcW w:w="1882" w:type="dxa"/>
            <w:vAlign w:val="center"/>
          </w:tcPr>
          <w:p w14:paraId="5A4255B0"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3DDE3706" w14:textId="018CAA1A"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10F1C536" w14:textId="4F924C33"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D92FBA" w:rsidRPr="00845946" w14:paraId="440170BD" w14:textId="77777777" w:rsidTr="0056426D">
        <w:tc>
          <w:tcPr>
            <w:tcW w:w="4228" w:type="dxa"/>
          </w:tcPr>
          <w:p w14:paraId="51D655EE"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2.7. Giá cuối ngày cao nhất của 1 đơn vị CCQ trong kỳ báo cáo (VNĐ)</w:t>
            </w:r>
          </w:p>
        </w:tc>
        <w:tc>
          <w:tcPr>
            <w:tcW w:w="1882" w:type="dxa"/>
            <w:vAlign w:val="center"/>
          </w:tcPr>
          <w:p w14:paraId="26AB6647"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187F6AF7" w14:textId="2A55FFA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6B374FE8" w14:textId="0E339A38"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D92FBA" w:rsidRPr="00845946" w14:paraId="2B6BF498" w14:textId="77777777" w:rsidTr="0056426D">
        <w:tc>
          <w:tcPr>
            <w:tcW w:w="4228" w:type="dxa"/>
          </w:tcPr>
          <w:p w14:paraId="064EED70"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2.8. Giá cuối ngày thấp nhất của 1 đơn vị CCQ trong kỳ báo cáo (VNĐ)</w:t>
            </w:r>
          </w:p>
        </w:tc>
        <w:tc>
          <w:tcPr>
            <w:tcW w:w="1882" w:type="dxa"/>
            <w:vAlign w:val="center"/>
          </w:tcPr>
          <w:p w14:paraId="1CF78EF2"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6033A8A9" w14:textId="3910C7FA"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DA57ED" w14:textId="1F7867A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D92FBA" w:rsidRPr="00845946" w14:paraId="1716829F" w14:textId="77777777" w:rsidTr="0056426D">
        <w:trPr>
          <w:trHeight w:val="665"/>
        </w:trPr>
        <w:tc>
          <w:tcPr>
            <w:tcW w:w="4228" w:type="dxa"/>
            <w:vAlign w:val="center"/>
          </w:tcPr>
          <w:p w14:paraId="6793285C"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 Tổng tăng trưởng (%)/1 đơn vị CCQ so với cùng kỳ năm trước.</w:t>
            </w:r>
          </w:p>
        </w:tc>
        <w:tc>
          <w:tcPr>
            <w:tcW w:w="1882" w:type="dxa"/>
            <w:shd w:val="clear" w:color="auto" w:fill="auto"/>
            <w:vAlign w:val="center"/>
          </w:tcPr>
          <w:p w14:paraId="138033A8" w14:textId="784B5E7C"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5,</w:t>
            </w:r>
            <w:r w:rsidR="00A9075F">
              <w:rPr>
                <w:rFonts w:ascii="Times New Roman" w:hAnsi="Times New Roman"/>
                <w:sz w:val="24"/>
                <w:szCs w:val="24"/>
                <w:lang w:val="nl-NL"/>
              </w:rPr>
              <w:t>69</w:t>
            </w:r>
          </w:p>
        </w:tc>
        <w:tc>
          <w:tcPr>
            <w:tcW w:w="1836" w:type="dxa"/>
            <w:vAlign w:val="center"/>
          </w:tcPr>
          <w:p w14:paraId="384A6C87" w14:textId="07D9615F"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6,35</w:t>
            </w:r>
          </w:p>
        </w:tc>
        <w:tc>
          <w:tcPr>
            <w:tcW w:w="1836" w:type="dxa"/>
            <w:vAlign w:val="center"/>
          </w:tcPr>
          <w:p w14:paraId="1A324F3C" w14:textId="77B7437A"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4,20</w:t>
            </w:r>
          </w:p>
        </w:tc>
      </w:tr>
      <w:tr w:rsidR="00D92FBA" w:rsidRPr="00845946" w14:paraId="26160AEB" w14:textId="77777777" w:rsidTr="0056426D">
        <w:tc>
          <w:tcPr>
            <w:tcW w:w="4228" w:type="dxa"/>
          </w:tcPr>
          <w:p w14:paraId="559DCEB9"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2.9.1. Tăng trưởng vốn (%)/1 đơn vị CCQ (Thay đổi do biến động giá)</w:t>
            </w:r>
          </w:p>
        </w:tc>
        <w:tc>
          <w:tcPr>
            <w:tcW w:w="1882" w:type="dxa"/>
            <w:shd w:val="clear" w:color="auto" w:fill="auto"/>
            <w:vAlign w:val="center"/>
          </w:tcPr>
          <w:p w14:paraId="22107B8E"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0,00</w:t>
            </w:r>
          </w:p>
        </w:tc>
        <w:tc>
          <w:tcPr>
            <w:tcW w:w="1836" w:type="dxa"/>
            <w:vAlign w:val="center"/>
          </w:tcPr>
          <w:p w14:paraId="6D60C316" w14:textId="61CAF1F6"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0,00</w:t>
            </w:r>
          </w:p>
        </w:tc>
        <w:tc>
          <w:tcPr>
            <w:tcW w:w="1836" w:type="dxa"/>
            <w:vAlign w:val="center"/>
          </w:tcPr>
          <w:p w14:paraId="34290E4A" w14:textId="4A10C5BA"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0,00</w:t>
            </w:r>
          </w:p>
        </w:tc>
      </w:tr>
      <w:tr w:rsidR="00D92FBA" w:rsidRPr="00845946" w14:paraId="2DCCAD09" w14:textId="77777777" w:rsidTr="0056426D">
        <w:tc>
          <w:tcPr>
            <w:tcW w:w="4228" w:type="dxa"/>
          </w:tcPr>
          <w:p w14:paraId="36ADB1A3"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2.9.2. Tăng trưởng thu nhập (%)/1 đơn vị CCQ (Tính trên thu nhập đã thực hiện) so với cùng kỳ năm trước.</w:t>
            </w:r>
          </w:p>
        </w:tc>
        <w:tc>
          <w:tcPr>
            <w:tcW w:w="1882" w:type="dxa"/>
            <w:shd w:val="clear" w:color="auto" w:fill="auto"/>
            <w:vAlign w:val="center"/>
          </w:tcPr>
          <w:p w14:paraId="40849301" w14:textId="57519F03"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227F9D">
              <w:rPr>
                <w:rFonts w:ascii="Times New Roman" w:hAnsi="Times New Roman"/>
                <w:sz w:val="24"/>
                <w:szCs w:val="24"/>
                <w:lang w:val="nl-NL"/>
              </w:rPr>
              <w:t>5</w:t>
            </w:r>
            <w:r>
              <w:rPr>
                <w:rFonts w:ascii="Times New Roman" w:hAnsi="Times New Roman"/>
                <w:sz w:val="24"/>
                <w:szCs w:val="24"/>
                <w:lang w:val="nl-NL"/>
              </w:rPr>
              <w:t>,</w:t>
            </w:r>
            <w:r w:rsidR="00A9075F">
              <w:rPr>
                <w:rFonts w:ascii="Times New Roman" w:hAnsi="Times New Roman"/>
                <w:sz w:val="24"/>
                <w:szCs w:val="24"/>
                <w:lang w:val="nl-NL"/>
              </w:rPr>
              <w:t>69</w:t>
            </w:r>
          </w:p>
        </w:tc>
        <w:tc>
          <w:tcPr>
            <w:tcW w:w="1836" w:type="dxa"/>
            <w:vAlign w:val="center"/>
          </w:tcPr>
          <w:p w14:paraId="39087092" w14:textId="0641A39B"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6,35</w:t>
            </w:r>
          </w:p>
        </w:tc>
        <w:tc>
          <w:tcPr>
            <w:tcW w:w="1836" w:type="dxa"/>
            <w:vAlign w:val="center"/>
          </w:tcPr>
          <w:p w14:paraId="13D35766" w14:textId="4AB5D420"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4,20</w:t>
            </w:r>
          </w:p>
        </w:tc>
      </w:tr>
      <w:tr w:rsidR="00D92FBA" w:rsidRPr="00845946" w14:paraId="3421200F" w14:textId="77777777" w:rsidTr="0056426D">
        <w:trPr>
          <w:trHeight w:val="620"/>
        </w:trPr>
        <w:tc>
          <w:tcPr>
            <w:tcW w:w="4228" w:type="dxa"/>
            <w:vAlign w:val="center"/>
          </w:tcPr>
          <w:p w14:paraId="201708F7"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2.10. Phân phối gộp trên 1 đơn vị CCQ</w:t>
            </w:r>
          </w:p>
        </w:tc>
        <w:tc>
          <w:tcPr>
            <w:tcW w:w="1882" w:type="dxa"/>
            <w:vAlign w:val="center"/>
          </w:tcPr>
          <w:p w14:paraId="2EBFA547"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9345B74" w14:textId="207F851D"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8A52FA2" w14:textId="5FA9E77B"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D92FBA" w:rsidRPr="00845946" w14:paraId="6AFD9C24" w14:textId="77777777" w:rsidTr="0056426D">
        <w:trPr>
          <w:trHeight w:val="620"/>
        </w:trPr>
        <w:tc>
          <w:tcPr>
            <w:tcW w:w="4228" w:type="dxa"/>
            <w:vAlign w:val="center"/>
          </w:tcPr>
          <w:p w14:paraId="75D7C0DA"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2.11. Phân phối ròng trên 1 đơn vị CCQ</w:t>
            </w:r>
          </w:p>
        </w:tc>
        <w:tc>
          <w:tcPr>
            <w:tcW w:w="1882" w:type="dxa"/>
            <w:vAlign w:val="center"/>
          </w:tcPr>
          <w:p w14:paraId="710E707D"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51FE7102" w14:textId="003920AF"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29422E79" w14:textId="75C1A116"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D92FBA" w:rsidRPr="00845946" w14:paraId="254E271C" w14:textId="77777777" w:rsidTr="0056426D">
        <w:tc>
          <w:tcPr>
            <w:tcW w:w="4228" w:type="dxa"/>
          </w:tcPr>
          <w:p w14:paraId="1E5BF629"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2.12. Ngày chốt quyền (Ex-date of distribution)</w:t>
            </w:r>
          </w:p>
        </w:tc>
        <w:tc>
          <w:tcPr>
            <w:tcW w:w="1882" w:type="dxa"/>
            <w:vAlign w:val="center"/>
          </w:tcPr>
          <w:p w14:paraId="48FF37B8" w14:textId="77777777"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N/A (**)</w:t>
            </w:r>
          </w:p>
        </w:tc>
        <w:tc>
          <w:tcPr>
            <w:tcW w:w="1836" w:type="dxa"/>
            <w:vAlign w:val="center"/>
          </w:tcPr>
          <w:p w14:paraId="020969DC" w14:textId="633D9422"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N/A (**)</w:t>
            </w:r>
          </w:p>
        </w:tc>
        <w:tc>
          <w:tcPr>
            <w:tcW w:w="1836" w:type="dxa"/>
            <w:vAlign w:val="center"/>
          </w:tcPr>
          <w:p w14:paraId="3E2ED27F" w14:textId="6B2784AF"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35E84">
              <w:rPr>
                <w:rFonts w:ascii="Times New Roman" w:hAnsi="Times New Roman"/>
                <w:sz w:val="24"/>
                <w:szCs w:val="24"/>
                <w:lang w:val="nl-NL"/>
              </w:rPr>
              <w:t>N/A (**)</w:t>
            </w:r>
          </w:p>
        </w:tc>
      </w:tr>
      <w:tr w:rsidR="00D92FBA" w:rsidRPr="00845946" w14:paraId="3DDD8CD1" w14:textId="77777777" w:rsidTr="0056426D">
        <w:trPr>
          <w:trHeight w:val="665"/>
        </w:trPr>
        <w:tc>
          <w:tcPr>
            <w:tcW w:w="4228" w:type="dxa"/>
            <w:vAlign w:val="center"/>
          </w:tcPr>
          <w:p w14:paraId="423F26E7"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2.13. Tỷ lệ chi phí hoạt động của quỹ (%)</w:t>
            </w:r>
          </w:p>
        </w:tc>
        <w:tc>
          <w:tcPr>
            <w:tcW w:w="1882" w:type="dxa"/>
            <w:vAlign w:val="center"/>
          </w:tcPr>
          <w:p w14:paraId="0BC43B92" w14:textId="2A11295E"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845946">
              <w:rPr>
                <w:rFonts w:ascii="Times New Roman" w:hAnsi="Times New Roman"/>
                <w:sz w:val="24"/>
                <w:szCs w:val="24"/>
                <w:lang w:val="nl-NL"/>
              </w:rPr>
              <w:t>1,</w:t>
            </w:r>
            <w:r w:rsidR="00255737">
              <w:rPr>
                <w:rFonts w:ascii="Times New Roman" w:hAnsi="Times New Roman"/>
                <w:sz w:val="24"/>
                <w:szCs w:val="24"/>
                <w:lang w:val="nl-NL"/>
              </w:rPr>
              <w:t>88</w:t>
            </w:r>
          </w:p>
        </w:tc>
        <w:tc>
          <w:tcPr>
            <w:tcW w:w="1836" w:type="dxa"/>
            <w:vAlign w:val="center"/>
          </w:tcPr>
          <w:p w14:paraId="022E06BE" w14:textId="10225941"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1,92</w:t>
            </w:r>
          </w:p>
        </w:tc>
        <w:tc>
          <w:tcPr>
            <w:tcW w:w="1836" w:type="dxa"/>
            <w:vAlign w:val="center"/>
          </w:tcPr>
          <w:p w14:paraId="3AC54B11" w14:textId="3667BDFC"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1,99</w:t>
            </w:r>
          </w:p>
        </w:tc>
      </w:tr>
      <w:tr w:rsidR="00D92FBA" w:rsidRPr="00845946" w14:paraId="1D96EF1A" w14:textId="77777777" w:rsidTr="0056426D">
        <w:trPr>
          <w:trHeight w:val="710"/>
        </w:trPr>
        <w:tc>
          <w:tcPr>
            <w:tcW w:w="4228" w:type="dxa"/>
            <w:vAlign w:val="center"/>
          </w:tcPr>
          <w:p w14:paraId="776FFCE6" w14:textId="77777777" w:rsidR="00D92FBA" w:rsidRPr="00845946" w:rsidRDefault="00D92FBA" w:rsidP="00D92FBA">
            <w:pPr>
              <w:tabs>
                <w:tab w:val="left" w:pos="540"/>
              </w:tabs>
              <w:spacing w:before="120" w:line="276" w:lineRule="auto"/>
              <w:jc w:val="both"/>
              <w:rPr>
                <w:rFonts w:ascii="Times New Roman" w:hAnsi="Times New Roman"/>
                <w:sz w:val="24"/>
                <w:szCs w:val="24"/>
                <w:lang w:val="nl-NL"/>
              </w:rPr>
            </w:pPr>
            <w:r w:rsidRPr="00845946">
              <w:rPr>
                <w:rFonts w:ascii="Times New Roman" w:hAnsi="Times New Roman"/>
                <w:sz w:val="24"/>
                <w:szCs w:val="24"/>
                <w:lang w:val="nl-NL"/>
              </w:rPr>
              <w:t>2.14. Tốc độ vòng quay danh mục (%)</w:t>
            </w:r>
          </w:p>
        </w:tc>
        <w:tc>
          <w:tcPr>
            <w:tcW w:w="1882" w:type="dxa"/>
            <w:vAlign w:val="center"/>
          </w:tcPr>
          <w:p w14:paraId="1E45EEA1" w14:textId="52E8D68D" w:rsidR="00D92FBA" w:rsidRPr="00845946" w:rsidRDefault="00255737"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15,32</w:t>
            </w:r>
          </w:p>
        </w:tc>
        <w:tc>
          <w:tcPr>
            <w:tcW w:w="1836" w:type="dxa"/>
            <w:vAlign w:val="center"/>
          </w:tcPr>
          <w:p w14:paraId="7BE05FB1" w14:textId="4CFAA17A" w:rsidR="00D92FBA" w:rsidRPr="00845946" w:rsidRDefault="00D92FBA" w:rsidP="00D92FBA">
            <w:pPr>
              <w:tabs>
                <w:tab w:val="left" w:pos="540"/>
              </w:tabs>
              <w:spacing w:before="120" w:line="276" w:lineRule="auto"/>
              <w:jc w:val="center"/>
              <w:rPr>
                <w:rFonts w:ascii="Times New Roman" w:hAnsi="Times New Roman"/>
                <w:sz w:val="24"/>
                <w:szCs w:val="24"/>
                <w:lang w:val="nl-NL"/>
              </w:rPr>
            </w:pPr>
            <w:r w:rsidRPr="00E93BC5">
              <w:rPr>
                <w:rFonts w:ascii="Times New Roman" w:hAnsi="Times New Roman"/>
                <w:sz w:val="24"/>
                <w:szCs w:val="24"/>
                <w:lang w:val="nl-NL"/>
              </w:rPr>
              <w:t>0</w:t>
            </w:r>
          </w:p>
        </w:tc>
        <w:tc>
          <w:tcPr>
            <w:tcW w:w="1836" w:type="dxa"/>
            <w:vAlign w:val="center"/>
          </w:tcPr>
          <w:p w14:paraId="69C3F4E5" w14:textId="2F66BECC" w:rsidR="00D92FBA" w:rsidRPr="00845946" w:rsidRDefault="00D92FBA" w:rsidP="00D92FBA">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0,00</w:t>
            </w:r>
          </w:p>
        </w:tc>
      </w:tr>
    </w:tbl>
    <w:p w14:paraId="425F803A" w14:textId="77777777" w:rsidR="008A4832" w:rsidRPr="00845946"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64C70B5B" w14:textId="77777777" w:rsidR="002B3684" w:rsidRPr="00845946"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14:paraId="430B9D8A" w14:textId="77777777" w:rsidR="001C4468" w:rsidRPr="00845946"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lastRenderedPageBreak/>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845946" w14:paraId="1B67BC27" w14:textId="77777777" w:rsidTr="00486F0E">
        <w:trPr>
          <w:trHeight w:val="827"/>
        </w:trPr>
        <w:tc>
          <w:tcPr>
            <w:tcW w:w="4418" w:type="dxa"/>
            <w:vAlign w:val="center"/>
          </w:tcPr>
          <w:p w14:paraId="2FA79E29"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Giai đoạn</w:t>
            </w:r>
          </w:p>
        </w:tc>
        <w:tc>
          <w:tcPr>
            <w:tcW w:w="2577" w:type="dxa"/>
            <w:vAlign w:val="center"/>
          </w:tcPr>
          <w:p w14:paraId="4C6B5B5E"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Tổng tăng trưởng của NAV/CCQ</w:t>
            </w:r>
          </w:p>
        </w:tc>
        <w:tc>
          <w:tcPr>
            <w:tcW w:w="2665" w:type="dxa"/>
            <w:vAlign w:val="center"/>
          </w:tcPr>
          <w:p w14:paraId="4D9D0222" w14:textId="77777777" w:rsidR="001F3B0D" w:rsidRPr="00845946" w:rsidRDefault="001F3B0D" w:rsidP="001F3B0D">
            <w:pPr>
              <w:spacing w:before="120" w:line="360" w:lineRule="auto"/>
              <w:jc w:val="center"/>
              <w:rPr>
                <w:rFonts w:ascii="Times New Roman" w:hAnsi="Times New Roman"/>
                <w:b/>
                <w:sz w:val="24"/>
                <w:szCs w:val="24"/>
                <w:lang w:val="nl-NL"/>
              </w:rPr>
            </w:pPr>
            <w:r w:rsidRPr="00845946">
              <w:rPr>
                <w:rFonts w:ascii="Times New Roman" w:eastAsia="Times New Roman" w:hAnsi="Times New Roman"/>
                <w:b/>
                <w:sz w:val="24"/>
                <w:szCs w:val="24"/>
                <w:lang w:val="nl-NL"/>
              </w:rPr>
              <w:t>Tăng trưởng NAV/CCQ hàng năm</w:t>
            </w:r>
          </w:p>
        </w:tc>
      </w:tr>
      <w:tr w:rsidR="001F3B0D" w:rsidRPr="00845946" w14:paraId="70B88B09" w14:textId="77777777" w:rsidTr="00486F0E">
        <w:trPr>
          <w:trHeight w:val="459"/>
        </w:trPr>
        <w:tc>
          <w:tcPr>
            <w:tcW w:w="4418" w:type="dxa"/>
            <w:vAlign w:val="center"/>
          </w:tcPr>
          <w:p w14:paraId="75A9E9EC"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- 1 năm</w:t>
            </w:r>
          </w:p>
        </w:tc>
        <w:tc>
          <w:tcPr>
            <w:tcW w:w="2577" w:type="dxa"/>
          </w:tcPr>
          <w:p w14:paraId="12800710" w14:textId="6AD96355" w:rsidR="001F3B0D" w:rsidRPr="00845946" w:rsidRDefault="00081721"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5,</w:t>
            </w:r>
            <w:r w:rsidR="002B57F3">
              <w:rPr>
                <w:rFonts w:ascii="Times New Roman" w:hAnsi="Times New Roman"/>
                <w:sz w:val="24"/>
                <w:szCs w:val="24"/>
                <w:lang w:val="nl-NL"/>
              </w:rPr>
              <w:t>69</w:t>
            </w:r>
          </w:p>
        </w:tc>
        <w:tc>
          <w:tcPr>
            <w:tcW w:w="2665" w:type="dxa"/>
          </w:tcPr>
          <w:p w14:paraId="549B9BE5" w14:textId="72483D8C" w:rsidR="001F3B0D" w:rsidRPr="00845946" w:rsidRDefault="00081721"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5,</w:t>
            </w:r>
            <w:r w:rsidR="002B57F3">
              <w:rPr>
                <w:rFonts w:ascii="Times New Roman" w:hAnsi="Times New Roman"/>
                <w:sz w:val="24"/>
                <w:szCs w:val="24"/>
                <w:lang w:val="nl-NL"/>
              </w:rPr>
              <w:t>69</w:t>
            </w:r>
          </w:p>
        </w:tc>
      </w:tr>
      <w:tr w:rsidR="001F3B0D" w:rsidRPr="00845946" w14:paraId="33F169C1" w14:textId="77777777" w:rsidTr="00486F0E">
        <w:trPr>
          <w:trHeight w:val="459"/>
        </w:trPr>
        <w:tc>
          <w:tcPr>
            <w:tcW w:w="4418" w:type="dxa"/>
            <w:vAlign w:val="center"/>
          </w:tcPr>
          <w:p w14:paraId="72BAD938"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- 3 năm</w:t>
            </w:r>
          </w:p>
        </w:tc>
        <w:tc>
          <w:tcPr>
            <w:tcW w:w="2577" w:type="dxa"/>
          </w:tcPr>
          <w:p w14:paraId="052C2A6A" w14:textId="7279B4D2" w:rsidR="001F3B0D" w:rsidRPr="00845946" w:rsidRDefault="002B57F3"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17,12</w:t>
            </w:r>
          </w:p>
        </w:tc>
        <w:tc>
          <w:tcPr>
            <w:tcW w:w="2665" w:type="dxa"/>
          </w:tcPr>
          <w:p w14:paraId="0A63DBBC" w14:textId="7A5160B4" w:rsidR="001F3B0D" w:rsidRPr="00845946" w:rsidRDefault="004B4036" w:rsidP="001F3B0D">
            <w:pPr>
              <w:spacing w:before="120" w:line="360" w:lineRule="auto"/>
              <w:jc w:val="center"/>
              <w:rPr>
                <w:rFonts w:ascii="Times New Roman" w:hAnsi="Times New Roman"/>
                <w:b/>
                <w:sz w:val="24"/>
                <w:szCs w:val="24"/>
                <w:lang w:val="nl-NL"/>
              </w:rPr>
            </w:pPr>
            <w:r w:rsidRPr="00845946">
              <w:rPr>
                <w:rFonts w:ascii="Times New Roman" w:hAnsi="Times New Roman"/>
                <w:sz w:val="24"/>
                <w:szCs w:val="24"/>
                <w:lang w:val="nl-NL"/>
              </w:rPr>
              <w:t>5,</w:t>
            </w:r>
            <w:r w:rsidR="002B57F3">
              <w:rPr>
                <w:rFonts w:ascii="Times New Roman" w:hAnsi="Times New Roman"/>
                <w:sz w:val="24"/>
                <w:szCs w:val="24"/>
                <w:lang w:val="nl-NL"/>
              </w:rPr>
              <w:t>40</w:t>
            </w:r>
          </w:p>
        </w:tc>
      </w:tr>
      <w:tr w:rsidR="001F3B0D" w:rsidRPr="00845946" w14:paraId="3BA90AA0" w14:textId="77777777" w:rsidTr="00486F0E">
        <w:trPr>
          <w:trHeight w:val="472"/>
        </w:trPr>
        <w:tc>
          <w:tcPr>
            <w:tcW w:w="4418" w:type="dxa"/>
            <w:vAlign w:val="center"/>
          </w:tcPr>
          <w:p w14:paraId="4F72DC4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Từ khi thành lập</w:t>
            </w:r>
          </w:p>
        </w:tc>
        <w:tc>
          <w:tcPr>
            <w:tcW w:w="2577" w:type="dxa"/>
          </w:tcPr>
          <w:p w14:paraId="0478FDAA" w14:textId="28B0FAC7" w:rsidR="001F3B0D" w:rsidRPr="00845946" w:rsidRDefault="002B57F3"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31,44</w:t>
            </w:r>
          </w:p>
        </w:tc>
        <w:tc>
          <w:tcPr>
            <w:tcW w:w="2665" w:type="dxa"/>
          </w:tcPr>
          <w:p w14:paraId="30A817E2" w14:textId="6FB7DA7F" w:rsidR="001F3B0D" w:rsidRPr="00845946" w:rsidRDefault="004B4036" w:rsidP="001F3B0D">
            <w:pPr>
              <w:spacing w:before="120" w:line="360" w:lineRule="auto"/>
              <w:jc w:val="center"/>
              <w:rPr>
                <w:rFonts w:ascii="Times New Roman" w:hAnsi="Times New Roman"/>
                <w:sz w:val="24"/>
                <w:szCs w:val="24"/>
                <w:lang w:val="nl-NL"/>
              </w:rPr>
            </w:pPr>
            <w:r w:rsidRPr="00845946">
              <w:rPr>
                <w:rFonts w:ascii="Times New Roman" w:hAnsi="Times New Roman"/>
                <w:sz w:val="24"/>
                <w:szCs w:val="24"/>
                <w:lang w:val="nl-NL"/>
              </w:rPr>
              <w:t>4,8</w:t>
            </w:r>
            <w:r w:rsidR="002B57F3">
              <w:rPr>
                <w:rFonts w:ascii="Times New Roman" w:hAnsi="Times New Roman"/>
                <w:sz w:val="24"/>
                <w:szCs w:val="24"/>
                <w:lang w:val="nl-NL"/>
              </w:rPr>
              <w:t>7</w:t>
            </w:r>
          </w:p>
        </w:tc>
      </w:tr>
      <w:tr w:rsidR="001F3B0D" w:rsidRPr="00845946" w14:paraId="6ADE5A7E" w14:textId="77777777" w:rsidTr="00486F0E">
        <w:trPr>
          <w:trHeight w:val="459"/>
        </w:trPr>
        <w:tc>
          <w:tcPr>
            <w:tcW w:w="4418" w:type="dxa"/>
            <w:vAlign w:val="center"/>
          </w:tcPr>
          <w:p w14:paraId="5F096794" w14:textId="77777777" w:rsidR="001F3B0D" w:rsidRPr="00845946" w:rsidRDefault="001F3B0D" w:rsidP="001F3B0D">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Tăng trưởng của chỉ số tham chiếu</w:t>
            </w:r>
          </w:p>
        </w:tc>
        <w:tc>
          <w:tcPr>
            <w:tcW w:w="2577" w:type="dxa"/>
          </w:tcPr>
          <w:p w14:paraId="06D76F3D" w14:textId="5A229DA0" w:rsidR="001F3B0D" w:rsidRPr="00845946" w:rsidRDefault="002B57F3"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26,18</w:t>
            </w:r>
            <w:r w:rsidR="000769A6" w:rsidRPr="00845946">
              <w:rPr>
                <w:rFonts w:ascii="Times New Roman" w:hAnsi="Times New Roman"/>
                <w:sz w:val="24"/>
                <w:szCs w:val="24"/>
                <w:lang w:val="nl-NL"/>
              </w:rPr>
              <w:t>% (***)</w:t>
            </w:r>
          </w:p>
        </w:tc>
        <w:tc>
          <w:tcPr>
            <w:tcW w:w="2665" w:type="dxa"/>
          </w:tcPr>
          <w:p w14:paraId="11D31BCE" w14:textId="1D0CFE8A" w:rsidR="001F3B0D" w:rsidRPr="00845946" w:rsidRDefault="002B57F3"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-0,02</w:t>
            </w:r>
            <w:r w:rsidR="00F75DB6" w:rsidRPr="00845946">
              <w:rPr>
                <w:rFonts w:ascii="Times New Roman" w:hAnsi="Times New Roman"/>
                <w:sz w:val="24"/>
                <w:szCs w:val="24"/>
                <w:lang w:val="nl-NL"/>
              </w:rPr>
              <w:t>%</w:t>
            </w:r>
          </w:p>
        </w:tc>
      </w:tr>
    </w:tbl>
    <w:p w14:paraId="6F427780" w14:textId="77777777" w:rsidR="001C4468" w:rsidRPr="00845946"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845946">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02715B" w:rsidRPr="00845946" w14:paraId="46053E92" w14:textId="77777777" w:rsidTr="00DD3934">
        <w:tc>
          <w:tcPr>
            <w:tcW w:w="4114" w:type="dxa"/>
            <w:vAlign w:val="center"/>
          </w:tcPr>
          <w:p w14:paraId="63EF60B6" w14:textId="77777777" w:rsidR="0002715B" w:rsidRPr="00845946" w:rsidRDefault="0002715B" w:rsidP="0002715B">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Thời kỳ</w:t>
            </w:r>
          </w:p>
        </w:tc>
        <w:tc>
          <w:tcPr>
            <w:tcW w:w="1348" w:type="dxa"/>
            <w:vAlign w:val="center"/>
          </w:tcPr>
          <w:p w14:paraId="715DFFA7" w14:textId="4B824538" w:rsidR="0002715B" w:rsidRPr="00845946" w:rsidRDefault="0002715B" w:rsidP="0002715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845946">
              <w:rPr>
                <w:rFonts w:ascii="Times New Roman" w:eastAsia="Times New Roman" w:hAnsi="Times New Roman"/>
                <w:b/>
                <w:sz w:val="24"/>
                <w:szCs w:val="24"/>
                <w:lang w:val="nl-NL"/>
              </w:rPr>
              <w:t>/2024</w:t>
            </w:r>
          </w:p>
          <w:p w14:paraId="3E25AC32" w14:textId="77777777" w:rsidR="0002715B" w:rsidRPr="00845946" w:rsidRDefault="0002715B" w:rsidP="0002715B">
            <w:pPr>
              <w:tabs>
                <w:tab w:val="left" w:pos="540"/>
              </w:tabs>
              <w:spacing w:before="120"/>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w:t>
            </w:r>
          </w:p>
        </w:tc>
        <w:tc>
          <w:tcPr>
            <w:tcW w:w="1348" w:type="dxa"/>
            <w:vAlign w:val="center"/>
          </w:tcPr>
          <w:p w14:paraId="1E63434B" w14:textId="77777777" w:rsidR="0002715B" w:rsidRPr="00E93BC5" w:rsidRDefault="0002715B" w:rsidP="0002715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62BE2250" w14:textId="61195522" w:rsidR="0002715B" w:rsidRPr="00845946" w:rsidRDefault="0002715B" w:rsidP="0002715B">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348" w:type="dxa"/>
            <w:vAlign w:val="center"/>
          </w:tcPr>
          <w:p w14:paraId="77E47C8E" w14:textId="77777777" w:rsidR="0002715B" w:rsidRPr="00E93BC5" w:rsidRDefault="0002715B" w:rsidP="0002715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6BDF6B99" w14:textId="138B3E83" w:rsidR="0002715B" w:rsidRPr="00845946" w:rsidRDefault="0002715B" w:rsidP="0002715B">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c>
          <w:tcPr>
            <w:tcW w:w="1534" w:type="dxa"/>
            <w:vAlign w:val="center"/>
          </w:tcPr>
          <w:p w14:paraId="2AB0DF66" w14:textId="77777777" w:rsidR="0002715B" w:rsidRPr="00E93BC5" w:rsidRDefault="0002715B" w:rsidP="0002715B">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E93BC5">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p w14:paraId="44B099B3" w14:textId="5E771ED9" w:rsidR="0002715B" w:rsidRPr="00845946" w:rsidRDefault="0002715B" w:rsidP="0002715B">
            <w:pPr>
              <w:tabs>
                <w:tab w:val="left" w:pos="540"/>
              </w:tabs>
              <w:spacing w:before="120"/>
              <w:jc w:val="center"/>
              <w:rPr>
                <w:rFonts w:ascii="Times New Roman" w:eastAsia="Times New Roman" w:hAnsi="Times New Roman"/>
                <w:b/>
                <w:sz w:val="24"/>
                <w:szCs w:val="24"/>
                <w:lang w:val="nl-NL"/>
              </w:rPr>
            </w:pPr>
            <w:r w:rsidRPr="00E93BC5">
              <w:rPr>
                <w:rFonts w:ascii="Times New Roman" w:eastAsia="Times New Roman" w:hAnsi="Times New Roman"/>
                <w:b/>
                <w:sz w:val="24"/>
                <w:szCs w:val="24"/>
                <w:lang w:val="nl-NL"/>
              </w:rPr>
              <w:t>(%)</w:t>
            </w:r>
          </w:p>
        </w:tc>
      </w:tr>
      <w:tr w:rsidR="0002715B" w:rsidRPr="00845946" w14:paraId="40A2B000" w14:textId="77777777" w:rsidTr="00DD3934">
        <w:tc>
          <w:tcPr>
            <w:tcW w:w="4114" w:type="dxa"/>
          </w:tcPr>
          <w:p w14:paraId="523E3903" w14:textId="77777777" w:rsidR="0002715B" w:rsidRPr="00845946" w:rsidRDefault="0002715B" w:rsidP="0002715B">
            <w:pPr>
              <w:spacing w:before="120" w:line="360" w:lineRule="auto"/>
              <w:jc w:val="both"/>
              <w:rPr>
                <w:rFonts w:ascii="Times New Roman" w:hAnsi="Times New Roman"/>
                <w:b/>
                <w:sz w:val="24"/>
                <w:szCs w:val="24"/>
                <w:lang w:val="nl-NL"/>
              </w:rPr>
            </w:pPr>
            <w:r w:rsidRPr="00845946">
              <w:rPr>
                <w:rFonts w:ascii="Times New Roman" w:eastAsia="Times New Roman" w:hAnsi="Times New Roman"/>
                <w:sz w:val="24"/>
                <w:szCs w:val="24"/>
                <w:lang w:val="nl-NL"/>
              </w:rPr>
              <w:t>Tỷ lệ tăng trưởng (%)/01 đơn vị CCQ</w:t>
            </w:r>
          </w:p>
        </w:tc>
        <w:tc>
          <w:tcPr>
            <w:tcW w:w="1348" w:type="dxa"/>
          </w:tcPr>
          <w:p w14:paraId="381DF6FD" w14:textId="0B94CEE5" w:rsidR="0002715B" w:rsidRPr="00845946" w:rsidRDefault="0002715B" w:rsidP="0002715B">
            <w:pPr>
              <w:spacing w:before="120" w:line="360" w:lineRule="auto"/>
              <w:jc w:val="center"/>
              <w:rPr>
                <w:rFonts w:ascii="Times New Roman" w:hAnsi="Times New Roman"/>
                <w:sz w:val="24"/>
                <w:szCs w:val="24"/>
                <w:lang w:val="nl-NL"/>
              </w:rPr>
            </w:pPr>
            <w:r>
              <w:rPr>
                <w:rFonts w:ascii="Times New Roman" w:hAnsi="Times New Roman"/>
                <w:sz w:val="24"/>
                <w:szCs w:val="24"/>
                <w:lang w:val="nl-NL"/>
              </w:rPr>
              <w:t>5,69</w:t>
            </w:r>
          </w:p>
        </w:tc>
        <w:tc>
          <w:tcPr>
            <w:tcW w:w="1348" w:type="dxa"/>
          </w:tcPr>
          <w:p w14:paraId="70992C03" w14:textId="395B7CF4" w:rsidR="0002715B" w:rsidRPr="00845946" w:rsidRDefault="0002715B" w:rsidP="0002715B">
            <w:pPr>
              <w:spacing w:before="120" w:line="360" w:lineRule="auto"/>
              <w:jc w:val="center"/>
              <w:rPr>
                <w:rFonts w:ascii="Times New Roman" w:hAnsi="Times New Roman"/>
                <w:sz w:val="24"/>
                <w:szCs w:val="24"/>
                <w:lang w:val="nl-NL"/>
              </w:rPr>
            </w:pPr>
            <w:r>
              <w:rPr>
                <w:rFonts w:ascii="Times New Roman" w:hAnsi="Times New Roman"/>
                <w:sz w:val="24"/>
                <w:szCs w:val="24"/>
                <w:lang w:val="nl-NL"/>
              </w:rPr>
              <w:t>6,35</w:t>
            </w:r>
          </w:p>
        </w:tc>
        <w:tc>
          <w:tcPr>
            <w:tcW w:w="1348" w:type="dxa"/>
          </w:tcPr>
          <w:p w14:paraId="3F3A62B4" w14:textId="67EA4CF8" w:rsidR="0002715B" w:rsidRPr="00845946" w:rsidRDefault="0002715B" w:rsidP="0002715B">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4,20</w:t>
            </w:r>
          </w:p>
        </w:tc>
        <w:tc>
          <w:tcPr>
            <w:tcW w:w="1534" w:type="dxa"/>
          </w:tcPr>
          <w:p w14:paraId="3DE977B8" w14:textId="2E9A3D17" w:rsidR="0002715B" w:rsidRPr="00845946" w:rsidRDefault="0002715B" w:rsidP="0002715B">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3,92</w:t>
            </w:r>
          </w:p>
        </w:tc>
      </w:tr>
    </w:tbl>
    <w:p w14:paraId="026F5225" w14:textId="349C2EBC" w:rsidR="006F77D6" w:rsidRPr="00845946" w:rsidRDefault="001C4468" w:rsidP="00EC3E69">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Ghi chú:</w:t>
      </w:r>
    </w:p>
    <w:p w14:paraId="03AF00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0034115C" w:rsidRPr="00845946">
        <w:rPr>
          <w:rFonts w:ascii="Times New Roman" w:hAnsi="Times New Roman"/>
          <w:i/>
          <w:sz w:val="24"/>
          <w:szCs w:val="24"/>
          <w:lang w:val="nl-NL"/>
        </w:rPr>
        <w:t>(*</w:t>
      </w: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Chứng chỉ quỹ của Quỹ không được niêm yết trên thị trường chứng khoán</w:t>
      </w:r>
      <w:r w:rsidR="00332909" w:rsidRPr="00845946">
        <w:rPr>
          <w:rFonts w:ascii="Times New Roman" w:hAnsi="Times New Roman"/>
          <w:i/>
          <w:sz w:val="24"/>
          <w:szCs w:val="24"/>
          <w:lang w:val="nl-NL"/>
        </w:rPr>
        <w:t>.</w:t>
      </w:r>
    </w:p>
    <w:p w14:paraId="6BB3FF87" w14:textId="77777777" w:rsidR="006F77D6" w:rsidRPr="00845946"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w:t>
      </w:r>
      <w:r w:rsidR="0034115C" w:rsidRPr="00845946">
        <w:rPr>
          <w:rFonts w:ascii="Times New Roman" w:hAnsi="Times New Roman"/>
          <w:i/>
          <w:sz w:val="24"/>
          <w:szCs w:val="24"/>
          <w:lang w:val="nl-NL"/>
        </w:rPr>
        <w:t>**</w:t>
      </w:r>
      <w:r w:rsidR="0024670A"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Pr="00845946">
        <w:rPr>
          <w:rFonts w:ascii="Times New Roman" w:hAnsi="Times New Roman"/>
          <w:i/>
          <w:sz w:val="24"/>
          <w:szCs w:val="24"/>
          <w:lang w:val="nl-NL"/>
        </w:rPr>
        <w:t xml:space="preserve">Quỹ </w:t>
      </w:r>
      <w:r w:rsidR="0034115C" w:rsidRPr="00845946">
        <w:rPr>
          <w:rFonts w:ascii="Times New Roman" w:hAnsi="Times New Roman"/>
          <w:i/>
          <w:sz w:val="24"/>
          <w:szCs w:val="24"/>
          <w:lang w:val="nl-NL"/>
        </w:rPr>
        <w:t>chưa</w:t>
      </w:r>
      <w:r w:rsidRPr="00845946">
        <w:rPr>
          <w:rFonts w:ascii="Times New Roman" w:hAnsi="Times New Roman"/>
          <w:i/>
          <w:sz w:val="24"/>
          <w:szCs w:val="24"/>
          <w:lang w:val="nl-NL"/>
        </w:rPr>
        <w:t xml:space="preserve"> phân phối lợi nhuận.</w:t>
      </w:r>
    </w:p>
    <w:p w14:paraId="735ECF9F" w14:textId="7C58E06E" w:rsidR="006F77D6" w:rsidRPr="00845946"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845946">
        <w:rPr>
          <w:rFonts w:ascii="Times New Roman" w:hAnsi="Times New Roman"/>
          <w:i/>
          <w:sz w:val="24"/>
          <w:szCs w:val="24"/>
          <w:lang w:val="nl-NL"/>
        </w:rPr>
        <w:t xml:space="preserve">(***): </w:t>
      </w:r>
      <w:r w:rsidR="004F5C05" w:rsidRPr="00845946">
        <w:rPr>
          <w:rFonts w:ascii="Times New Roman" w:hAnsi="Times New Roman"/>
          <w:i/>
          <w:sz w:val="24"/>
          <w:szCs w:val="24"/>
          <w:lang w:val="nl-NL"/>
        </w:rPr>
        <w:tab/>
      </w:r>
      <w:r w:rsidR="0034115C" w:rsidRPr="00845946">
        <w:rPr>
          <w:rFonts w:ascii="Times New Roman" w:hAnsi="Times New Roman"/>
          <w:i/>
          <w:sz w:val="24"/>
          <w:szCs w:val="24"/>
          <w:lang w:val="nl-NL"/>
        </w:rPr>
        <w:t>Quỹ áp dụng chỉ số tham chiếu</w:t>
      </w:r>
      <w:r w:rsidR="000769A6" w:rsidRPr="00845946">
        <w:rPr>
          <w:rFonts w:ascii="Times New Roman" w:hAnsi="Times New Roman"/>
          <w:i/>
          <w:sz w:val="24"/>
          <w:szCs w:val="24"/>
          <w:lang w:val="nl-NL"/>
        </w:rPr>
        <w:t xml:space="preserve"> là Chỉ số Trái phiếu Chính phủ năm (05) năm của HNX </w:t>
      </w:r>
      <w:r w:rsidR="00D06993" w:rsidRPr="00845946">
        <w:rPr>
          <w:rFonts w:ascii="Times New Roman" w:hAnsi="Times New Roman"/>
          <w:i/>
          <w:sz w:val="24"/>
          <w:szCs w:val="24"/>
          <w:lang w:val="nl-NL"/>
        </w:rPr>
        <w:t xml:space="preserve">   </w:t>
      </w:r>
      <w:r w:rsidR="00785B96" w:rsidRPr="00845946">
        <w:rPr>
          <w:rFonts w:ascii="Times New Roman" w:hAnsi="Times New Roman"/>
          <w:i/>
          <w:sz w:val="24"/>
          <w:szCs w:val="24"/>
          <w:lang w:val="nl-NL"/>
        </w:rPr>
        <w:t xml:space="preserve">từ khi thành lập đến </w:t>
      </w:r>
      <w:r w:rsidR="00C15853" w:rsidRPr="00845946">
        <w:rPr>
          <w:rFonts w:ascii="Times New Roman" w:hAnsi="Times New Roman"/>
          <w:i/>
          <w:sz w:val="24"/>
          <w:szCs w:val="24"/>
          <w:lang w:val="nl-NL"/>
        </w:rPr>
        <w:t>thời điểm báo cáo</w:t>
      </w:r>
      <w:r w:rsidR="00C8278D" w:rsidRPr="00845946">
        <w:rPr>
          <w:rFonts w:ascii="Times New Roman" w:hAnsi="Times New Roman"/>
          <w:i/>
          <w:sz w:val="24"/>
          <w:szCs w:val="24"/>
          <w:lang w:val="nl-NL"/>
        </w:rPr>
        <w:t>.</w:t>
      </w:r>
    </w:p>
    <w:p w14:paraId="78A6CDC6" w14:textId="77777777" w:rsidR="00AB6DCF" w:rsidRPr="00845946" w:rsidRDefault="00AB6DCF"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p>
    <w:p w14:paraId="175005EB" w14:textId="77777777" w:rsidR="001C4468" w:rsidRPr="00845946"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III. </w:t>
      </w:r>
      <w:r w:rsidR="00B953F5" w:rsidRPr="00845946">
        <w:rPr>
          <w:rFonts w:ascii="Times New Roman" w:hAnsi="Times New Roman"/>
          <w:b/>
          <w:sz w:val="24"/>
          <w:szCs w:val="24"/>
          <w:lang w:val="nl-NL"/>
        </w:rPr>
        <w:tab/>
      </w:r>
      <w:bookmarkStart w:id="0" w:name="_Hlk37245109"/>
      <w:r w:rsidRPr="00845946">
        <w:rPr>
          <w:rFonts w:ascii="Times New Roman" w:hAnsi="Times New Roman"/>
          <w:b/>
          <w:sz w:val="24"/>
          <w:szCs w:val="24"/>
          <w:lang w:val="nl-NL"/>
        </w:rPr>
        <w:t>M</w:t>
      </w:r>
      <w:r w:rsidR="00B953F5" w:rsidRPr="00845946">
        <w:rPr>
          <w:rFonts w:ascii="Times New Roman" w:hAnsi="Times New Roman"/>
          <w:b/>
          <w:sz w:val="24"/>
          <w:szCs w:val="24"/>
          <w:lang w:val="nl-NL"/>
        </w:rPr>
        <w:t>Ô TẢ THỊ TRƯỜNG TRONG KỲ</w:t>
      </w:r>
    </w:p>
    <w:bookmarkEnd w:id="0"/>
    <w:p w14:paraId="2E2750D2" w14:textId="77777777" w:rsidR="00D60E31" w:rsidRPr="008F285B" w:rsidRDefault="00D60E31" w:rsidP="00D60E31">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8F285B">
        <w:rPr>
          <w:rFonts w:ascii="Times New Roman" w:hAnsi="Times New Roman"/>
          <w:b/>
          <w:sz w:val="24"/>
          <w:szCs w:val="24"/>
          <w:lang w:val="nl-NL"/>
        </w:rPr>
        <w:t>Kinh tế Vĩ mô:</w:t>
      </w:r>
    </w:p>
    <w:p w14:paraId="742601C6" w14:textId="77777777" w:rsidR="00A94E19" w:rsidRPr="00B11790" w:rsidRDefault="00A94E19" w:rsidP="00A94E19">
      <w:pPr>
        <w:shd w:val="clear" w:color="auto" w:fill="FFFFFF"/>
        <w:tabs>
          <w:tab w:val="left" w:pos="426"/>
        </w:tabs>
        <w:spacing w:before="120" w:after="0" w:line="360" w:lineRule="auto"/>
        <w:jc w:val="both"/>
        <w:rPr>
          <w:rFonts w:ascii="Times New Roman" w:eastAsia="Times New Roman" w:hAnsi="Times New Roman"/>
          <w:b/>
          <w:bCs/>
          <w:sz w:val="24"/>
          <w:szCs w:val="24"/>
          <w:lang w:val="nl-NL"/>
        </w:rPr>
      </w:pPr>
      <w:r w:rsidRPr="00B11790">
        <w:rPr>
          <w:rFonts w:ascii="Times New Roman" w:eastAsia="Times New Roman" w:hAnsi="Times New Roman"/>
          <w:b/>
          <w:bCs/>
          <w:sz w:val="24"/>
          <w:szCs w:val="24"/>
          <w:lang w:val="nl-NL"/>
        </w:rPr>
        <w:t>Tổng sản phẩm trong nước (GDP)</w:t>
      </w:r>
    </w:p>
    <w:p w14:paraId="711F02D6" w14:textId="77777777" w:rsidR="00A94E19" w:rsidRPr="0002715B" w:rsidRDefault="00A94E19" w:rsidP="00A94E19">
      <w:pPr>
        <w:shd w:val="clear" w:color="auto" w:fill="FFFFFF"/>
        <w:tabs>
          <w:tab w:val="left" w:pos="426"/>
        </w:tabs>
        <w:spacing w:after="0" w:line="240" w:lineRule="auto"/>
        <w:jc w:val="both"/>
        <w:rPr>
          <w:rFonts w:ascii="Times New Roman" w:hAnsi="Times New Roman"/>
          <w:bCs/>
          <w:sz w:val="24"/>
          <w:szCs w:val="24"/>
          <w:highlight w:val="yellow"/>
          <w:lang w:val="nl-NL"/>
        </w:rPr>
      </w:pPr>
      <w:r w:rsidRPr="009876B3">
        <w:rPr>
          <w:rFonts w:ascii="Times New Roman" w:hAnsi="Times New Roman"/>
          <w:bCs/>
          <w:sz w:val="24"/>
          <w:szCs w:val="24"/>
          <w:lang w:val="nl-NL"/>
        </w:rPr>
        <w:t xml:space="preserve">Tổng sản phẩm trong nước (GDP) </w:t>
      </w:r>
      <w:r>
        <w:rPr>
          <w:rFonts w:ascii="Times New Roman" w:hAnsi="Times New Roman"/>
          <w:bCs/>
          <w:sz w:val="24"/>
          <w:szCs w:val="24"/>
          <w:lang w:val="nl-NL"/>
        </w:rPr>
        <w:t>Q</w:t>
      </w:r>
      <w:r w:rsidRPr="009876B3">
        <w:rPr>
          <w:rFonts w:ascii="Times New Roman" w:hAnsi="Times New Roman"/>
          <w:bCs/>
          <w:sz w:val="24"/>
          <w:szCs w:val="24"/>
          <w:lang w:val="nl-NL"/>
        </w:rPr>
        <w:t xml:space="preserve">uý </w:t>
      </w:r>
      <w:r>
        <w:rPr>
          <w:rFonts w:ascii="Times New Roman" w:hAnsi="Times New Roman"/>
          <w:bCs/>
          <w:sz w:val="24"/>
          <w:szCs w:val="24"/>
          <w:lang w:val="nl-NL"/>
        </w:rPr>
        <w:t>4</w:t>
      </w:r>
      <w:r w:rsidRPr="009876B3">
        <w:rPr>
          <w:rFonts w:ascii="Times New Roman" w:hAnsi="Times New Roman"/>
          <w:bCs/>
          <w:sz w:val="24"/>
          <w:szCs w:val="24"/>
          <w:lang w:val="nl-NL"/>
        </w:rPr>
        <w:t xml:space="preserve">/2024 ước tính tăng 7,55% so với cùng kỳ năm trước, chỉ thấp hơn </w:t>
      </w:r>
      <w:r>
        <w:rPr>
          <w:rFonts w:ascii="Times New Roman" w:hAnsi="Times New Roman"/>
          <w:bCs/>
          <w:sz w:val="24"/>
          <w:szCs w:val="24"/>
          <w:lang w:val="nl-NL"/>
        </w:rPr>
        <w:t>Q</w:t>
      </w:r>
      <w:r w:rsidRPr="009876B3">
        <w:rPr>
          <w:rFonts w:ascii="Times New Roman" w:hAnsi="Times New Roman"/>
          <w:bCs/>
          <w:sz w:val="24"/>
          <w:szCs w:val="24"/>
          <w:lang w:val="nl-NL"/>
        </w:rPr>
        <w:t xml:space="preserve">uý </w:t>
      </w:r>
      <w:r>
        <w:rPr>
          <w:rFonts w:ascii="Times New Roman" w:hAnsi="Times New Roman"/>
          <w:bCs/>
          <w:sz w:val="24"/>
          <w:szCs w:val="24"/>
          <w:lang w:val="nl-NL"/>
        </w:rPr>
        <w:t>4</w:t>
      </w:r>
      <w:r w:rsidRPr="009876B3">
        <w:rPr>
          <w:rFonts w:ascii="Times New Roman" w:hAnsi="Times New Roman"/>
          <w:bCs/>
          <w:sz w:val="24"/>
          <w:szCs w:val="24"/>
          <w:lang w:val="nl-NL"/>
        </w:rPr>
        <w:t xml:space="preserve"> các năm 2017, 2018 trong giai đoạn 2011-2024, duy trì xu hướng quý sau cao hơn quý trước (</w:t>
      </w:r>
      <w:r>
        <w:rPr>
          <w:rFonts w:ascii="Times New Roman" w:hAnsi="Times New Roman"/>
          <w:bCs/>
          <w:sz w:val="24"/>
          <w:szCs w:val="24"/>
          <w:lang w:val="nl-NL"/>
        </w:rPr>
        <w:t>Q</w:t>
      </w:r>
      <w:r w:rsidRPr="009876B3">
        <w:rPr>
          <w:rFonts w:ascii="Times New Roman" w:hAnsi="Times New Roman"/>
          <w:bCs/>
          <w:sz w:val="24"/>
          <w:szCs w:val="24"/>
          <w:lang w:val="nl-NL"/>
        </w:rPr>
        <w:t xml:space="preserve">uý </w:t>
      </w:r>
      <w:r>
        <w:rPr>
          <w:rFonts w:ascii="Times New Roman" w:hAnsi="Times New Roman"/>
          <w:bCs/>
          <w:sz w:val="24"/>
          <w:szCs w:val="24"/>
          <w:lang w:val="nl-NL"/>
        </w:rPr>
        <w:t>1</w:t>
      </w:r>
      <w:r w:rsidRPr="009876B3">
        <w:rPr>
          <w:rFonts w:ascii="Times New Roman" w:hAnsi="Times New Roman"/>
          <w:bCs/>
          <w:sz w:val="24"/>
          <w:szCs w:val="24"/>
          <w:lang w:val="nl-NL"/>
        </w:rPr>
        <w:t xml:space="preserve"> tăng 5,98%, </w:t>
      </w:r>
      <w:r>
        <w:rPr>
          <w:rFonts w:ascii="Times New Roman" w:hAnsi="Times New Roman"/>
          <w:bCs/>
          <w:sz w:val="24"/>
          <w:szCs w:val="24"/>
          <w:lang w:val="nl-NL"/>
        </w:rPr>
        <w:t>Q</w:t>
      </w:r>
      <w:r w:rsidRPr="009876B3">
        <w:rPr>
          <w:rFonts w:ascii="Times New Roman" w:hAnsi="Times New Roman"/>
          <w:bCs/>
          <w:sz w:val="24"/>
          <w:szCs w:val="24"/>
          <w:lang w:val="nl-NL"/>
        </w:rPr>
        <w:t xml:space="preserve">uý </w:t>
      </w:r>
      <w:r>
        <w:rPr>
          <w:rFonts w:ascii="Times New Roman" w:hAnsi="Times New Roman"/>
          <w:bCs/>
          <w:sz w:val="24"/>
          <w:szCs w:val="24"/>
          <w:lang w:val="nl-NL"/>
        </w:rPr>
        <w:t>2</w:t>
      </w:r>
      <w:r w:rsidRPr="009876B3">
        <w:rPr>
          <w:rFonts w:ascii="Times New Roman" w:hAnsi="Times New Roman"/>
          <w:bCs/>
          <w:sz w:val="24"/>
          <w:szCs w:val="24"/>
          <w:lang w:val="nl-NL"/>
        </w:rPr>
        <w:t xml:space="preserve"> tăng 7,25%, </w:t>
      </w:r>
      <w:r>
        <w:rPr>
          <w:rFonts w:ascii="Times New Roman" w:hAnsi="Times New Roman"/>
          <w:bCs/>
          <w:sz w:val="24"/>
          <w:szCs w:val="24"/>
          <w:lang w:val="nl-NL"/>
        </w:rPr>
        <w:t>Q</w:t>
      </w:r>
      <w:r w:rsidRPr="009876B3">
        <w:rPr>
          <w:rFonts w:ascii="Times New Roman" w:hAnsi="Times New Roman"/>
          <w:bCs/>
          <w:sz w:val="24"/>
          <w:szCs w:val="24"/>
          <w:lang w:val="nl-NL"/>
        </w:rPr>
        <w:t xml:space="preserve">uý </w:t>
      </w:r>
      <w:r>
        <w:rPr>
          <w:rFonts w:ascii="Times New Roman" w:hAnsi="Times New Roman"/>
          <w:bCs/>
          <w:sz w:val="24"/>
          <w:szCs w:val="24"/>
          <w:lang w:val="nl-NL"/>
        </w:rPr>
        <w:t>3</w:t>
      </w:r>
      <w:r w:rsidRPr="009876B3">
        <w:rPr>
          <w:rFonts w:ascii="Times New Roman" w:hAnsi="Times New Roman"/>
          <w:bCs/>
          <w:sz w:val="24"/>
          <w:szCs w:val="24"/>
          <w:lang w:val="nl-NL"/>
        </w:rPr>
        <w:t xml:space="preserve"> tăng 7,43%). Trong đó, khu vực nông, lâm nghiệp và thủy sản tăng 2,99%, đóng góp 4,86% vào mức tăng tổng giá trị tăng thêm toàn nền kinh tế; khu vực công nghiệp và xây dựng tăng 8,35%, đóng góp 44,03%; khu vực dịch vụ tăng 8,21%, đóng góp 51,11%.</w:t>
      </w:r>
    </w:p>
    <w:p w14:paraId="4DBCB9F6" w14:textId="77777777" w:rsidR="00A94E19" w:rsidRPr="009876B3" w:rsidRDefault="00A94E19" w:rsidP="00A94E19">
      <w:pPr>
        <w:pStyle w:val="ListParagraph"/>
        <w:numPr>
          <w:ilvl w:val="0"/>
          <w:numId w:val="21"/>
        </w:numPr>
        <w:shd w:val="clear" w:color="auto" w:fill="FFFFFF"/>
        <w:tabs>
          <w:tab w:val="left" w:pos="426"/>
        </w:tabs>
        <w:spacing w:before="120" w:after="0" w:line="240" w:lineRule="auto"/>
        <w:jc w:val="both"/>
        <w:rPr>
          <w:rFonts w:ascii="Times New Roman" w:hAnsi="Times New Roman"/>
          <w:bCs/>
          <w:sz w:val="24"/>
          <w:szCs w:val="24"/>
          <w:lang w:val="nl-NL"/>
        </w:rPr>
      </w:pPr>
      <w:r w:rsidRPr="009876B3">
        <w:rPr>
          <w:rFonts w:ascii="Times New Roman" w:hAnsi="Times New Roman"/>
          <w:bCs/>
          <w:sz w:val="24"/>
          <w:szCs w:val="24"/>
          <w:lang w:val="nl-NL"/>
        </w:rPr>
        <w:t>Khu vực nông, lâm nghiệp và thủy sản năm 2024 đạt mức tăng trưởng tích cực 3,27% mặc dù chịu ảnh hưởng của thiên tai, bão lũ. Trong đó, sản lượng nhiều nông sản tăng cao, chăn nuôi phát triển ổn định, sản lượng thủy sản nuôi trồng tăng khá. Cụ thể, giá trị tăng thêm ngành nông nghiệp năm 2024 tăng 2,94% so với năm trước, đóng góp 0,26</w:t>
      </w:r>
      <w:r>
        <w:rPr>
          <w:rFonts w:ascii="Times New Roman" w:hAnsi="Times New Roman"/>
          <w:bCs/>
          <w:sz w:val="24"/>
          <w:szCs w:val="24"/>
          <w:lang w:val="nl-NL"/>
        </w:rPr>
        <w:t>%</w:t>
      </w:r>
      <w:r w:rsidRPr="009876B3">
        <w:rPr>
          <w:rFonts w:ascii="Times New Roman" w:hAnsi="Times New Roman"/>
          <w:bCs/>
          <w:sz w:val="24"/>
          <w:szCs w:val="24"/>
          <w:lang w:val="nl-NL"/>
        </w:rPr>
        <w:t xml:space="preserve"> vào mức tăng tổng giá trị tăng thêm của toàn nền kinh tế; ngành lâm nghiệp tăng 5,03% nhưng chiếm tỷ trọng thấp nên chỉ đóng góp 0,03</w:t>
      </w:r>
      <w:r>
        <w:rPr>
          <w:rFonts w:ascii="Times New Roman" w:hAnsi="Times New Roman"/>
          <w:bCs/>
          <w:sz w:val="24"/>
          <w:szCs w:val="24"/>
          <w:lang w:val="nl-NL"/>
        </w:rPr>
        <w:t>%</w:t>
      </w:r>
      <w:r w:rsidRPr="009876B3">
        <w:rPr>
          <w:rFonts w:ascii="Times New Roman" w:hAnsi="Times New Roman"/>
          <w:bCs/>
          <w:sz w:val="24"/>
          <w:szCs w:val="24"/>
          <w:lang w:val="nl-NL"/>
        </w:rPr>
        <w:t>; ngành thủy sản tăng 4,03%, đóng góp 0,10</w:t>
      </w:r>
      <w:r>
        <w:rPr>
          <w:rFonts w:ascii="Times New Roman" w:hAnsi="Times New Roman"/>
          <w:bCs/>
          <w:sz w:val="24"/>
          <w:szCs w:val="24"/>
          <w:lang w:val="nl-NL"/>
        </w:rPr>
        <w:t>%</w:t>
      </w:r>
      <w:r w:rsidRPr="009876B3">
        <w:rPr>
          <w:rFonts w:ascii="Times New Roman" w:hAnsi="Times New Roman"/>
          <w:bCs/>
          <w:sz w:val="24"/>
          <w:szCs w:val="24"/>
          <w:lang w:val="nl-NL"/>
        </w:rPr>
        <w:t>.</w:t>
      </w:r>
    </w:p>
    <w:p w14:paraId="5C36F3B3" w14:textId="77777777" w:rsidR="00A94E19" w:rsidRPr="009876B3" w:rsidRDefault="00A94E19" w:rsidP="00A94E19">
      <w:pPr>
        <w:pStyle w:val="ListParagraph"/>
        <w:numPr>
          <w:ilvl w:val="0"/>
          <w:numId w:val="21"/>
        </w:numPr>
        <w:shd w:val="clear" w:color="auto" w:fill="FFFFFF"/>
        <w:tabs>
          <w:tab w:val="left" w:pos="426"/>
        </w:tabs>
        <w:spacing w:before="120" w:after="0" w:line="240" w:lineRule="auto"/>
        <w:jc w:val="both"/>
        <w:rPr>
          <w:rFonts w:ascii="Times New Roman" w:hAnsi="Times New Roman"/>
          <w:bCs/>
          <w:sz w:val="24"/>
          <w:szCs w:val="24"/>
          <w:lang w:val="nl-NL"/>
        </w:rPr>
      </w:pPr>
      <w:r w:rsidRPr="009876B3">
        <w:rPr>
          <w:rFonts w:ascii="Times New Roman" w:hAnsi="Times New Roman"/>
          <w:bCs/>
          <w:sz w:val="24"/>
          <w:szCs w:val="24"/>
          <w:lang w:val="nl-NL"/>
        </w:rPr>
        <w:t>Trong khu vực công nghiệp và xây dựng, ngành công nghiệp phục hồi tích cực và tăng trưởng mạnh mẽ so với năm 2023. Giá trị tăng thêm ngành công nghiệp năm 2024 tăng 8,32% so với năm trước, chỉ thấp hơn mức tăng 8,52% của năm 2022 trong giai đoạn 2019-2024, đóng góp 2,70</w:t>
      </w:r>
      <w:r>
        <w:rPr>
          <w:rFonts w:ascii="Times New Roman" w:hAnsi="Times New Roman"/>
          <w:bCs/>
          <w:sz w:val="24"/>
          <w:szCs w:val="24"/>
          <w:lang w:val="nl-NL"/>
        </w:rPr>
        <w:t>%</w:t>
      </w:r>
      <w:r w:rsidRPr="009876B3">
        <w:rPr>
          <w:rFonts w:ascii="Times New Roman" w:hAnsi="Times New Roman"/>
          <w:bCs/>
          <w:sz w:val="24"/>
          <w:szCs w:val="24"/>
          <w:lang w:val="nl-NL"/>
        </w:rPr>
        <w:t xml:space="preserve"> vào tốc độ tăng tổng giá trị tăng thêm toàn nền kinh tế. Trong đó, ngành công nghiệp chế biến, chế tạo tăng 9,83%, thấp hơn mức tăng các năm 2011, 2016, 2017, 2018 trong giai đoạn 2011-2024, đóng góp 2,49</w:t>
      </w:r>
      <w:r>
        <w:rPr>
          <w:rFonts w:ascii="Times New Roman" w:hAnsi="Times New Roman"/>
          <w:bCs/>
          <w:sz w:val="24"/>
          <w:szCs w:val="24"/>
          <w:lang w:val="nl-NL"/>
        </w:rPr>
        <w:t>%</w:t>
      </w:r>
      <w:r w:rsidRPr="009876B3">
        <w:rPr>
          <w:rFonts w:ascii="Times New Roman" w:hAnsi="Times New Roman"/>
          <w:bCs/>
          <w:sz w:val="24"/>
          <w:szCs w:val="24"/>
          <w:lang w:val="nl-NL"/>
        </w:rPr>
        <w:t xml:space="preserve">. Ngành cung cấp nước, quản lý và xử lý rác thải, nước thải tăng </w:t>
      </w:r>
      <w:r w:rsidRPr="009876B3">
        <w:rPr>
          <w:rFonts w:ascii="Times New Roman" w:hAnsi="Times New Roman"/>
          <w:bCs/>
          <w:sz w:val="24"/>
          <w:szCs w:val="24"/>
          <w:lang w:val="nl-NL"/>
        </w:rPr>
        <w:lastRenderedPageBreak/>
        <w:t>9,43%, đóng góp 0,06</w:t>
      </w:r>
      <w:r>
        <w:rPr>
          <w:rFonts w:ascii="Times New Roman" w:hAnsi="Times New Roman"/>
          <w:bCs/>
          <w:sz w:val="24"/>
          <w:szCs w:val="24"/>
          <w:lang w:val="nl-NL"/>
        </w:rPr>
        <w:t>%</w:t>
      </w:r>
      <w:r w:rsidRPr="009876B3">
        <w:rPr>
          <w:rFonts w:ascii="Times New Roman" w:hAnsi="Times New Roman"/>
          <w:bCs/>
          <w:sz w:val="24"/>
          <w:szCs w:val="24"/>
          <w:lang w:val="nl-NL"/>
        </w:rPr>
        <w:t>. Ngành sản xuất và phân phối điện tăng 10,05%, đóng góp 0,37</w:t>
      </w:r>
      <w:r>
        <w:rPr>
          <w:rFonts w:ascii="Times New Roman" w:hAnsi="Times New Roman"/>
          <w:bCs/>
          <w:sz w:val="24"/>
          <w:szCs w:val="24"/>
          <w:lang w:val="nl-NL"/>
        </w:rPr>
        <w:t>%</w:t>
      </w:r>
      <w:r w:rsidRPr="009876B3">
        <w:rPr>
          <w:rFonts w:ascii="Times New Roman" w:hAnsi="Times New Roman"/>
          <w:bCs/>
          <w:sz w:val="24"/>
          <w:szCs w:val="24"/>
          <w:lang w:val="nl-NL"/>
        </w:rPr>
        <w:t>. Ngành khai khoáng giảm 7,24%, làm giảm 0,21</w:t>
      </w:r>
      <w:r>
        <w:rPr>
          <w:rFonts w:ascii="Times New Roman" w:hAnsi="Times New Roman"/>
          <w:bCs/>
          <w:sz w:val="24"/>
          <w:szCs w:val="24"/>
          <w:lang w:val="nl-NL"/>
        </w:rPr>
        <w:t>%</w:t>
      </w:r>
      <w:r w:rsidRPr="009876B3">
        <w:rPr>
          <w:rFonts w:ascii="Times New Roman" w:hAnsi="Times New Roman"/>
          <w:bCs/>
          <w:sz w:val="24"/>
          <w:szCs w:val="24"/>
          <w:lang w:val="nl-NL"/>
        </w:rPr>
        <w:t>. Ngành xây dựng tăng 7,87%, đóng góp 0,57</w:t>
      </w:r>
      <w:r>
        <w:rPr>
          <w:rFonts w:ascii="Times New Roman" w:hAnsi="Times New Roman"/>
          <w:bCs/>
          <w:sz w:val="24"/>
          <w:szCs w:val="24"/>
          <w:lang w:val="nl-NL"/>
        </w:rPr>
        <w:t>%</w:t>
      </w:r>
      <w:r w:rsidRPr="009876B3">
        <w:rPr>
          <w:rFonts w:ascii="Times New Roman" w:hAnsi="Times New Roman"/>
          <w:bCs/>
          <w:sz w:val="24"/>
          <w:szCs w:val="24"/>
          <w:lang w:val="nl-NL"/>
        </w:rPr>
        <w:t>.</w:t>
      </w:r>
    </w:p>
    <w:p w14:paraId="432FF1FE" w14:textId="77777777" w:rsidR="00A94E19" w:rsidRPr="009876B3" w:rsidRDefault="00A94E19" w:rsidP="00A94E19">
      <w:pPr>
        <w:pStyle w:val="ListParagraph"/>
        <w:numPr>
          <w:ilvl w:val="0"/>
          <w:numId w:val="21"/>
        </w:numPr>
        <w:shd w:val="clear" w:color="auto" w:fill="FFFFFF"/>
        <w:tabs>
          <w:tab w:val="left" w:pos="426"/>
        </w:tabs>
        <w:spacing w:before="120" w:after="0" w:line="240" w:lineRule="auto"/>
        <w:jc w:val="both"/>
        <w:rPr>
          <w:rFonts w:ascii="Times New Roman" w:hAnsi="Times New Roman"/>
          <w:bCs/>
          <w:sz w:val="24"/>
          <w:szCs w:val="24"/>
          <w:lang w:val="nl-NL"/>
        </w:rPr>
      </w:pPr>
      <w:r w:rsidRPr="009876B3">
        <w:rPr>
          <w:rFonts w:ascii="Times New Roman" w:hAnsi="Times New Roman"/>
          <w:bCs/>
          <w:sz w:val="24"/>
          <w:szCs w:val="24"/>
          <w:lang w:val="nl-NL"/>
        </w:rPr>
        <w:t>Các hoạt động thương mại, du lịch duy trì đà tăng trưởng cao, đóng góp tích cực vào tăng trưởng của khu vực dịch vụ. Giá trị tăng thêm khu vực dịch vụ năm 2024 tăng 7,38% cao hơn tốc độ tăng 6,91% của năm 2023. Một số ngành dịch vụ thị trường có tỷ trọng lớn, đóng góp quan trọng vào tốc độ tăng tổng giá trị tăng thêm toàn nền kinh tế như: Bán buôn và bán lẻ tăng 7,96% so với năm trước, đóng góp 0,80</w:t>
      </w:r>
      <w:r>
        <w:rPr>
          <w:rFonts w:ascii="Times New Roman" w:hAnsi="Times New Roman"/>
          <w:bCs/>
          <w:sz w:val="24"/>
          <w:szCs w:val="24"/>
          <w:lang w:val="nl-NL"/>
        </w:rPr>
        <w:t>%</w:t>
      </w:r>
      <w:r w:rsidRPr="009876B3">
        <w:rPr>
          <w:rFonts w:ascii="Times New Roman" w:hAnsi="Times New Roman"/>
          <w:bCs/>
          <w:sz w:val="24"/>
          <w:szCs w:val="24"/>
          <w:lang w:val="nl-NL"/>
        </w:rPr>
        <w:t>; ngành vận tải, kho bãi tăng 10,82%, đóng góp 0,68</w:t>
      </w:r>
      <w:r>
        <w:rPr>
          <w:rFonts w:ascii="Times New Roman" w:hAnsi="Times New Roman"/>
          <w:bCs/>
          <w:sz w:val="24"/>
          <w:szCs w:val="24"/>
          <w:lang w:val="nl-NL"/>
        </w:rPr>
        <w:t>%</w:t>
      </w:r>
      <w:r w:rsidRPr="009876B3">
        <w:rPr>
          <w:rFonts w:ascii="Times New Roman" w:hAnsi="Times New Roman"/>
          <w:bCs/>
          <w:sz w:val="24"/>
          <w:szCs w:val="24"/>
          <w:lang w:val="nl-NL"/>
        </w:rPr>
        <w:t>; hoạt động tài chính, ngân hàng và bảo hiểm tăng 7,11%, đóng góp 0,43</w:t>
      </w:r>
      <w:r>
        <w:rPr>
          <w:rFonts w:ascii="Times New Roman" w:hAnsi="Times New Roman"/>
          <w:bCs/>
          <w:sz w:val="24"/>
          <w:szCs w:val="24"/>
          <w:lang w:val="nl-NL"/>
        </w:rPr>
        <w:t>%</w:t>
      </w:r>
      <w:r w:rsidRPr="009876B3">
        <w:rPr>
          <w:rFonts w:ascii="Times New Roman" w:hAnsi="Times New Roman"/>
          <w:bCs/>
          <w:sz w:val="24"/>
          <w:szCs w:val="24"/>
          <w:lang w:val="nl-NL"/>
        </w:rPr>
        <w:t>; dịch vụ lưu trú và ăn uống tăng 9,76%, đóng góp 0,26</w:t>
      </w:r>
      <w:r>
        <w:rPr>
          <w:rFonts w:ascii="Times New Roman" w:hAnsi="Times New Roman"/>
          <w:bCs/>
          <w:sz w:val="24"/>
          <w:szCs w:val="24"/>
          <w:lang w:val="nl-NL"/>
        </w:rPr>
        <w:t>%</w:t>
      </w:r>
      <w:r w:rsidRPr="009876B3">
        <w:rPr>
          <w:rFonts w:ascii="Times New Roman" w:hAnsi="Times New Roman"/>
          <w:bCs/>
          <w:sz w:val="24"/>
          <w:szCs w:val="24"/>
          <w:lang w:val="nl-NL"/>
        </w:rPr>
        <w:t>.</w:t>
      </w:r>
    </w:p>
    <w:p w14:paraId="2163808E" w14:textId="77777777" w:rsidR="00A94E19" w:rsidRPr="00E816C3" w:rsidRDefault="00A94E19" w:rsidP="00A94E19">
      <w:pPr>
        <w:shd w:val="clear" w:color="auto" w:fill="FFFFFF"/>
        <w:tabs>
          <w:tab w:val="left" w:pos="426"/>
        </w:tabs>
        <w:spacing w:before="120" w:after="0" w:line="240" w:lineRule="auto"/>
        <w:jc w:val="both"/>
        <w:rPr>
          <w:rFonts w:ascii="Times New Roman" w:hAnsi="Times New Roman"/>
          <w:bCs/>
          <w:sz w:val="24"/>
          <w:szCs w:val="24"/>
          <w:lang w:val="nl-NL"/>
        </w:rPr>
      </w:pPr>
      <w:r>
        <w:rPr>
          <w:rFonts w:ascii="Times New Roman" w:hAnsi="Times New Roman"/>
          <w:bCs/>
          <w:sz w:val="24"/>
          <w:szCs w:val="24"/>
          <w:lang w:val="nl-NL"/>
        </w:rPr>
        <w:t>Nhìn rộng ra ở một số khía cạnh khác, m</w:t>
      </w:r>
      <w:r w:rsidRPr="0009366A">
        <w:rPr>
          <w:rFonts w:ascii="Times New Roman" w:hAnsi="Times New Roman"/>
          <w:bCs/>
          <w:sz w:val="24"/>
          <w:szCs w:val="24"/>
          <w:lang w:val="nl-NL"/>
        </w:rPr>
        <w:t>ặc dù tăng trưởng GDP tích cực nhưng môi trường kinh doanh vẫn còn khó khăn khi số doanh nghiệp tạm ngừng kinh doanh tăng 14,7% so với năm 2023, trong khi số doanh nghiệp đăng ký thành lập mới chỉ tăng 7,1%. Bên cạnh đó, tăng trưởng tín dụng tuy đạt chỉ tiêu cả năm là hơn 15% nhưng tập trung chủ yếu ở các tháng cuối năm và chưa có tác động lan tỏa vào nền kinh tế thực, ngoài ra giải ngân đầu tư công chỉ đạt khoảng 77% kế hoạch của Thủ tướng giao cả năm.</w:t>
      </w:r>
      <w:r>
        <w:rPr>
          <w:rFonts w:ascii="Times New Roman" w:hAnsi="Times New Roman"/>
          <w:bCs/>
          <w:sz w:val="24"/>
          <w:szCs w:val="24"/>
          <w:lang w:val="nl-NL"/>
        </w:rPr>
        <w:t xml:space="preserve"> Còn ở mặt tích cực, nền kinh tế đứng trước cơ hội nâng cao hiệu quả đầu tư và toàn dụng xã hội khi Chính phủ quyết tâm đẩy mạnh cải cách thể chế và môi trường kinh doanh cũng như đầu tư mạnh vào hạ tầng cơ bản và khoa học công nghệ.</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94E19" w:rsidRPr="009876B3" w14:paraId="322899DE" w14:textId="77777777" w:rsidTr="00611354">
        <w:trPr>
          <w:trHeight w:val="504"/>
          <w:jc w:val="center"/>
        </w:trPr>
        <w:tc>
          <w:tcPr>
            <w:tcW w:w="9900" w:type="dxa"/>
            <w:tcBorders>
              <w:bottom w:val="single" w:sz="4" w:space="0" w:color="auto"/>
            </w:tcBorders>
          </w:tcPr>
          <w:p w14:paraId="014794EB" w14:textId="77777777" w:rsidR="00A94E19" w:rsidRPr="00B11790" w:rsidRDefault="00A94E19" w:rsidP="00611354">
            <w:pPr>
              <w:tabs>
                <w:tab w:val="left" w:pos="426"/>
              </w:tabs>
              <w:spacing w:before="120" w:line="360" w:lineRule="auto"/>
              <w:jc w:val="both"/>
              <w:rPr>
                <w:rFonts w:ascii="Times New Roman" w:hAnsi="Times New Roman"/>
                <w:b/>
                <w:sz w:val="22"/>
                <w:szCs w:val="22"/>
                <w:lang w:val="nl-NL"/>
              </w:rPr>
            </w:pPr>
            <w:r w:rsidRPr="00B11790">
              <w:rPr>
                <w:rFonts w:ascii="Times New Roman" w:hAnsi="Times New Roman"/>
                <w:b/>
                <w:sz w:val="22"/>
                <w:szCs w:val="22"/>
                <w:lang w:val="nl-NL"/>
              </w:rPr>
              <w:t>Hình 1: Tăng trưởng GDP theo Quý qua các năm</w:t>
            </w:r>
          </w:p>
        </w:tc>
      </w:tr>
      <w:tr w:rsidR="00A94E19" w:rsidRPr="0002715B" w14:paraId="54BF445E" w14:textId="77777777" w:rsidTr="00611354">
        <w:trPr>
          <w:trHeight w:val="4427"/>
          <w:jc w:val="center"/>
        </w:trPr>
        <w:tc>
          <w:tcPr>
            <w:tcW w:w="9900" w:type="dxa"/>
            <w:tcBorders>
              <w:top w:val="single" w:sz="4" w:space="0" w:color="auto"/>
              <w:bottom w:val="single" w:sz="4" w:space="0" w:color="auto"/>
            </w:tcBorders>
          </w:tcPr>
          <w:p w14:paraId="5AA3B0B7" w14:textId="77777777" w:rsidR="00A94E19" w:rsidRPr="0002715B" w:rsidRDefault="00A94E19" w:rsidP="00611354">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0B8BFDA7" wp14:editId="148E9A15">
                  <wp:extent cx="6153150" cy="3081226"/>
                  <wp:effectExtent l="0" t="0" r="0" b="5080"/>
                  <wp:docPr id="68378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4671" cy="3086995"/>
                          </a:xfrm>
                          <a:prstGeom prst="rect">
                            <a:avLst/>
                          </a:prstGeom>
                          <a:noFill/>
                        </pic:spPr>
                      </pic:pic>
                    </a:graphicData>
                  </a:graphic>
                </wp:inline>
              </w:drawing>
            </w:r>
          </w:p>
        </w:tc>
      </w:tr>
      <w:tr w:rsidR="00A94E19" w:rsidRPr="00B11790" w14:paraId="70D2BBB0" w14:textId="77777777" w:rsidTr="00611354">
        <w:trPr>
          <w:trHeight w:val="474"/>
          <w:jc w:val="center"/>
        </w:trPr>
        <w:tc>
          <w:tcPr>
            <w:tcW w:w="9900" w:type="dxa"/>
            <w:tcBorders>
              <w:top w:val="single" w:sz="4" w:space="0" w:color="auto"/>
            </w:tcBorders>
          </w:tcPr>
          <w:p w14:paraId="48AEB140" w14:textId="77777777" w:rsidR="00A94E19" w:rsidRPr="00B11790" w:rsidRDefault="00A94E19" w:rsidP="00611354">
            <w:pPr>
              <w:tabs>
                <w:tab w:val="left" w:pos="426"/>
              </w:tabs>
              <w:spacing w:before="120"/>
              <w:jc w:val="both"/>
              <w:rPr>
                <w:rFonts w:ascii="Times New Roman" w:hAnsi="Times New Roman"/>
                <w:bCs/>
                <w:i/>
                <w:iCs/>
                <w:lang w:val="nl-NL"/>
              </w:rPr>
            </w:pPr>
            <w:r w:rsidRPr="00B11790">
              <w:rPr>
                <w:rFonts w:ascii="Times New Roman" w:hAnsi="Times New Roman"/>
                <w:bCs/>
                <w:i/>
                <w:iCs/>
                <w:lang w:val="nl-NL"/>
              </w:rPr>
              <w:t>Nguồn: Tổng Cục Thống Kê</w:t>
            </w:r>
          </w:p>
        </w:tc>
      </w:tr>
    </w:tbl>
    <w:p w14:paraId="5F774E2A" w14:textId="77777777" w:rsidR="00A94E19" w:rsidRPr="00B11790" w:rsidRDefault="00A94E19" w:rsidP="00A94E19">
      <w:pPr>
        <w:shd w:val="clear" w:color="auto" w:fill="FFFFFF"/>
        <w:tabs>
          <w:tab w:val="left" w:pos="426"/>
        </w:tabs>
        <w:spacing w:after="120" w:line="240" w:lineRule="auto"/>
        <w:jc w:val="both"/>
        <w:rPr>
          <w:rFonts w:ascii="Times New Roman" w:eastAsia="Times New Roman" w:hAnsi="Times New Roman"/>
          <w:b/>
          <w:bCs/>
          <w:sz w:val="24"/>
          <w:szCs w:val="24"/>
          <w:lang w:val="nl-NL"/>
        </w:rPr>
      </w:pPr>
      <w:r w:rsidRPr="00B11790">
        <w:rPr>
          <w:rFonts w:ascii="Times New Roman" w:eastAsia="Times New Roman" w:hAnsi="Times New Roman"/>
          <w:b/>
          <w:bCs/>
          <w:sz w:val="24"/>
          <w:szCs w:val="24"/>
          <w:lang w:val="nl-NL"/>
        </w:rPr>
        <w:t>Lạm</w:t>
      </w:r>
      <w:r w:rsidRPr="00B11790">
        <w:rPr>
          <w:rFonts w:ascii="Times New Roman" w:hAnsi="Times New Roman"/>
          <w:b/>
          <w:sz w:val="24"/>
          <w:szCs w:val="24"/>
          <w:lang w:val="nl-NL"/>
        </w:rPr>
        <w:t xml:space="preserve"> </w:t>
      </w:r>
      <w:r w:rsidRPr="00B11790">
        <w:rPr>
          <w:rFonts w:ascii="Times New Roman" w:eastAsia="Times New Roman" w:hAnsi="Times New Roman"/>
          <w:b/>
          <w:bCs/>
          <w:sz w:val="24"/>
          <w:szCs w:val="24"/>
          <w:lang w:val="nl-NL"/>
        </w:rPr>
        <w:t>phát</w:t>
      </w:r>
    </w:p>
    <w:p w14:paraId="7EFE8B94" w14:textId="77777777" w:rsidR="00A94E19" w:rsidRPr="00B94820" w:rsidRDefault="00A94E19" w:rsidP="00A94E19">
      <w:pPr>
        <w:spacing w:after="120"/>
        <w:jc w:val="both"/>
        <w:rPr>
          <w:rFonts w:ascii="Times New Roman" w:hAnsi="Times New Roman"/>
          <w:sz w:val="24"/>
          <w:szCs w:val="24"/>
          <w:lang w:val="nl-NL"/>
        </w:rPr>
      </w:pPr>
      <w:r w:rsidRPr="00B11790">
        <w:rPr>
          <w:rFonts w:ascii="Times New Roman" w:hAnsi="Times New Roman"/>
          <w:sz w:val="24"/>
          <w:szCs w:val="24"/>
          <w:lang w:val="nl-NL"/>
        </w:rPr>
        <w:t>C</w:t>
      </w:r>
      <w:r w:rsidRPr="00B94820">
        <w:rPr>
          <w:rFonts w:ascii="Times New Roman" w:hAnsi="Times New Roman"/>
          <w:sz w:val="24"/>
          <w:szCs w:val="24"/>
          <w:lang w:val="nl-NL"/>
        </w:rPr>
        <w:t>PI bình quân Quý 4/2024 tăng 2,87% so với Quý 4/2023. Lạm phát cơ bản Quý 4/2024 ở mức 2.7% svck, và lạm phát cơ bản năm 2024 tăng 2,71% svck, cũng là chỉ báo đem lại sự yên tâm nhất định trong bối cảnh lương cơ bản công chức đã được điều chỉnh tăng 30% từ tháng 7, giá bán lẻ điện tăng thêm 4,8% từ tháng 10, và một số địa phương điều chỉnh giá dịch vụ y tế theo Thông tư số 21/2024/TT-BYT cũng từ tháng 10.</w:t>
      </w:r>
      <w:r>
        <w:rPr>
          <w:rFonts w:ascii="Times New Roman" w:hAnsi="Times New Roman"/>
          <w:sz w:val="24"/>
          <w:szCs w:val="24"/>
          <w:lang w:val="nl-NL"/>
        </w:rPr>
        <w:t xml:space="preserve"> </w:t>
      </w:r>
      <w:r w:rsidRPr="00035845">
        <w:rPr>
          <w:rFonts w:ascii="Times New Roman" w:hAnsi="Times New Roman"/>
          <w:sz w:val="24"/>
          <w:szCs w:val="24"/>
          <w:lang w:val="nl-NL"/>
        </w:rPr>
        <w:t>Tính chung cả năm 2024, CPI tăng 3,63% so với năm trước, đạt mục tiêu Quốc hội đề ra</w:t>
      </w:r>
      <w:r>
        <w:rPr>
          <w:rFonts w:ascii="Times New Roman" w:hAnsi="Times New Roman"/>
          <w:sz w:val="24"/>
          <w:szCs w:val="24"/>
          <w:lang w:val="nl-NL"/>
        </w:rPr>
        <w:t xml:space="preserve">. </w:t>
      </w:r>
      <w:r w:rsidRPr="00B94820">
        <w:rPr>
          <w:rFonts w:ascii="Times New Roman" w:hAnsi="Times New Roman"/>
          <w:sz w:val="24"/>
          <w:szCs w:val="24"/>
          <w:lang w:val="nl-NL"/>
        </w:rPr>
        <w:t xml:space="preserve">Các </w:t>
      </w:r>
      <w:r>
        <w:rPr>
          <w:rFonts w:ascii="Times New Roman" w:hAnsi="Times New Roman"/>
          <w:sz w:val="24"/>
          <w:szCs w:val="24"/>
          <w:lang w:val="nl-NL"/>
        </w:rPr>
        <w:t>nhóm mặt hàng có mức tăng lớn trong năm</w:t>
      </w:r>
      <w:r w:rsidRPr="00B94820">
        <w:rPr>
          <w:rFonts w:ascii="Times New Roman" w:hAnsi="Times New Roman"/>
          <w:sz w:val="24"/>
          <w:szCs w:val="24"/>
          <w:lang w:val="nl-NL"/>
        </w:rPr>
        <w:t xml:space="preserve"> là </w:t>
      </w:r>
      <w:r>
        <w:rPr>
          <w:rFonts w:ascii="Times New Roman" w:hAnsi="Times New Roman"/>
          <w:sz w:val="24"/>
          <w:szCs w:val="24"/>
          <w:lang w:val="nl-NL"/>
        </w:rPr>
        <w:t>dịch vụ y tế</w:t>
      </w:r>
      <w:r w:rsidRPr="00B94820">
        <w:rPr>
          <w:rFonts w:ascii="Times New Roman" w:hAnsi="Times New Roman"/>
          <w:sz w:val="24"/>
          <w:szCs w:val="24"/>
          <w:lang w:val="nl-NL"/>
        </w:rPr>
        <w:t xml:space="preserve"> (</w:t>
      </w:r>
      <w:r>
        <w:rPr>
          <w:rFonts w:ascii="Times New Roman" w:hAnsi="Times New Roman"/>
          <w:sz w:val="24"/>
          <w:szCs w:val="24"/>
          <w:lang w:val="nl-NL"/>
        </w:rPr>
        <w:t>+7,16</w:t>
      </w:r>
      <w:r w:rsidRPr="00B94820">
        <w:rPr>
          <w:rFonts w:ascii="Times New Roman" w:hAnsi="Times New Roman"/>
          <w:sz w:val="24"/>
          <w:szCs w:val="24"/>
          <w:lang w:val="nl-NL"/>
        </w:rPr>
        <w:t xml:space="preserve">%), </w:t>
      </w:r>
      <w:r>
        <w:rPr>
          <w:rFonts w:ascii="Times New Roman" w:hAnsi="Times New Roman"/>
          <w:sz w:val="24"/>
          <w:szCs w:val="24"/>
          <w:lang w:val="nl-NL"/>
        </w:rPr>
        <w:t>giáo dục</w:t>
      </w:r>
      <w:r w:rsidRPr="00B94820">
        <w:rPr>
          <w:rFonts w:ascii="Times New Roman" w:hAnsi="Times New Roman"/>
          <w:sz w:val="24"/>
          <w:szCs w:val="24"/>
          <w:lang w:val="nl-NL"/>
        </w:rPr>
        <w:t xml:space="preserve"> (</w:t>
      </w:r>
      <w:r>
        <w:rPr>
          <w:rFonts w:ascii="Times New Roman" w:hAnsi="Times New Roman"/>
          <w:sz w:val="24"/>
          <w:szCs w:val="24"/>
          <w:lang w:val="nl-NL"/>
        </w:rPr>
        <w:t>+5,37</w:t>
      </w:r>
      <w:r w:rsidRPr="00B94820">
        <w:rPr>
          <w:rFonts w:ascii="Times New Roman" w:hAnsi="Times New Roman"/>
          <w:sz w:val="24"/>
          <w:szCs w:val="24"/>
          <w:lang w:val="nl-NL"/>
        </w:rPr>
        <w:t>%)</w:t>
      </w:r>
      <w:r>
        <w:rPr>
          <w:rFonts w:ascii="Times New Roman" w:hAnsi="Times New Roman"/>
          <w:sz w:val="24"/>
          <w:szCs w:val="24"/>
          <w:lang w:val="nl-NL"/>
        </w:rPr>
        <w:t>,</w:t>
      </w:r>
      <w:r w:rsidRPr="00B94820">
        <w:rPr>
          <w:rFonts w:ascii="Times New Roman" w:hAnsi="Times New Roman"/>
          <w:sz w:val="24"/>
          <w:szCs w:val="24"/>
          <w:lang w:val="nl-NL"/>
        </w:rPr>
        <w:t xml:space="preserve"> nhà ở (</w:t>
      </w:r>
      <w:r>
        <w:rPr>
          <w:rFonts w:ascii="Times New Roman" w:hAnsi="Times New Roman"/>
          <w:sz w:val="24"/>
          <w:szCs w:val="24"/>
          <w:lang w:val="nl-NL"/>
        </w:rPr>
        <w:t>+</w:t>
      </w:r>
      <w:r w:rsidRPr="00B94820">
        <w:rPr>
          <w:rFonts w:ascii="Times New Roman" w:hAnsi="Times New Roman"/>
          <w:sz w:val="24"/>
          <w:szCs w:val="24"/>
          <w:lang w:val="nl-NL"/>
        </w:rPr>
        <w:t xml:space="preserve">4,6% </w:t>
      </w:r>
      <w:r>
        <w:rPr>
          <w:rFonts w:ascii="Times New Roman" w:hAnsi="Times New Roman"/>
          <w:sz w:val="24"/>
          <w:szCs w:val="24"/>
          <w:lang w:val="nl-NL"/>
        </w:rPr>
        <w:t>s</w:t>
      </w:r>
      <w:r w:rsidRPr="00B94820">
        <w:rPr>
          <w:rFonts w:ascii="Times New Roman" w:hAnsi="Times New Roman"/>
          <w:sz w:val="24"/>
          <w:szCs w:val="24"/>
          <w:lang w:val="nl-NL"/>
        </w:rPr>
        <w:t>vck)</w:t>
      </w:r>
      <w:r>
        <w:rPr>
          <w:rFonts w:ascii="Times New Roman" w:hAnsi="Times New Roman"/>
          <w:sz w:val="24"/>
          <w:szCs w:val="24"/>
          <w:lang w:val="nl-NL"/>
        </w:rPr>
        <w:t>, điện sinh hoạt (+7,68%), nước sinh hoạt (+8,33%).</w:t>
      </w:r>
    </w:p>
    <w:p w14:paraId="063DA34E" w14:textId="77777777" w:rsidR="00A94E19" w:rsidRPr="00B94820" w:rsidRDefault="00A94E19" w:rsidP="00A94E19">
      <w:pPr>
        <w:spacing w:after="120"/>
        <w:jc w:val="both"/>
        <w:rPr>
          <w:rFonts w:ascii="Times New Roman" w:hAnsi="Times New Roman"/>
          <w:sz w:val="24"/>
          <w:szCs w:val="24"/>
          <w:lang w:val="nl-NL"/>
        </w:rPr>
      </w:pPr>
      <w:r w:rsidRPr="00B94820">
        <w:rPr>
          <w:rFonts w:ascii="Times New Roman" w:hAnsi="Times New Roman"/>
          <w:sz w:val="24"/>
          <w:szCs w:val="24"/>
          <w:lang w:val="nl-NL"/>
        </w:rPr>
        <w:lastRenderedPageBreak/>
        <w:t>Đánh giá về áp lực lạm phát năm 2025, chúng tôi ch</w:t>
      </w:r>
      <w:r>
        <w:rPr>
          <w:rFonts w:ascii="Times New Roman" w:hAnsi="Times New Roman"/>
          <w:sz w:val="24"/>
          <w:szCs w:val="24"/>
          <w:lang w:val="nl-NL"/>
        </w:rPr>
        <w:t>o rằng có</w:t>
      </w:r>
      <w:r w:rsidRPr="00B94820">
        <w:rPr>
          <w:rFonts w:ascii="Times New Roman" w:hAnsi="Times New Roman"/>
          <w:sz w:val="24"/>
          <w:szCs w:val="24"/>
          <w:lang w:val="nl-NL"/>
        </w:rPr>
        <w:t xml:space="preserve"> hai rủi ro lớn đến từ (1) Nhà nước tiếp tục lộ trình thị trường hóa đối với các dịch vụ do Nhà nước quản lý (điện, học phí, dịch vụ y tế) và (2) căng thẳng thương mại quốc tế sẽ tác động đến tỷ giá, chi phí nhập khẩu và giá thành sản phẩm từ đó đẩy giá hàng hóa tiêu dùng trong nước tăng lên.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0"/>
      </w:tblGrid>
      <w:tr w:rsidR="00A94E19" w:rsidRPr="009876B3" w14:paraId="1886D771" w14:textId="77777777" w:rsidTr="00611354">
        <w:trPr>
          <w:trHeight w:val="471"/>
          <w:jc w:val="center"/>
        </w:trPr>
        <w:tc>
          <w:tcPr>
            <w:tcW w:w="9900" w:type="dxa"/>
            <w:tcBorders>
              <w:bottom w:val="single" w:sz="4" w:space="0" w:color="auto"/>
            </w:tcBorders>
          </w:tcPr>
          <w:p w14:paraId="05AEA89A" w14:textId="77777777" w:rsidR="00A94E19" w:rsidRPr="00C304D9" w:rsidRDefault="00A94E19" w:rsidP="00611354">
            <w:pPr>
              <w:tabs>
                <w:tab w:val="left" w:pos="426"/>
              </w:tabs>
              <w:spacing w:before="120" w:line="360" w:lineRule="auto"/>
              <w:jc w:val="both"/>
              <w:rPr>
                <w:rFonts w:ascii="Times New Roman" w:hAnsi="Times New Roman"/>
                <w:b/>
                <w:sz w:val="22"/>
                <w:szCs w:val="22"/>
                <w:lang w:val="nl-NL"/>
              </w:rPr>
            </w:pPr>
            <w:r w:rsidRPr="00C304D9">
              <w:rPr>
                <w:rFonts w:ascii="Times New Roman" w:hAnsi="Times New Roman"/>
                <w:b/>
                <w:sz w:val="22"/>
                <w:szCs w:val="22"/>
                <w:lang w:val="nl-NL"/>
              </w:rPr>
              <w:t>Hình 2: Lạm phát Việt Nam qua các tháng</w:t>
            </w:r>
          </w:p>
        </w:tc>
      </w:tr>
      <w:tr w:rsidR="00A94E19" w:rsidRPr="0002715B" w14:paraId="13D266FA" w14:textId="77777777" w:rsidTr="00611354">
        <w:trPr>
          <w:trHeight w:val="4112"/>
          <w:jc w:val="center"/>
        </w:trPr>
        <w:tc>
          <w:tcPr>
            <w:tcW w:w="9900" w:type="dxa"/>
            <w:tcBorders>
              <w:top w:val="single" w:sz="4" w:space="0" w:color="auto"/>
              <w:bottom w:val="single" w:sz="4" w:space="0" w:color="auto"/>
            </w:tcBorders>
          </w:tcPr>
          <w:p w14:paraId="0803C612" w14:textId="77777777" w:rsidR="00A94E19" w:rsidRPr="0002715B" w:rsidRDefault="00A94E19" w:rsidP="00611354">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3DB9C3C3" wp14:editId="1A97E928">
                  <wp:extent cx="6002020" cy="2783257"/>
                  <wp:effectExtent l="0" t="0" r="0" b="0"/>
                  <wp:docPr id="3020584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5451" cy="2789485"/>
                          </a:xfrm>
                          <a:prstGeom prst="rect">
                            <a:avLst/>
                          </a:prstGeom>
                          <a:noFill/>
                        </pic:spPr>
                      </pic:pic>
                    </a:graphicData>
                  </a:graphic>
                </wp:inline>
              </w:drawing>
            </w:r>
          </w:p>
        </w:tc>
      </w:tr>
      <w:tr w:rsidR="00A94E19" w:rsidRPr="00B11790" w14:paraId="6C921E5A" w14:textId="77777777" w:rsidTr="00611354">
        <w:trPr>
          <w:trHeight w:val="443"/>
          <w:jc w:val="center"/>
        </w:trPr>
        <w:tc>
          <w:tcPr>
            <w:tcW w:w="9900" w:type="dxa"/>
            <w:tcBorders>
              <w:top w:val="single" w:sz="4" w:space="0" w:color="auto"/>
            </w:tcBorders>
          </w:tcPr>
          <w:p w14:paraId="09C52E69" w14:textId="77777777" w:rsidR="00A94E19" w:rsidRPr="00B11790" w:rsidRDefault="00A94E19" w:rsidP="00611354">
            <w:pPr>
              <w:tabs>
                <w:tab w:val="left" w:pos="426"/>
              </w:tabs>
              <w:spacing w:before="120" w:line="360" w:lineRule="auto"/>
              <w:jc w:val="both"/>
              <w:rPr>
                <w:rFonts w:ascii="Times New Roman" w:hAnsi="Times New Roman"/>
                <w:bCs/>
                <w:i/>
                <w:iCs/>
                <w:lang w:val="nl-NL"/>
              </w:rPr>
            </w:pPr>
            <w:r w:rsidRPr="00B11790">
              <w:rPr>
                <w:rFonts w:ascii="Times New Roman" w:hAnsi="Times New Roman"/>
                <w:bCs/>
                <w:i/>
                <w:iCs/>
                <w:lang w:val="nl-NL"/>
              </w:rPr>
              <w:t>Nguồn: Tổng Cục Thống Kê</w:t>
            </w:r>
          </w:p>
        </w:tc>
      </w:tr>
    </w:tbl>
    <w:p w14:paraId="3CA342FB" w14:textId="77777777" w:rsidR="00A94E19" w:rsidRPr="00B11790" w:rsidRDefault="00A94E19" w:rsidP="00A94E19">
      <w:pPr>
        <w:shd w:val="clear" w:color="auto" w:fill="FFFFFF"/>
        <w:tabs>
          <w:tab w:val="left" w:pos="426"/>
        </w:tabs>
        <w:spacing w:after="0" w:line="240" w:lineRule="auto"/>
        <w:jc w:val="both"/>
        <w:rPr>
          <w:rFonts w:ascii="Times New Roman" w:hAnsi="Times New Roman"/>
          <w:b/>
          <w:sz w:val="24"/>
          <w:szCs w:val="24"/>
          <w:lang w:val="nl-NL"/>
        </w:rPr>
      </w:pPr>
      <w:r w:rsidRPr="00B11790">
        <w:rPr>
          <w:rFonts w:ascii="Times New Roman" w:eastAsia="Times New Roman" w:hAnsi="Times New Roman"/>
          <w:b/>
          <w:bCs/>
          <w:sz w:val="24"/>
          <w:szCs w:val="24"/>
          <w:lang w:val="nl-NL"/>
        </w:rPr>
        <w:t>Hoạt động xuất nhập khẩu hàng hoá</w:t>
      </w:r>
    </w:p>
    <w:p w14:paraId="5E4D5A65" w14:textId="77777777" w:rsidR="00A94E19" w:rsidRDefault="00A94E19" w:rsidP="00A94E19">
      <w:pPr>
        <w:shd w:val="clear" w:color="auto" w:fill="FFFFFF"/>
        <w:tabs>
          <w:tab w:val="left" w:pos="426"/>
        </w:tabs>
        <w:spacing w:before="120" w:after="0" w:line="240" w:lineRule="auto"/>
        <w:jc w:val="both"/>
        <w:rPr>
          <w:rFonts w:ascii="Times New Roman" w:eastAsia="Times New Roman" w:hAnsi="Times New Roman"/>
          <w:sz w:val="24"/>
          <w:szCs w:val="24"/>
          <w:highlight w:val="yellow"/>
          <w:lang w:val="nl-NL"/>
        </w:rPr>
      </w:pPr>
      <w:r w:rsidRPr="004D084F">
        <w:rPr>
          <w:rFonts w:ascii="Times New Roman" w:eastAsia="Times New Roman" w:hAnsi="Times New Roman"/>
          <w:sz w:val="24"/>
          <w:szCs w:val="24"/>
          <w:lang w:val="nl-NL"/>
        </w:rPr>
        <w:t xml:space="preserve">Hoạt động xuất nhập khẩu </w:t>
      </w:r>
      <w:r>
        <w:rPr>
          <w:rFonts w:ascii="Times New Roman" w:eastAsia="Times New Roman" w:hAnsi="Times New Roman"/>
          <w:sz w:val="24"/>
          <w:szCs w:val="24"/>
          <w:lang w:val="nl-NL"/>
        </w:rPr>
        <w:t xml:space="preserve">hàng hóa </w:t>
      </w:r>
      <w:r w:rsidRPr="004D084F">
        <w:rPr>
          <w:rFonts w:ascii="Times New Roman" w:eastAsia="Times New Roman" w:hAnsi="Times New Roman"/>
          <w:sz w:val="24"/>
          <w:szCs w:val="24"/>
          <w:lang w:val="nl-NL"/>
        </w:rPr>
        <w:t>tiếp tục là điểm sáng của nền kinh tế Việt Nam, phản ánh ở cán cân thương mại hàng hóa xuất siêu 24,77 tỷ USD (năm trước xuất siêu 28,4 tỷ USD).</w:t>
      </w:r>
      <w:r>
        <w:rPr>
          <w:rFonts w:ascii="Times New Roman" w:eastAsia="Times New Roman" w:hAnsi="Times New Roman"/>
          <w:sz w:val="24"/>
          <w:szCs w:val="24"/>
          <w:lang w:val="nl-NL"/>
        </w:rPr>
        <w:t xml:space="preserve"> Cụ thể: </w:t>
      </w:r>
    </w:p>
    <w:p w14:paraId="5891ABE8" w14:textId="77777777" w:rsidR="00A94E19" w:rsidRPr="004D084F" w:rsidRDefault="00A94E19" w:rsidP="00A94E19">
      <w:pPr>
        <w:pStyle w:val="ListParagraph"/>
        <w:numPr>
          <w:ilvl w:val="0"/>
          <w:numId w:val="22"/>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4D084F">
        <w:rPr>
          <w:rFonts w:ascii="Times New Roman" w:eastAsia="Times New Roman" w:hAnsi="Times New Roman"/>
          <w:sz w:val="24"/>
          <w:szCs w:val="24"/>
          <w:lang w:val="nl-NL"/>
        </w:rPr>
        <w:t xml:space="preserve">Trong </w:t>
      </w:r>
      <w:r w:rsidRPr="004D084F">
        <w:rPr>
          <w:rFonts w:ascii="Times New Roman" w:hAnsi="Times New Roman"/>
          <w:sz w:val="24"/>
          <w:szCs w:val="24"/>
          <w:lang w:val="nl-NL"/>
        </w:rPr>
        <w:t>Quý 4/2024</w:t>
      </w:r>
      <w:r w:rsidRPr="004D084F">
        <w:rPr>
          <w:rFonts w:ascii="Times New Roman" w:eastAsia="Times New Roman" w:hAnsi="Times New Roman"/>
          <w:sz w:val="24"/>
          <w:szCs w:val="24"/>
          <w:lang w:val="nl-NL"/>
        </w:rPr>
        <w:t>, kim ngạch xuất khẩu đạt 105,9 tỷ USD (+11,5% svck) và giảm 2,5% so với Quý 3/2024. Tính chung cả năm 2024, kim ngạch xuất khẩu hàng hóa đạt 405,53 tỷ USD, tăng 14,3% so với năm trước.</w:t>
      </w:r>
    </w:p>
    <w:p w14:paraId="677CCD9A" w14:textId="77777777" w:rsidR="00A94E19" w:rsidRPr="004D084F" w:rsidRDefault="00A94E19" w:rsidP="00A94E19">
      <w:pPr>
        <w:pStyle w:val="ListParagraph"/>
        <w:numPr>
          <w:ilvl w:val="0"/>
          <w:numId w:val="22"/>
        </w:numPr>
        <w:shd w:val="clear" w:color="auto" w:fill="FFFFFF"/>
        <w:tabs>
          <w:tab w:val="left" w:pos="426"/>
        </w:tabs>
        <w:spacing w:before="120" w:after="0" w:line="240" w:lineRule="auto"/>
        <w:jc w:val="both"/>
        <w:rPr>
          <w:rFonts w:ascii="Times New Roman" w:eastAsia="Times New Roman" w:hAnsi="Times New Roman"/>
          <w:sz w:val="24"/>
          <w:szCs w:val="24"/>
          <w:lang w:val="nl-NL"/>
        </w:rPr>
      </w:pPr>
      <w:r w:rsidRPr="004D084F">
        <w:rPr>
          <w:rFonts w:ascii="Times New Roman" w:eastAsia="Times New Roman" w:hAnsi="Times New Roman"/>
          <w:sz w:val="24"/>
          <w:szCs w:val="24"/>
          <w:lang w:val="nl-NL"/>
        </w:rPr>
        <w:t xml:space="preserve">Trong </w:t>
      </w:r>
      <w:r w:rsidRPr="004D084F">
        <w:rPr>
          <w:rFonts w:ascii="Times New Roman" w:hAnsi="Times New Roman"/>
          <w:sz w:val="24"/>
          <w:szCs w:val="24"/>
          <w:lang w:val="nl-NL"/>
        </w:rPr>
        <w:t>Quý 4/2024</w:t>
      </w:r>
      <w:r w:rsidRPr="004D084F">
        <w:rPr>
          <w:rFonts w:ascii="Times New Roman" w:eastAsia="Times New Roman" w:hAnsi="Times New Roman"/>
          <w:sz w:val="24"/>
          <w:szCs w:val="24"/>
          <w:lang w:val="nl-NL"/>
        </w:rPr>
        <w:t xml:space="preserve">, kim ngạch nhập khẩu đạt 101,9 tỷ USD (+14,9% svck) và tăng 2,2% so với Quý 3/2024. Tính chung cả năm 2024, kim ngạch nhập khẩu hàng hóa đạt 380,76 tỷ USD, tăng 16,7% so với năm trước. </w:t>
      </w:r>
    </w:p>
    <w:p w14:paraId="39E8837C" w14:textId="77777777" w:rsidR="00A94E19" w:rsidRPr="00B11790" w:rsidRDefault="00A94E19" w:rsidP="00A94E19">
      <w:pPr>
        <w:shd w:val="clear" w:color="auto" w:fill="FFFFFF"/>
        <w:tabs>
          <w:tab w:val="left" w:pos="426"/>
        </w:tabs>
        <w:spacing w:before="120" w:after="120" w:line="240" w:lineRule="auto"/>
        <w:jc w:val="both"/>
        <w:rPr>
          <w:rFonts w:ascii="Times New Roman" w:eastAsia="Times New Roman" w:hAnsi="Times New Roman"/>
          <w:b/>
          <w:bCs/>
          <w:sz w:val="24"/>
          <w:szCs w:val="24"/>
          <w:lang w:val="nl-NL"/>
        </w:rPr>
      </w:pPr>
      <w:r w:rsidRPr="00B11790">
        <w:rPr>
          <w:rFonts w:ascii="Times New Roman" w:eastAsia="Times New Roman" w:hAnsi="Times New Roman"/>
          <w:b/>
          <w:bCs/>
          <w:sz w:val="24"/>
          <w:szCs w:val="24"/>
          <w:lang w:val="nl-NL"/>
        </w:rPr>
        <w:t>Hoạt động đầu tư</w:t>
      </w:r>
    </w:p>
    <w:p w14:paraId="2808ED29" w14:textId="77777777" w:rsidR="00A94E19" w:rsidRPr="00B11790" w:rsidRDefault="00A94E19" w:rsidP="00A94E19">
      <w:pPr>
        <w:shd w:val="clear" w:color="auto" w:fill="FFFFFF"/>
        <w:tabs>
          <w:tab w:val="left" w:pos="426"/>
        </w:tabs>
        <w:spacing w:before="120" w:after="120" w:line="240" w:lineRule="auto"/>
        <w:jc w:val="both"/>
        <w:rPr>
          <w:rFonts w:ascii="Times New Roman" w:hAnsi="Times New Roman"/>
          <w:bCs/>
          <w:sz w:val="24"/>
          <w:szCs w:val="24"/>
          <w:lang w:val="nl-NL"/>
        </w:rPr>
      </w:pPr>
      <w:r w:rsidRPr="00B11790">
        <w:rPr>
          <w:rFonts w:ascii="Times New Roman" w:hAnsi="Times New Roman"/>
          <w:bCs/>
          <w:sz w:val="24"/>
          <w:szCs w:val="24"/>
          <w:lang w:val="nl-NL"/>
        </w:rPr>
        <w:t>Vốn đầu tư thực hiện toàn xã hội Quý 4/2024 theo giá hiện hành ước đạt 1.274,5 nghìn tỷ đồng (+8,7% svck). Ước tính năm 2024, vốn đầu tư thực hiện toàn xã hội theo giá hiện hành ước đạt 3.692,1 nghìn tỷ đồng (+7,5% svck). Trong đó đáng chú ý t</w:t>
      </w:r>
      <w:r w:rsidRPr="00B11790">
        <w:rPr>
          <w:rFonts w:ascii="Times New Roman" w:hAnsi="Times New Roman"/>
          <w:sz w:val="24"/>
          <w:szCs w:val="24"/>
          <w:lang w:val="nl-NL"/>
        </w:rPr>
        <w:t xml:space="preserve">ăng trưởng tín dụng đạt 15,08% năm 2024 (2023: 13,71%), được hỗ trợ bởi sự linh hoạt của ngân hàng trung ương trong trần tăng trưởng tín dụng. Từ đầu năm 2024, lãi suất cho vay giảm khoảng 0,44%, trung bình khoảng 6,7-9,0%/năm. </w:t>
      </w:r>
      <w:r w:rsidRPr="00B11790">
        <w:rPr>
          <w:rFonts w:ascii="Times New Roman" w:eastAsia="Times New Roman" w:hAnsi="Times New Roman"/>
          <w:sz w:val="24"/>
          <w:szCs w:val="24"/>
          <w:lang w:val="nl-NL"/>
        </w:rPr>
        <w:t xml:space="preserve">Giải ngân đầu tư công mặc dù được Chính phủ quyết tâm đẩy mạnh nhưng vẫn chưa thể hoàn thành kế hoạch, </w:t>
      </w:r>
      <w:r w:rsidRPr="00B11790">
        <w:rPr>
          <w:rFonts w:ascii="Times New Roman" w:hAnsi="Times New Roman"/>
          <w:bCs/>
          <w:sz w:val="24"/>
          <w:szCs w:val="24"/>
          <w:lang w:val="nl-NL"/>
        </w:rPr>
        <w:t>ước đến hết tháng 12/2024, cả nước giải ngân được trên 529.632 tỷ đồng, đạt 77,55% kế hoạch Thủ tướng Chính phủ giao, thấp hơn con số 81,87% của cùng kỳ năm 2023. Vướng mắc lớn nhất là quy trình phê duyệt thủ tục đầu tư các dự án phức tạp, chưa được phân cấp, phân quyền cụ thể rõ ràng.</w:t>
      </w:r>
    </w:p>
    <w:p w14:paraId="797F11D0" w14:textId="77777777" w:rsidR="00A94E19" w:rsidRPr="00A06195" w:rsidRDefault="00A94E19" w:rsidP="00A94E19">
      <w:pPr>
        <w:shd w:val="clear" w:color="auto" w:fill="FFFFFF"/>
        <w:tabs>
          <w:tab w:val="left" w:pos="426"/>
        </w:tabs>
        <w:spacing w:before="120" w:after="120" w:line="240" w:lineRule="auto"/>
        <w:jc w:val="both"/>
        <w:rPr>
          <w:rFonts w:ascii="Times New Roman" w:hAnsi="Times New Roman"/>
          <w:bCs/>
          <w:sz w:val="24"/>
          <w:szCs w:val="24"/>
          <w:lang w:val="nl-NL"/>
        </w:rPr>
      </w:pPr>
      <w:r w:rsidRPr="00B11790">
        <w:rPr>
          <w:rFonts w:ascii="Times New Roman" w:hAnsi="Times New Roman"/>
          <w:bCs/>
          <w:sz w:val="24"/>
          <w:szCs w:val="24"/>
          <w:lang w:val="nl-NL"/>
        </w:rPr>
        <w:t xml:space="preserve">Tổng vốn đầu tư nước ngoài đăng ký vào Việt Nam tính đến ngày 31/12/2024 bao gồm: Vốn đăng ký cấp mới, vốn đăng ký điều chỉnh và giá trị góp vốn, mua cổ phần của nhà đầu tư nước ngoài đạt 38,23 tỷ USD, giảm 3,0% so với cùng kỳ năm trước. Vốn đầu tư trực tiếp nước ngoài thực hiện tại Việt Nam năm 2024 ước đạt 25,35 tỷ USD, tăng 9,4% so với năm trước. </w:t>
      </w:r>
      <w:r w:rsidRPr="00B11790">
        <w:rPr>
          <w:rFonts w:ascii="Times New Roman" w:eastAsia="Times New Roman" w:hAnsi="Times New Roman"/>
          <w:sz w:val="24"/>
          <w:szCs w:val="24"/>
          <w:lang w:val="nl-NL"/>
        </w:rPr>
        <w:t xml:space="preserve">FDI giải ngân của Việt Nam tiếp tục được </w:t>
      </w:r>
      <w:r w:rsidRPr="00B11790">
        <w:rPr>
          <w:rFonts w:ascii="Times New Roman" w:eastAsia="Times New Roman" w:hAnsi="Times New Roman"/>
          <w:sz w:val="24"/>
          <w:szCs w:val="24"/>
          <w:lang w:val="nl-NL"/>
        </w:rPr>
        <w:lastRenderedPageBreak/>
        <w:t>dự báo tăng trong thời gian tới nhờ vào vị trí địa lý, giá nhân công và năng lượng thấp, các hiệp định thương mại tự do, sự chuyển dịch đầu tư từ Trung Quốc sang Việt Nam, và các nâng cấp gần đây về quan hệ ngoại giao giữa Việt Nam và Mỹ, Việt Nam và Nhật Bản, Việt Nam và Úc, và gần đây nhất là Việt Nam và Pháp.</w:t>
      </w:r>
    </w:p>
    <w:p w14:paraId="1ADB4330" w14:textId="77777777" w:rsidR="00A94E19" w:rsidRPr="00E816C3" w:rsidRDefault="00A94E19" w:rsidP="00A94E19">
      <w:pPr>
        <w:shd w:val="clear" w:color="auto" w:fill="FFFFFF"/>
        <w:spacing w:after="120" w:line="240" w:lineRule="auto"/>
        <w:jc w:val="both"/>
        <w:rPr>
          <w:rFonts w:ascii="Times New Roman" w:hAnsi="Times New Roman"/>
          <w:b/>
          <w:sz w:val="24"/>
          <w:szCs w:val="24"/>
          <w:lang w:val="nl-NL"/>
        </w:rPr>
      </w:pPr>
      <w:r w:rsidRPr="00E816C3">
        <w:rPr>
          <w:rFonts w:ascii="Times New Roman" w:hAnsi="Times New Roman"/>
          <w:b/>
          <w:sz w:val="24"/>
          <w:szCs w:val="24"/>
          <w:lang w:val="nl-NL"/>
        </w:rPr>
        <w:t>Thị trường chứng khoán</w:t>
      </w:r>
    </w:p>
    <w:p w14:paraId="68AD4E32" w14:textId="77777777" w:rsidR="00A94E19" w:rsidRPr="00E816C3" w:rsidRDefault="00A94E19" w:rsidP="00A94E19">
      <w:pPr>
        <w:shd w:val="clear" w:color="auto" w:fill="FFFFFF"/>
        <w:spacing w:after="120" w:line="240" w:lineRule="auto"/>
        <w:jc w:val="both"/>
        <w:rPr>
          <w:rFonts w:ascii="Times New Roman" w:hAnsi="Times New Roman"/>
          <w:bCs/>
          <w:sz w:val="24"/>
          <w:szCs w:val="24"/>
          <w:lang w:val="nl-NL"/>
        </w:rPr>
      </w:pPr>
      <w:r w:rsidRPr="00E816C3">
        <w:rPr>
          <w:rFonts w:ascii="Times New Roman" w:hAnsi="Times New Roman"/>
          <w:bCs/>
          <w:sz w:val="24"/>
          <w:szCs w:val="24"/>
          <w:lang w:val="nl-NL"/>
        </w:rPr>
        <w:t xml:space="preserve">Thị trường chứng khoán đã trải qua Quý cuối năm 2024 đầy biến động với sự sụt giảm đáng kể trong tháng 10 và nửa đầu tháng 11 dưới áp lực của tỷ giá khi đồng USD mạnh lên khi Fed phát đi tín hiệu duy trì lãi suất cao và kỳ vọng vào chính sách nước Mỹ trên hết của Tổng thống đắc cử Donald Trump, thị trường sau đó hồi phục nhưng với các phiên tăng giảm đan xen và thanh khoản duy trì ở mức thấp. Mặc dù số lượng tài khoản mở mới trong năm 2024 quay lại mức cao với hơn 2 triệu tài khoản cùng với việc lợi nhuận toàn thị trường trong Quý 4/2024 được dự báo tăng trưởng 25% svck, mức cao nhất kể từ Quý 2/2022, VNIndex đã không có mức tăng ấn tượng, đóng cửa ngày 31/12/2024 ở mức </w:t>
      </w:r>
      <w:r>
        <w:rPr>
          <w:rFonts w:ascii="Times New Roman" w:hAnsi="Times New Roman"/>
          <w:bCs/>
          <w:sz w:val="24"/>
          <w:szCs w:val="24"/>
          <w:lang w:val="nl-NL"/>
        </w:rPr>
        <w:t xml:space="preserve">1.266.78 </w:t>
      </w:r>
      <w:r w:rsidRPr="00E816C3">
        <w:rPr>
          <w:rFonts w:ascii="Times New Roman" w:hAnsi="Times New Roman"/>
          <w:bCs/>
          <w:sz w:val="24"/>
          <w:szCs w:val="24"/>
          <w:lang w:val="nl-NL"/>
        </w:rPr>
        <w:t>điểm (</w:t>
      </w:r>
      <w:r>
        <w:rPr>
          <w:rFonts w:ascii="Times New Roman" w:hAnsi="Times New Roman"/>
          <w:bCs/>
          <w:sz w:val="24"/>
          <w:szCs w:val="24"/>
          <w:lang w:val="nl-NL"/>
        </w:rPr>
        <w:t>-1,64</w:t>
      </w:r>
      <w:r w:rsidRPr="00E816C3">
        <w:rPr>
          <w:rFonts w:ascii="Times New Roman" w:hAnsi="Times New Roman"/>
          <w:bCs/>
          <w:sz w:val="24"/>
          <w:szCs w:val="24"/>
          <w:lang w:val="nl-NL"/>
        </w:rPr>
        <w:t>% so với quý trước, +</w:t>
      </w:r>
      <w:r>
        <w:rPr>
          <w:rFonts w:ascii="Times New Roman" w:hAnsi="Times New Roman"/>
          <w:bCs/>
          <w:sz w:val="24"/>
          <w:szCs w:val="24"/>
          <w:lang w:val="nl-NL"/>
        </w:rPr>
        <w:t>12,1</w:t>
      </w:r>
      <w:r w:rsidRPr="00E816C3">
        <w:rPr>
          <w:rFonts w:ascii="Times New Roman" w:hAnsi="Times New Roman"/>
          <w:bCs/>
          <w:sz w:val="24"/>
          <w:szCs w:val="24"/>
          <w:lang w:val="nl-NL"/>
        </w:rPr>
        <w:t xml:space="preserve">% lũy kế từ đầu năm), và thanh khoản </w:t>
      </w:r>
      <w:r>
        <w:rPr>
          <w:rFonts w:ascii="Times New Roman" w:hAnsi="Times New Roman"/>
          <w:bCs/>
          <w:sz w:val="24"/>
          <w:szCs w:val="24"/>
          <w:lang w:val="nl-NL"/>
        </w:rPr>
        <w:t xml:space="preserve">(khớp lệnh và thỏa thuận) </w:t>
      </w:r>
      <w:r w:rsidRPr="00E816C3">
        <w:rPr>
          <w:rFonts w:ascii="Times New Roman" w:hAnsi="Times New Roman"/>
          <w:bCs/>
          <w:sz w:val="24"/>
          <w:szCs w:val="24"/>
          <w:lang w:val="nl-NL"/>
        </w:rPr>
        <w:t xml:space="preserve">trung bình quý chỉ đạt </w:t>
      </w:r>
      <w:r>
        <w:rPr>
          <w:rFonts w:ascii="Times New Roman" w:hAnsi="Times New Roman"/>
          <w:bCs/>
          <w:sz w:val="24"/>
          <w:szCs w:val="24"/>
          <w:lang w:val="nl-NL"/>
        </w:rPr>
        <w:t xml:space="preserve">14.981 </w:t>
      </w:r>
      <w:r w:rsidRPr="00E816C3">
        <w:rPr>
          <w:rFonts w:ascii="Times New Roman" w:hAnsi="Times New Roman"/>
          <w:bCs/>
          <w:sz w:val="24"/>
          <w:szCs w:val="24"/>
          <w:lang w:val="nl-NL"/>
        </w:rPr>
        <w:t>tỷ đồng/phiên (</w:t>
      </w:r>
      <w:r>
        <w:rPr>
          <w:rFonts w:ascii="Times New Roman" w:hAnsi="Times New Roman"/>
          <w:bCs/>
          <w:sz w:val="24"/>
          <w:szCs w:val="24"/>
          <w:lang w:val="nl-NL"/>
        </w:rPr>
        <w:t>-9.5</w:t>
      </w:r>
      <w:r w:rsidRPr="00E816C3">
        <w:rPr>
          <w:rFonts w:ascii="Times New Roman" w:hAnsi="Times New Roman"/>
          <w:bCs/>
          <w:sz w:val="24"/>
          <w:szCs w:val="24"/>
          <w:lang w:val="nl-NL"/>
        </w:rPr>
        <w:t>% so với quý trước</w:t>
      </w:r>
      <w:r>
        <w:rPr>
          <w:rFonts w:ascii="Times New Roman" w:hAnsi="Times New Roman"/>
          <w:bCs/>
          <w:sz w:val="24"/>
          <w:szCs w:val="24"/>
          <w:lang w:val="nl-NL"/>
        </w:rPr>
        <w:t>,</w:t>
      </w:r>
      <w:r w:rsidRPr="00E816C3">
        <w:rPr>
          <w:rFonts w:ascii="Times New Roman" w:hAnsi="Times New Roman"/>
          <w:bCs/>
          <w:sz w:val="24"/>
          <w:szCs w:val="24"/>
          <w:lang w:val="nl-NL"/>
        </w:rPr>
        <w:t xml:space="preserve"> </w:t>
      </w:r>
      <w:r>
        <w:rPr>
          <w:rFonts w:ascii="Times New Roman" w:hAnsi="Times New Roman"/>
          <w:bCs/>
          <w:sz w:val="24"/>
          <w:szCs w:val="24"/>
          <w:lang w:val="nl-NL"/>
        </w:rPr>
        <w:t>-4.8</w:t>
      </w:r>
      <w:r w:rsidRPr="00E816C3">
        <w:rPr>
          <w:rFonts w:ascii="Times New Roman" w:hAnsi="Times New Roman"/>
          <w:bCs/>
          <w:sz w:val="24"/>
          <w:szCs w:val="24"/>
          <w:lang w:val="nl-NL"/>
        </w:rPr>
        <w:t xml:space="preserve">% svck). VNIndex chạm mức thấp nhất </w:t>
      </w:r>
      <w:r>
        <w:rPr>
          <w:rFonts w:ascii="Times New Roman" w:hAnsi="Times New Roman"/>
          <w:bCs/>
          <w:sz w:val="24"/>
          <w:szCs w:val="24"/>
          <w:lang w:val="nl-NL"/>
        </w:rPr>
        <w:t xml:space="preserve">1.205,15 </w:t>
      </w:r>
      <w:r w:rsidRPr="00E816C3">
        <w:rPr>
          <w:rFonts w:ascii="Times New Roman" w:hAnsi="Times New Roman"/>
          <w:bCs/>
          <w:sz w:val="24"/>
          <w:szCs w:val="24"/>
          <w:lang w:val="nl-NL"/>
        </w:rPr>
        <w:t xml:space="preserve">điểm ngày </w:t>
      </w:r>
      <w:r>
        <w:rPr>
          <w:rFonts w:ascii="Times New Roman" w:hAnsi="Times New Roman"/>
          <w:bCs/>
          <w:sz w:val="24"/>
          <w:szCs w:val="24"/>
          <w:lang w:val="nl-NL"/>
        </w:rPr>
        <w:t>19/</w:t>
      </w:r>
      <w:r w:rsidRPr="00E816C3">
        <w:rPr>
          <w:rFonts w:ascii="Times New Roman" w:hAnsi="Times New Roman"/>
          <w:bCs/>
          <w:sz w:val="24"/>
          <w:szCs w:val="24"/>
          <w:lang w:val="nl-NL"/>
        </w:rPr>
        <w:t xml:space="preserve">11/2024 và cao nhất </w:t>
      </w:r>
      <w:r>
        <w:rPr>
          <w:rFonts w:ascii="Times New Roman" w:hAnsi="Times New Roman"/>
          <w:bCs/>
          <w:sz w:val="24"/>
          <w:szCs w:val="24"/>
          <w:lang w:val="nl-NL"/>
        </w:rPr>
        <w:t xml:space="preserve">1.292,2 </w:t>
      </w:r>
      <w:r w:rsidRPr="00E816C3">
        <w:rPr>
          <w:rFonts w:ascii="Times New Roman" w:hAnsi="Times New Roman"/>
          <w:bCs/>
          <w:sz w:val="24"/>
          <w:szCs w:val="24"/>
          <w:lang w:val="nl-NL"/>
        </w:rPr>
        <w:t xml:space="preserve">điểm ngày </w:t>
      </w:r>
      <w:r>
        <w:rPr>
          <w:rFonts w:ascii="Times New Roman" w:hAnsi="Times New Roman"/>
          <w:bCs/>
          <w:sz w:val="24"/>
          <w:szCs w:val="24"/>
          <w:lang w:val="nl-NL"/>
        </w:rPr>
        <w:t>01/10</w:t>
      </w:r>
      <w:r w:rsidRPr="00E816C3">
        <w:rPr>
          <w:rFonts w:ascii="Times New Roman" w:hAnsi="Times New Roman"/>
          <w:bCs/>
          <w:sz w:val="24"/>
          <w:szCs w:val="24"/>
          <w:lang w:val="nl-NL"/>
        </w:rPr>
        <w:t xml:space="preserve">/2024. </w:t>
      </w:r>
      <w:r>
        <w:rPr>
          <w:rFonts w:ascii="Times New Roman" w:hAnsi="Times New Roman"/>
          <w:bCs/>
          <w:sz w:val="24"/>
          <w:szCs w:val="24"/>
          <w:lang w:val="nl-NL"/>
        </w:rPr>
        <w:t>Giải ngân t</w:t>
      </w:r>
      <w:r w:rsidRPr="00E816C3">
        <w:rPr>
          <w:rFonts w:ascii="Times New Roman" w:hAnsi="Times New Roman"/>
          <w:bCs/>
          <w:sz w:val="24"/>
          <w:szCs w:val="24"/>
          <w:lang w:val="nl-NL"/>
        </w:rPr>
        <w:t xml:space="preserve">ín dụng yếu và hoạt động bán USD của NHNN là nguyên nhân khiến cung tiền trong nền kinh tế hạn chế và kéo theo giá trị giao dịch của các tài sản tài chính khá thấp, ngoài ra việc khối ngoại bán ròng liên tục cũng đã gây áp lực giảm giá với thị trường. </w:t>
      </w:r>
      <w:r>
        <w:rPr>
          <w:rFonts w:ascii="Times New Roman" w:hAnsi="Times New Roman"/>
          <w:bCs/>
          <w:sz w:val="24"/>
          <w:szCs w:val="24"/>
          <w:lang w:val="nl-NL"/>
        </w:rPr>
        <w:t>Hoạt động kinh tế</w:t>
      </w:r>
      <w:r w:rsidRPr="00E816C3">
        <w:rPr>
          <w:rFonts w:ascii="Times New Roman" w:hAnsi="Times New Roman"/>
          <w:bCs/>
          <w:sz w:val="24"/>
          <w:szCs w:val="24"/>
          <w:lang w:val="nl-NL"/>
        </w:rPr>
        <w:t xml:space="preserve"> phục hồi, kỳ vọng nâng hạng lên thị trường mới nổi, </w:t>
      </w:r>
      <w:bookmarkStart w:id="1" w:name="_Hlk187741868"/>
      <w:r w:rsidRPr="00E816C3">
        <w:rPr>
          <w:rFonts w:ascii="Times New Roman" w:hAnsi="Times New Roman"/>
          <w:bCs/>
          <w:sz w:val="24"/>
          <w:szCs w:val="24"/>
          <w:lang w:val="nl-NL"/>
        </w:rPr>
        <w:t>mặt bằng lãi suất thấp</w:t>
      </w:r>
      <w:bookmarkEnd w:id="1"/>
      <w:r w:rsidRPr="00E816C3">
        <w:rPr>
          <w:rFonts w:ascii="Times New Roman" w:hAnsi="Times New Roman"/>
          <w:bCs/>
          <w:sz w:val="24"/>
          <w:szCs w:val="24"/>
          <w:lang w:val="nl-NL"/>
        </w:rPr>
        <w:t xml:space="preserve"> được dự báo là các động lực cho thị trường trong thời gian tới. </w:t>
      </w:r>
    </w:p>
    <w:p w14:paraId="5B9DB21F" w14:textId="77777777" w:rsidR="00A94E19" w:rsidRPr="00E816C3" w:rsidRDefault="00A94E19" w:rsidP="00A94E19">
      <w:pPr>
        <w:shd w:val="clear" w:color="auto" w:fill="FFFFFF"/>
        <w:tabs>
          <w:tab w:val="left" w:pos="426"/>
        </w:tabs>
        <w:spacing w:before="120" w:after="0" w:line="240" w:lineRule="auto"/>
        <w:jc w:val="both"/>
        <w:rPr>
          <w:rFonts w:ascii="Times New Roman" w:hAnsi="Times New Roman"/>
          <w:b/>
          <w:sz w:val="24"/>
          <w:szCs w:val="24"/>
          <w:lang w:val="nl-NL"/>
        </w:rPr>
      </w:pPr>
      <w:r w:rsidRPr="00E816C3">
        <w:rPr>
          <w:rFonts w:ascii="Times New Roman" w:hAnsi="Times New Roman"/>
          <w:b/>
          <w:sz w:val="24"/>
          <w:szCs w:val="24"/>
          <w:lang w:val="nl-NL"/>
        </w:rPr>
        <w:t>Thị trường trái phiếu</w:t>
      </w:r>
    </w:p>
    <w:p w14:paraId="4BC746EC" w14:textId="77777777" w:rsidR="00A94E19" w:rsidRPr="00F1620B" w:rsidRDefault="00A94E19" w:rsidP="00A94E19">
      <w:pPr>
        <w:shd w:val="clear" w:color="auto" w:fill="FFFFFF"/>
        <w:tabs>
          <w:tab w:val="left" w:pos="540"/>
        </w:tabs>
        <w:spacing w:before="120" w:after="0" w:line="240" w:lineRule="auto"/>
        <w:jc w:val="both"/>
        <w:rPr>
          <w:rFonts w:ascii="Times New Roman" w:hAnsi="Times New Roman"/>
          <w:bCs/>
          <w:sz w:val="24"/>
          <w:szCs w:val="24"/>
          <w:lang w:val="nl-NL"/>
        </w:rPr>
      </w:pPr>
      <w:r w:rsidRPr="00F1620B">
        <w:rPr>
          <w:rFonts w:ascii="Times New Roman" w:hAnsi="Times New Roman"/>
          <w:bCs/>
          <w:sz w:val="24"/>
          <w:szCs w:val="24"/>
          <w:lang w:val="nl-NL"/>
        </w:rPr>
        <w:t xml:space="preserve">Trong </w:t>
      </w:r>
      <w:r>
        <w:rPr>
          <w:rFonts w:ascii="Times New Roman" w:hAnsi="Times New Roman"/>
          <w:bCs/>
          <w:sz w:val="24"/>
          <w:szCs w:val="24"/>
          <w:lang w:val="nl-NL"/>
        </w:rPr>
        <w:t>Q</w:t>
      </w:r>
      <w:r w:rsidRPr="00F1620B">
        <w:rPr>
          <w:rFonts w:ascii="Times New Roman" w:hAnsi="Times New Roman"/>
          <w:bCs/>
          <w:sz w:val="24"/>
          <w:szCs w:val="24"/>
          <w:lang w:val="nl-NL"/>
        </w:rPr>
        <w:t xml:space="preserve">uý 4/2024, Kho bạc Nhà nước đã gọi thầu tổng cộng 133,500 tỷ đồng trái phiếu Chính phủ, tuy nhiên chỉ có 58,704.5 tỷ đồng trúng thầu, đạt tỷ lệ 43.97%. Điều này cho thấy nhu cầu thị trường đối với trái phiếu Chính phủ trong quý không cao như kỳ vọng, đặc biệt là trong tháng 12 với tỷ lệ trúng thầu rất thấp chỉ 21.7%. Khối lượng TPCP phát hành trong </w:t>
      </w:r>
      <w:r>
        <w:rPr>
          <w:rFonts w:ascii="Times New Roman" w:hAnsi="Times New Roman"/>
          <w:bCs/>
          <w:sz w:val="24"/>
          <w:szCs w:val="24"/>
          <w:lang w:val="nl-NL"/>
        </w:rPr>
        <w:t>Q</w:t>
      </w:r>
      <w:r w:rsidRPr="00F1620B">
        <w:rPr>
          <w:rFonts w:ascii="Times New Roman" w:hAnsi="Times New Roman"/>
          <w:bCs/>
          <w:sz w:val="24"/>
          <w:szCs w:val="24"/>
          <w:lang w:val="nl-NL"/>
        </w:rPr>
        <w:t xml:space="preserve">uý 4 đạt 45.9% kế hoạch </w:t>
      </w:r>
      <w:r>
        <w:rPr>
          <w:rFonts w:ascii="Times New Roman" w:hAnsi="Times New Roman"/>
          <w:bCs/>
          <w:sz w:val="24"/>
          <w:szCs w:val="24"/>
          <w:lang w:val="nl-NL"/>
        </w:rPr>
        <w:t>Q</w:t>
      </w:r>
      <w:r w:rsidRPr="00F1620B">
        <w:rPr>
          <w:rFonts w:ascii="Times New Roman" w:hAnsi="Times New Roman"/>
          <w:bCs/>
          <w:sz w:val="24"/>
          <w:szCs w:val="24"/>
          <w:lang w:val="nl-NL"/>
        </w:rPr>
        <w:t>uý</w:t>
      </w:r>
      <w:r>
        <w:rPr>
          <w:rFonts w:ascii="Times New Roman" w:hAnsi="Times New Roman"/>
          <w:bCs/>
          <w:sz w:val="24"/>
          <w:szCs w:val="24"/>
          <w:lang w:val="nl-NL"/>
        </w:rPr>
        <w:t>.</w:t>
      </w:r>
    </w:p>
    <w:p w14:paraId="36F8A8A5" w14:textId="77777777" w:rsidR="00A94E19" w:rsidRPr="00F1620B" w:rsidRDefault="00A94E19" w:rsidP="00A94E19">
      <w:pPr>
        <w:pStyle w:val="ListParagraph"/>
        <w:numPr>
          <w:ilvl w:val="0"/>
          <w:numId w:val="23"/>
        </w:numPr>
        <w:shd w:val="clear" w:color="auto" w:fill="FFFFFF"/>
        <w:spacing w:before="120" w:after="0" w:line="240" w:lineRule="auto"/>
        <w:jc w:val="both"/>
        <w:rPr>
          <w:rFonts w:ascii="Times New Roman" w:hAnsi="Times New Roman"/>
          <w:bCs/>
          <w:sz w:val="24"/>
          <w:szCs w:val="24"/>
          <w:lang w:val="nl-NL"/>
        </w:rPr>
      </w:pPr>
      <w:r w:rsidRPr="00F1620B">
        <w:rPr>
          <w:rFonts w:ascii="Times New Roman" w:hAnsi="Times New Roman"/>
          <w:bCs/>
          <w:sz w:val="24"/>
          <w:szCs w:val="24"/>
          <w:lang w:val="nl-NL"/>
        </w:rPr>
        <w:t>Về cơ cấu kỳ hạn, kỳ hạn 10 năm vẫn chiếm ưu thế trong quý 4, tương tự như các tháng trước. Tuy nhiên, đáng chú ý là kỳ hạn phát hành bình quân trong tháng 12 tăng vọt lên 14.53 năm, kéo theo kỳ hạn phát hành bình quân của cả quý lên khoảng 11.2 năm. Điều này cho thấy xu hướng phát hành trái phiếu dài hạn hơn vào cuối năm.</w:t>
      </w:r>
    </w:p>
    <w:p w14:paraId="7C6AA4C5" w14:textId="77777777" w:rsidR="00A94E19" w:rsidRPr="00F1620B" w:rsidRDefault="00A94E19" w:rsidP="00A94E19">
      <w:pPr>
        <w:pStyle w:val="ListParagraph"/>
        <w:numPr>
          <w:ilvl w:val="0"/>
          <w:numId w:val="23"/>
        </w:numPr>
        <w:shd w:val="clear" w:color="auto" w:fill="FFFFFF"/>
        <w:spacing w:before="120" w:after="0" w:line="240" w:lineRule="auto"/>
        <w:jc w:val="both"/>
        <w:rPr>
          <w:rFonts w:ascii="Times New Roman" w:hAnsi="Times New Roman"/>
          <w:bCs/>
          <w:sz w:val="24"/>
          <w:szCs w:val="24"/>
          <w:lang w:val="nl-NL"/>
        </w:rPr>
      </w:pPr>
      <w:r w:rsidRPr="00F1620B">
        <w:rPr>
          <w:rFonts w:ascii="Times New Roman" w:hAnsi="Times New Roman"/>
          <w:bCs/>
          <w:sz w:val="24"/>
          <w:szCs w:val="24"/>
          <w:lang w:val="nl-NL"/>
        </w:rPr>
        <w:t>Về lãi suất, lãi suất trúng thầu trung bình trong quý 4 là 2.58%/năm, biến động không đáng kể so với các tháng trước, tuy nhiên có xu hướng tăng nhẹ vào tháng 12. Điều này có thể phản ánh áp lực tăng lãi suất nhẹ vào cuối năm.</w:t>
      </w:r>
    </w:p>
    <w:p w14:paraId="224009D0" w14:textId="77777777" w:rsidR="00A94E19" w:rsidRPr="00C704EF" w:rsidRDefault="00A94E19" w:rsidP="00A94E19">
      <w:pPr>
        <w:shd w:val="clear" w:color="auto" w:fill="FFFFFF"/>
        <w:tabs>
          <w:tab w:val="left" w:pos="540"/>
        </w:tabs>
        <w:spacing w:before="120" w:after="0" w:line="240" w:lineRule="auto"/>
        <w:jc w:val="both"/>
        <w:rPr>
          <w:rFonts w:ascii="Times New Roman" w:hAnsi="Times New Roman"/>
          <w:bCs/>
          <w:sz w:val="24"/>
          <w:szCs w:val="24"/>
          <w:lang w:val="nl-NL"/>
        </w:rPr>
      </w:pPr>
      <w:r w:rsidRPr="00F1620B">
        <w:rPr>
          <w:rFonts w:ascii="Times New Roman" w:hAnsi="Times New Roman"/>
          <w:bCs/>
          <w:sz w:val="24"/>
          <w:szCs w:val="24"/>
          <w:lang w:val="nl-NL"/>
        </w:rPr>
        <w:t>Nhìn chung, hoạt động phát hành trái phiếu Chính phủ trong quý 4/2024 diễn ra không mấy thuận lợi với tỷ lệ trúng thầu thấp và khối lượng phát hành chưa đạt kế hoạch. Tuy nhiên, việc duy trì lãi suất ổn định và xu hướng phát hành trái phiếu dài hạn hơn là những điểm đáng lưu ý. Việc không trúng thầu ở các kỳ hạn 15 và 20 năm trong cả quý cũng cho thấy thị trường có thể ít quan tâm đến các kỳ hạn này trong giai đoạn đó.</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tblGrid>
      <w:tr w:rsidR="00A94E19" w:rsidRPr="009876B3" w14:paraId="5F99DE94" w14:textId="77777777" w:rsidTr="00611354">
        <w:trPr>
          <w:trHeight w:val="318"/>
          <w:jc w:val="center"/>
        </w:trPr>
        <w:tc>
          <w:tcPr>
            <w:tcW w:w="8149" w:type="dxa"/>
            <w:tcBorders>
              <w:bottom w:val="single" w:sz="4" w:space="0" w:color="auto"/>
            </w:tcBorders>
            <w:shd w:val="clear" w:color="auto" w:fill="auto"/>
          </w:tcPr>
          <w:p w14:paraId="0DC527F0" w14:textId="77777777" w:rsidR="00A94E19" w:rsidRPr="00E816C3" w:rsidRDefault="00A94E19" w:rsidP="00611354">
            <w:pPr>
              <w:tabs>
                <w:tab w:val="left" w:pos="426"/>
              </w:tabs>
              <w:spacing w:before="120" w:line="360" w:lineRule="auto"/>
              <w:jc w:val="both"/>
              <w:rPr>
                <w:rFonts w:ascii="Times New Roman" w:hAnsi="Times New Roman"/>
                <w:b/>
                <w:sz w:val="22"/>
                <w:szCs w:val="22"/>
                <w:lang w:val="nl-NL"/>
              </w:rPr>
            </w:pPr>
            <w:r w:rsidRPr="00E816C3">
              <w:rPr>
                <w:rFonts w:ascii="Times New Roman" w:hAnsi="Times New Roman"/>
                <w:b/>
                <w:sz w:val="22"/>
                <w:szCs w:val="22"/>
                <w:lang w:val="nl-NL"/>
              </w:rPr>
              <w:t>Hình 3: Lãi suất phát hành trung bình các kỳ hạn Trái phiếu Chính phủ</w:t>
            </w:r>
          </w:p>
        </w:tc>
      </w:tr>
      <w:tr w:rsidR="00A94E19" w:rsidRPr="0002715B" w14:paraId="76ED0A56" w14:textId="77777777" w:rsidTr="00611354">
        <w:trPr>
          <w:trHeight w:val="4166"/>
          <w:jc w:val="center"/>
        </w:trPr>
        <w:tc>
          <w:tcPr>
            <w:tcW w:w="8149" w:type="dxa"/>
            <w:tcBorders>
              <w:top w:val="single" w:sz="4" w:space="0" w:color="auto"/>
              <w:bottom w:val="single" w:sz="4" w:space="0" w:color="auto"/>
            </w:tcBorders>
          </w:tcPr>
          <w:p w14:paraId="2CFCBD0B" w14:textId="77777777" w:rsidR="00A94E19" w:rsidRPr="0002715B" w:rsidRDefault="00A94E19" w:rsidP="00611354">
            <w:pPr>
              <w:tabs>
                <w:tab w:val="left" w:pos="426"/>
              </w:tabs>
              <w:spacing w:before="120" w:line="360" w:lineRule="auto"/>
              <w:jc w:val="center"/>
              <w:rPr>
                <w:rFonts w:ascii="Times New Roman" w:hAnsi="Times New Roman"/>
                <w:bCs/>
                <w:sz w:val="22"/>
                <w:szCs w:val="22"/>
                <w:highlight w:val="yellow"/>
                <w:lang w:val="nl-NL"/>
              </w:rPr>
            </w:pPr>
            <w:r w:rsidRPr="00BE0144">
              <w:rPr>
                <w:rFonts w:ascii="Times New Roman" w:hAnsi="Times New Roman"/>
                <w:bCs/>
                <w:noProof/>
                <w:lang w:val="nl-NL"/>
              </w:rPr>
              <w:lastRenderedPageBreak/>
              <w:drawing>
                <wp:inline distT="0" distB="0" distL="0" distR="0" wp14:anchorId="50D86ACA" wp14:editId="19859742">
                  <wp:extent cx="4511040" cy="2908434"/>
                  <wp:effectExtent l="0" t="0" r="3810" b="6350"/>
                  <wp:docPr id="1108608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608657" name=""/>
                          <pic:cNvPicPr/>
                        </pic:nvPicPr>
                        <pic:blipFill>
                          <a:blip r:embed="rId10"/>
                          <a:stretch>
                            <a:fillRect/>
                          </a:stretch>
                        </pic:blipFill>
                        <pic:spPr>
                          <a:xfrm>
                            <a:off x="0" y="0"/>
                            <a:ext cx="4513033" cy="2909719"/>
                          </a:xfrm>
                          <a:prstGeom prst="rect">
                            <a:avLst/>
                          </a:prstGeom>
                        </pic:spPr>
                      </pic:pic>
                    </a:graphicData>
                  </a:graphic>
                </wp:inline>
              </w:drawing>
            </w:r>
          </w:p>
        </w:tc>
      </w:tr>
      <w:tr w:rsidR="00A94E19" w:rsidRPr="0002715B" w14:paraId="20E74179" w14:textId="77777777" w:rsidTr="00611354">
        <w:trPr>
          <w:trHeight w:val="116"/>
          <w:jc w:val="center"/>
        </w:trPr>
        <w:tc>
          <w:tcPr>
            <w:tcW w:w="8149" w:type="dxa"/>
            <w:tcBorders>
              <w:top w:val="single" w:sz="4" w:space="0" w:color="auto"/>
            </w:tcBorders>
            <w:shd w:val="clear" w:color="auto" w:fill="auto"/>
          </w:tcPr>
          <w:p w14:paraId="7EB2800C" w14:textId="77777777" w:rsidR="00A94E19" w:rsidRPr="00E816C3" w:rsidRDefault="00A94E19" w:rsidP="00611354">
            <w:pPr>
              <w:tabs>
                <w:tab w:val="left" w:pos="426"/>
              </w:tabs>
              <w:spacing w:before="120" w:line="360" w:lineRule="auto"/>
              <w:jc w:val="both"/>
              <w:rPr>
                <w:rFonts w:ascii="Times New Roman" w:hAnsi="Times New Roman"/>
                <w:bCs/>
                <w:i/>
                <w:iCs/>
                <w:lang w:val="nl-NL"/>
              </w:rPr>
            </w:pPr>
            <w:r w:rsidRPr="00E816C3">
              <w:rPr>
                <w:rFonts w:ascii="Times New Roman" w:hAnsi="Times New Roman"/>
                <w:bCs/>
                <w:i/>
                <w:iCs/>
                <w:lang w:val="nl-NL"/>
              </w:rPr>
              <w:t>Nguồn: VBMA</w:t>
            </w:r>
          </w:p>
        </w:tc>
      </w:tr>
    </w:tbl>
    <w:p w14:paraId="62C79533" w14:textId="77777777" w:rsidR="00A94E19" w:rsidRPr="00E816C3" w:rsidRDefault="00A94E19" w:rsidP="00A94E19">
      <w:pPr>
        <w:shd w:val="clear" w:color="auto" w:fill="FFFFFF"/>
        <w:tabs>
          <w:tab w:val="left" w:pos="540"/>
        </w:tabs>
        <w:spacing w:before="120" w:after="0" w:line="240" w:lineRule="auto"/>
        <w:jc w:val="both"/>
        <w:rPr>
          <w:rFonts w:ascii="Times New Roman" w:hAnsi="Times New Roman"/>
          <w:sz w:val="24"/>
          <w:szCs w:val="24"/>
          <w:highlight w:val="yellow"/>
          <w:lang w:val="nl-NL"/>
        </w:rPr>
      </w:pPr>
      <w:r w:rsidRPr="00E816C3">
        <w:rPr>
          <w:rFonts w:ascii="Times New Roman" w:hAnsi="Times New Roman"/>
          <w:sz w:val="24"/>
          <w:szCs w:val="24"/>
          <w:lang w:val="nl-NL"/>
        </w:rPr>
        <w:t xml:space="preserve">Trong </w:t>
      </w:r>
      <w:r>
        <w:rPr>
          <w:rFonts w:ascii="Times New Roman" w:hAnsi="Times New Roman"/>
          <w:sz w:val="24"/>
          <w:szCs w:val="24"/>
          <w:lang w:val="nl-NL"/>
        </w:rPr>
        <w:t>Q</w:t>
      </w:r>
      <w:r w:rsidRPr="00E816C3">
        <w:rPr>
          <w:rFonts w:ascii="Times New Roman" w:hAnsi="Times New Roman"/>
          <w:sz w:val="24"/>
          <w:szCs w:val="24"/>
          <w:lang w:val="nl-NL"/>
        </w:rPr>
        <w:t xml:space="preserve">uý 4/2024, thị trường trái phiếu doanh nghiệp ghi nhận tổng giá trị phát hành đạt 103,459 tỷ đồng, trong đó phần lớn là phát hành riêng lẻ (100,859 tỷ đồng). Hoạt động mua lại trái phiếu trước hạn cũng diễn ra khá sôi động với tổng giá trị 46,434 tỷ đồng. Về áp lực đáo hạn, ước tính có 42,053 tỷ đồng trái phiếu đáo hạn trong </w:t>
      </w:r>
      <w:r>
        <w:rPr>
          <w:rFonts w:ascii="Times New Roman" w:hAnsi="Times New Roman"/>
          <w:sz w:val="24"/>
          <w:szCs w:val="24"/>
          <w:lang w:val="nl-NL"/>
        </w:rPr>
        <w:t>Q</w:t>
      </w:r>
      <w:r w:rsidRPr="00E816C3">
        <w:rPr>
          <w:rFonts w:ascii="Times New Roman" w:hAnsi="Times New Roman"/>
          <w:sz w:val="24"/>
          <w:szCs w:val="24"/>
          <w:lang w:val="nl-NL"/>
        </w:rPr>
        <w:t>uý 4, trong đó trái phiếu bất động sản chiếm 14,502 tỷ đồng (khoảng 34%). Điều này cho thấy áp lực đáo hạn trái phiếu bất động sản giảm so với dự báo trước đó của tháng 10 (40%). Tình hình chậm trả gốc và lãi trong quý 4 là 2,889.7 tỷ đồng. Đáng chú ý là phần lớn giá trị chậm trả nằm ở tháng 10 do chậm trả cả gốc và lãi, trong khi tháng 11 và 12 chỉ ghi nhận chậm trả lãi với giá trị nhỏ hơn nhiều. Điều này cho thấy tình hình thanh khoản của các doanh nghiệp có thể đã cải thiện phần nào vào cuối năm. Trong năm 2025, ước tính sẽ có khoảng 216,670 tỷ đồng trái phiếu đáo hạn, trong đó phần lớn là trái phiếu bất động sản với 120,640 tỷ đồng, chiếm 55.6%. Trên thị trường thứ cấp, TPDN riêng lẻ trong Quý 4/2024 trải qua những biến động đáng kể, với một tháng tăng trưởng, một tháng suy giảm và một tháng phục hồi mạnh mẽ. Tổng giá trị giao dịch TPDN riêng lẻ trên thị trường thứ cấp trong Quý 4/2024 đạt 348,366 tỷ đồng.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A94E19" w:rsidRPr="009876B3" w14:paraId="0F5A464C" w14:textId="77777777" w:rsidTr="00611354">
        <w:trPr>
          <w:trHeight w:val="471"/>
          <w:jc w:val="center"/>
        </w:trPr>
        <w:tc>
          <w:tcPr>
            <w:tcW w:w="8251" w:type="dxa"/>
            <w:tcBorders>
              <w:bottom w:val="single" w:sz="4" w:space="0" w:color="auto"/>
            </w:tcBorders>
            <w:shd w:val="clear" w:color="auto" w:fill="auto"/>
          </w:tcPr>
          <w:p w14:paraId="1DB3A1FE" w14:textId="77777777" w:rsidR="00A94E19" w:rsidRPr="00E816C3" w:rsidRDefault="00A94E19" w:rsidP="00611354">
            <w:pPr>
              <w:tabs>
                <w:tab w:val="left" w:pos="426"/>
              </w:tabs>
              <w:spacing w:before="120" w:line="360" w:lineRule="auto"/>
              <w:jc w:val="both"/>
              <w:rPr>
                <w:rFonts w:ascii="Times New Roman" w:hAnsi="Times New Roman"/>
                <w:b/>
                <w:sz w:val="22"/>
                <w:szCs w:val="22"/>
                <w:lang w:val="nl-NL"/>
              </w:rPr>
            </w:pPr>
            <w:r w:rsidRPr="00E816C3">
              <w:rPr>
                <w:rFonts w:ascii="Times New Roman" w:hAnsi="Times New Roman"/>
                <w:b/>
                <w:sz w:val="22"/>
                <w:szCs w:val="22"/>
                <w:lang w:val="nl-NL"/>
              </w:rPr>
              <w:t>Hình 4: Tỷ trọng phát hành trái phiếu doanh nghiệp theo nhóm ngành</w:t>
            </w:r>
          </w:p>
        </w:tc>
      </w:tr>
      <w:tr w:rsidR="00A94E19" w:rsidRPr="0002715B" w14:paraId="7519BF88" w14:textId="77777777" w:rsidTr="00611354">
        <w:trPr>
          <w:trHeight w:val="3680"/>
          <w:jc w:val="center"/>
        </w:trPr>
        <w:tc>
          <w:tcPr>
            <w:tcW w:w="8251" w:type="dxa"/>
            <w:tcBorders>
              <w:top w:val="single" w:sz="4" w:space="0" w:color="auto"/>
              <w:bottom w:val="single" w:sz="4" w:space="0" w:color="auto"/>
            </w:tcBorders>
          </w:tcPr>
          <w:p w14:paraId="15478DDB" w14:textId="77777777" w:rsidR="00A94E19" w:rsidRPr="0002715B" w:rsidRDefault="00A94E19" w:rsidP="00611354">
            <w:pPr>
              <w:tabs>
                <w:tab w:val="left" w:pos="426"/>
              </w:tabs>
              <w:spacing w:before="120" w:line="360" w:lineRule="auto"/>
              <w:jc w:val="center"/>
              <w:rPr>
                <w:rFonts w:ascii="Times New Roman" w:hAnsi="Times New Roman"/>
                <w:bCs/>
                <w:sz w:val="22"/>
                <w:szCs w:val="22"/>
                <w:highlight w:val="yellow"/>
                <w:lang w:val="nl-NL"/>
              </w:rPr>
            </w:pPr>
            <w:r w:rsidRPr="002B240A">
              <w:rPr>
                <w:rFonts w:ascii="Times New Roman" w:hAnsi="Times New Roman"/>
                <w:bCs/>
                <w:noProof/>
                <w:lang w:val="nl-NL"/>
              </w:rPr>
              <w:drawing>
                <wp:inline distT="0" distB="0" distL="0" distR="0" wp14:anchorId="35088A95" wp14:editId="23B9342C">
                  <wp:extent cx="3490262" cy="2171888"/>
                  <wp:effectExtent l="0" t="0" r="0" b="0"/>
                  <wp:docPr id="185380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805105" name=""/>
                          <pic:cNvPicPr/>
                        </pic:nvPicPr>
                        <pic:blipFill>
                          <a:blip r:embed="rId11"/>
                          <a:stretch>
                            <a:fillRect/>
                          </a:stretch>
                        </pic:blipFill>
                        <pic:spPr>
                          <a:xfrm>
                            <a:off x="0" y="0"/>
                            <a:ext cx="3490262" cy="2171888"/>
                          </a:xfrm>
                          <a:prstGeom prst="rect">
                            <a:avLst/>
                          </a:prstGeom>
                        </pic:spPr>
                      </pic:pic>
                    </a:graphicData>
                  </a:graphic>
                </wp:inline>
              </w:drawing>
            </w:r>
          </w:p>
        </w:tc>
      </w:tr>
      <w:tr w:rsidR="00A94E19" w:rsidRPr="00845946" w14:paraId="5B8EACE7" w14:textId="77777777" w:rsidTr="00611354">
        <w:trPr>
          <w:trHeight w:val="443"/>
          <w:jc w:val="center"/>
        </w:trPr>
        <w:tc>
          <w:tcPr>
            <w:tcW w:w="8251" w:type="dxa"/>
            <w:tcBorders>
              <w:top w:val="single" w:sz="4" w:space="0" w:color="auto"/>
            </w:tcBorders>
            <w:shd w:val="clear" w:color="auto" w:fill="auto"/>
          </w:tcPr>
          <w:p w14:paraId="77D5AE5A" w14:textId="77777777" w:rsidR="00A94E19" w:rsidRPr="00845946" w:rsidRDefault="00A94E19" w:rsidP="00611354">
            <w:pPr>
              <w:tabs>
                <w:tab w:val="left" w:pos="426"/>
              </w:tabs>
              <w:spacing w:before="120" w:line="360" w:lineRule="auto"/>
              <w:jc w:val="both"/>
              <w:rPr>
                <w:rFonts w:ascii="Times New Roman" w:hAnsi="Times New Roman"/>
                <w:bCs/>
                <w:i/>
                <w:iCs/>
                <w:lang w:val="nl-NL"/>
              </w:rPr>
            </w:pPr>
            <w:r w:rsidRPr="00E816C3">
              <w:rPr>
                <w:rFonts w:ascii="Times New Roman" w:hAnsi="Times New Roman"/>
                <w:bCs/>
                <w:i/>
                <w:iCs/>
                <w:lang w:val="nl-NL"/>
              </w:rPr>
              <w:t>Nguồn: VBMA</w:t>
            </w:r>
          </w:p>
        </w:tc>
      </w:tr>
    </w:tbl>
    <w:p w14:paraId="70E12DD2" w14:textId="231DEF35" w:rsidR="001C4468" w:rsidRPr="00845946"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b/>
          <w:sz w:val="24"/>
          <w:szCs w:val="24"/>
          <w:lang w:val="nl-NL"/>
        </w:rPr>
        <w:t xml:space="preserve">IV. </w:t>
      </w:r>
      <w:r w:rsidR="008978F2" w:rsidRPr="00845946">
        <w:rPr>
          <w:rFonts w:ascii="Times New Roman" w:hAnsi="Times New Roman"/>
          <w:b/>
          <w:sz w:val="24"/>
          <w:szCs w:val="24"/>
          <w:lang w:val="nl-NL"/>
        </w:rPr>
        <w:tab/>
      </w:r>
      <w:r w:rsidRPr="00845946">
        <w:rPr>
          <w:rFonts w:ascii="Times New Roman" w:hAnsi="Times New Roman"/>
          <w:b/>
          <w:sz w:val="24"/>
          <w:szCs w:val="24"/>
          <w:lang w:val="nl-NL"/>
        </w:rPr>
        <w:t>C</w:t>
      </w:r>
      <w:r w:rsidR="00846481" w:rsidRPr="00845946">
        <w:rPr>
          <w:rFonts w:ascii="Times New Roman" w:hAnsi="Times New Roman"/>
          <w:b/>
          <w:sz w:val="24"/>
          <w:szCs w:val="24"/>
          <w:lang w:val="nl-NL"/>
        </w:rPr>
        <w:t>HI TIẾT CÁC CHỈ TIÊU HOẠT ĐỘNG CỦA QUỸ</w:t>
      </w:r>
    </w:p>
    <w:p w14:paraId="09A7C01D" w14:textId="77777777" w:rsidR="001C4468" w:rsidRPr="00845946"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lastRenderedPageBreak/>
        <w:t>Số liệu chi tiết hoạt động của Quỹ</w:t>
      </w:r>
    </w:p>
    <w:p w14:paraId="0381BE87" w14:textId="77777777" w:rsidR="008A4832" w:rsidRPr="00845946"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845946" w14:paraId="737AFC9F" w14:textId="77777777" w:rsidTr="00A85A22">
        <w:tc>
          <w:tcPr>
            <w:tcW w:w="3013" w:type="dxa"/>
          </w:tcPr>
          <w:p w14:paraId="2376F80B" w14:textId="77777777" w:rsidR="008978F2" w:rsidRPr="00845946" w:rsidRDefault="008978F2" w:rsidP="008978F2">
            <w:pPr>
              <w:tabs>
                <w:tab w:val="left" w:pos="540"/>
              </w:tabs>
              <w:spacing w:before="120"/>
              <w:jc w:val="center"/>
              <w:rPr>
                <w:rFonts w:ascii="Times New Roman" w:hAnsi="Times New Roman"/>
                <w:b/>
                <w:sz w:val="24"/>
                <w:szCs w:val="24"/>
                <w:lang w:val="nl-NL"/>
              </w:rPr>
            </w:pPr>
            <w:r w:rsidRPr="00845946">
              <w:rPr>
                <w:rFonts w:ascii="Times New Roman" w:hAnsi="Times New Roman"/>
                <w:b/>
                <w:sz w:val="24"/>
                <w:szCs w:val="24"/>
                <w:lang w:val="nl-NL"/>
              </w:rPr>
              <w:t>Chỉ tiêu</w:t>
            </w:r>
          </w:p>
        </w:tc>
        <w:tc>
          <w:tcPr>
            <w:tcW w:w="2025" w:type="dxa"/>
          </w:tcPr>
          <w:p w14:paraId="26167DE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1 năm đến thời điểm báo cáo (%)</w:t>
            </w:r>
          </w:p>
        </w:tc>
        <w:tc>
          <w:tcPr>
            <w:tcW w:w="2547" w:type="dxa"/>
          </w:tcPr>
          <w:p w14:paraId="47E92B29"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3 năm gần nhất tính đến thời điểm báo cáo (%)</w:t>
            </w:r>
          </w:p>
        </w:tc>
        <w:tc>
          <w:tcPr>
            <w:tcW w:w="2305" w:type="dxa"/>
          </w:tcPr>
          <w:p w14:paraId="5729A3BA" w14:textId="77777777" w:rsidR="008978F2" w:rsidRPr="00845946" w:rsidRDefault="008978F2" w:rsidP="00B3750F">
            <w:pPr>
              <w:tabs>
                <w:tab w:val="left" w:pos="540"/>
              </w:tabs>
              <w:spacing w:before="120"/>
              <w:jc w:val="both"/>
              <w:rPr>
                <w:rFonts w:ascii="Times New Roman" w:hAnsi="Times New Roman"/>
                <w:b/>
                <w:sz w:val="24"/>
                <w:szCs w:val="24"/>
                <w:lang w:val="nl-NL"/>
              </w:rPr>
            </w:pPr>
            <w:r w:rsidRPr="00845946">
              <w:rPr>
                <w:rFonts w:ascii="Times New Roman" w:eastAsia="Times New Roman" w:hAnsi="Times New Roman"/>
                <w:sz w:val="24"/>
                <w:szCs w:val="24"/>
                <w:lang w:val="nl-NL"/>
              </w:rPr>
              <w:t>Từ khi thành lập đến thời điểm báo cáo (%)</w:t>
            </w:r>
          </w:p>
        </w:tc>
      </w:tr>
      <w:tr w:rsidR="001A5984" w:rsidRPr="00845946" w14:paraId="3B808C2A" w14:textId="77777777" w:rsidTr="00A85A22">
        <w:tc>
          <w:tcPr>
            <w:tcW w:w="3013" w:type="dxa"/>
            <w:vAlign w:val="center"/>
          </w:tcPr>
          <w:p w14:paraId="503A48BC"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2025" w:type="dxa"/>
            <w:vAlign w:val="center"/>
          </w:tcPr>
          <w:p w14:paraId="67054091"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2547" w:type="dxa"/>
            <w:vAlign w:val="center"/>
          </w:tcPr>
          <w:p w14:paraId="4F8AE692"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2305" w:type="dxa"/>
            <w:vAlign w:val="center"/>
          </w:tcPr>
          <w:p w14:paraId="1EBC5E76" w14:textId="77777777" w:rsidR="001A5984" w:rsidRPr="00845946" w:rsidRDefault="001A5984" w:rsidP="001A598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w:t>
            </w:r>
          </w:p>
        </w:tc>
      </w:tr>
      <w:tr w:rsidR="00A1471B" w:rsidRPr="00845946" w14:paraId="47AA22B4" w14:textId="77777777" w:rsidTr="00A85A22">
        <w:tc>
          <w:tcPr>
            <w:tcW w:w="3013" w:type="dxa"/>
            <w:vAlign w:val="center"/>
          </w:tcPr>
          <w:p w14:paraId="4D8E030B"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thu nhập/1 đơn vị CCQ</w:t>
            </w:r>
          </w:p>
        </w:tc>
        <w:tc>
          <w:tcPr>
            <w:tcW w:w="2025" w:type="dxa"/>
            <w:vAlign w:val="center"/>
          </w:tcPr>
          <w:p w14:paraId="5C17AA64" w14:textId="4F274621" w:rsidR="00A1471B" w:rsidRPr="00845946" w:rsidRDefault="000817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2B187E">
              <w:rPr>
                <w:rFonts w:ascii="Times New Roman" w:eastAsia="Times New Roman" w:hAnsi="Times New Roman"/>
                <w:sz w:val="24"/>
                <w:szCs w:val="24"/>
                <w:lang w:val="nl-NL"/>
              </w:rPr>
              <w:t>69</w:t>
            </w:r>
          </w:p>
        </w:tc>
        <w:tc>
          <w:tcPr>
            <w:tcW w:w="2547" w:type="dxa"/>
            <w:vAlign w:val="center"/>
          </w:tcPr>
          <w:p w14:paraId="12F09FAA" w14:textId="5A4A35B1"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2B187E">
              <w:rPr>
                <w:rFonts w:ascii="Times New Roman" w:eastAsia="Times New Roman" w:hAnsi="Times New Roman"/>
                <w:sz w:val="24"/>
                <w:szCs w:val="24"/>
                <w:lang w:val="nl-NL"/>
              </w:rPr>
              <w:t>40</w:t>
            </w:r>
          </w:p>
        </w:tc>
        <w:tc>
          <w:tcPr>
            <w:tcW w:w="2305" w:type="dxa"/>
            <w:vAlign w:val="center"/>
          </w:tcPr>
          <w:p w14:paraId="3429EE5D" w14:textId="09860DEF" w:rsidR="000D3844" w:rsidRPr="00845946" w:rsidRDefault="007F3703" w:rsidP="000D3844">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7,</w:t>
            </w:r>
            <w:r w:rsidR="006E5472" w:rsidRPr="00845946">
              <w:rPr>
                <w:rFonts w:ascii="Times New Roman" w:eastAsia="Times New Roman" w:hAnsi="Times New Roman"/>
                <w:sz w:val="24"/>
                <w:szCs w:val="24"/>
                <w:lang w:val="nl-NL"/>
              </w:rPr>
              <w:t>4</w:t>
            </w:r>
            <w:r w:rsidR="002B187E">
              <w:rPr>
                <w:rFonts w:ascii="Times New Roman" w:eastAsia="Times New Roman" w:hAnsi="Times New Roman"/>
                <w:sz w:val="24"/>
                <w:szCs w:val="24"/>
                <w:lang w:val="nl-NL"/>
              </w:rPr>
              <w:t>7</w:t>
            </w:r>
          </w:p>
        </w:tc>
      </w:tr>
      <w:tr w:rsidR="00A1471B" w:rsidRPr="00845946" w14:paraId="71417A3E" w14:textId="77777777" w:rsidTr="00A85A22">
        <w:tc>
          <w:tcPr>
            <w:tcW w:w="3013" w:type="dxa"/>
            <w:vAlign w:val="center"/>
          </w:tcPr>
          <w:p w14:paraId="650220B7"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Vốn/1 đơn vị CCQ</w:t>
            </w:r>
          </w:p>
        </w:tc>
        <w:tc>
          <w:tcPr>
            <w:tcW w:w="2025" w:type="dxa"/>
            <w:vAlign w:val="center"/>
          </w:tcPr>
          <w:p w14:paraId="1DADF7B5" w14:textId="77777777" w:rsidR="00A1471B" w:rsidRPr="00845946" w:rsidRDefault="00EA2990"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547" w:type="dxa"/>
            <w:vAlign w:val="center"/>
          </w:tcPr>
          <w:p w14:paraId="36048B75" w14:textId="1A2FBF9A"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c>
          <w:tcPr>
            <w:tcW w:w="2305" w:type="dxa"/>
            <w:vAlign w:val="center"/>
          </w:tcPr>
          <w:p w14:paraId="6766E3E3" w14:textId="77777777" w:rsidR="00A1471B" w:rsidRPr="00845946" w:rsidRDefault="00A1471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0,00</w:t>
            </w:r>
          </w:p>
        </w:tc>
      </w:tr>
      <w:tr w:rsidR="002B187E" w:rsidRPr="00845946" w14:paraId="5902C92F" w14:textId="77777777" w:rsidTr="00A85A22">
        <w:tc>
          <w:tcPr>
            <w:tcW w:w="3013" w:type="dxa"/>
            <w:vAlign w:val="center"/>
          </w:tcPr>
          <w:p w14:paraId="77FB833F" w14:textId="77777777" w:rsidR="002B187E" w:rsidRPr="00845946" w:rsidRDefault="002B187E" w:rsidP="002B187E">
            <w:pPr>
              <w:tabs>
                <w:tab w:val="left" w:pos="540"/>
              </w:tabs>
              <w:spacing w:before="120"/>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tăng trưởng/1 đơn vị CCQ</w:t>
            </w:r>
          </w:p>
        </w:tc>
        <w:tc>
          <w:tcPr>
            <w:tcW w:w="2025" w:type="dxa"/>
            <w:vAlign w:val="center"/>
          </w:tcPr>
          <w:p w14:paraId="06E7094B" w14:textId="18DC5E9F" w:rsidR="002B187E" w:rsidRPr="002B187E" w:rsidRDefault="002B187E" w:rsidP="002B187E">
            <w:pPr>
              <w:tabs>
                <w:tab w:val="left" w:pos="540"/>
              </w:tabs>
              <w:spacing w:before="120"/>
              <w:jc w:val="center"/>
              <w:rPr>
                <w:rFonts w:ascii="Times New Roman" w:eastAsia="Times New Roman" w:hAnsi="Times New Roman"/>
                <w:b/>
                <w:bCs/>
                <w:sz w:val="24"/>
                <w:szCs w:val="24"/>
                <w:lang w:val="nl-NL"/>
              </w:rPr>
            </w:pPr>
            <w:r w:rsidRPr="002B187E">
              <w:rPr>
                <w:rFonts w:ascii="Times New Roman" w:eastAsia="Times New Roman" w:hAnsi="Times New Roman"/>
                <w:b/>
                <w:bCs/>
                <w:sz w:val="24"/>
                <w:szCs w:val="24"/>
                <w:lang w:val="nl-NL"/>
              </w:rPr>
              <w:t>5,69</w:t>
            </w:r>
          </w:p>
        </w:tc>
        <w:tc>
          <w:tcPr>
            <w:tcW w:w="2547" w:type="dxa"/>
            <w:vAlign w:val="center"/>
          </w:tcPr>
          <w:p w14:paraId="685C2A08" w14:textId="3AEAD92E" w:rsidR="002B187E" w:rsidRPr="002B187E" w:rsidRDefault="002B187E" w:rsidP="002B187E">
            <w:pPr>
              <w:tabs>
                <w:tab w:val="left" w:pos="540"/>
              </w:tabs>
              <w:spacing w:before="120"/>
              <w:jc w:val="center"/>
              <w:rPr>
                <w:rFonts w:ascii="Times New Roman" w:eastAsia="Times New Roman" w:hAnsi="Times New Roman"/>
                <w:b/>
                <w:bCs/>
                <w:sz w:val="24"/>
                <w:szCs w:val="24"/>
                <w:lang w:val="nl-NL"/>
              </w:rPr>
            </w:pPr>
            <w:r w:rsidRPr="002B187E">
              <w:rPr>
                <w:rFonts w:ascii="Times New Roman" w:eastAsia="Times New Roman" w:hAnsi="Times New Roman"/>
                <w:b/>
                <w:bCs/>
                <w:sz w:val="24"/>
                <w:szCs w:val="24"/>
                <w:lang w:val="nl-NL"/>
              </w:rPr>
              <w:t>5,40</w:t>
            </w:r>
          </w:p>
        </w:tc>
        <w:tc>
          <w:tcPr>
            <w:tcW w:w="2305" w:type="dxa"/>
            <w:vAlign w:val="center"/>
          </w:tcPr>
          <w:p w14:paraId="32C5600E" w14:textId="68B43591" w:rsidR="002B187E" w:rsidRPr="002B187E" w:rsidRDefault="002B187E" w:rsidP="002B187E">
            <w:pPr>
              <w:tabs>
                <w:tab w:val="left" w:pos="540"/>
              </w:tabs>
              <w:spacing w:before="120"/>
              <w:jc w:val="center"/>
              <w:rPr>
                <w:rFonts w:ascii="Times New Roman" w:eastAsia="Times New Roman" w:hAnsi="Times New Roman"/>
                <w:b/>
                <w:bCs/>
                <w:sz w:val="24"/>
                <w:szCs w:val="24"/>
                <w:lang w:val="nl-NL"/>
              </w:rPr>
            </w:pPr>
            <w:r w:rsidRPr="002B187E">
              <w:rPr>
                <w:rFonts w:ascii="Times New Roman" w:eastAsia="Times New Roman" w:hAnsi="Times New Roman"/>
                <w:b/>
                <w:bCs/>
                <w:sz w:val="24"/>
                <w:szCs w:val="24"/>
                <w:lang w:val="nl-NL"/>
              </w:rPr>
              <w:t>7,47</w:t>
            </w:r>
          </w:p>
        </w:tc>
      </w:tr>
      <w:tr w:rsidR="00A1471B" w:rsidRPr="00845946" w14:paraId="1E074C94" w14:textId="77777777" w:rsidTr="00A85A22">
        <w:tc>
          <w:tcPr>
            <w:tcW w:w="3013" w:type="dxa"/>
            <w:vAlign w:val="center"/>
          </w:tcPr>
          <w:p w14:paraId="5AECF095" w14:textId="77777777" w:rsidR="00A1471B" w:rsidRPr="00845946" w:rsidRDefault="00A1471B" w:rsidP="00A1471B">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 xml:space="preserve">Tăng trưởng hàng năm </w:t>
            </w:r>
            <w:r w:rsidR="00DE2CF5" w:rsidRPr="00845946">
              <w:rPr>
                <w:rFonts w:ascii="Times New Roman" w:eastAsia="Times New Roman" w:hAnsi="Times New Roman"/>
                <w:sz w:val="24"/>
                <w:szCs w:val="24"/>
                <w:lang w:val="nl-NL"/>
              </w:rPr>
              <w:t>NAV</w:t>
            </w:r>
            <w:r w:rsidRPr="00845946">
              <w:rPr>
                <w:rFonts w:ascii="Times New Roman" w:eastAsia="Times New Roman" w:hAnsi="Times New Roman"/>
                <w:sz w:val="24"/>
                <w:szCs w:val="24"/>
                <w:lang w:val="nl-NL"/>
              </w:rPr>
              <w:t>/1 đơn vị CCQ</w:t>
            </w:r>
          </w:p>
        </w:tc>
        <w:tc>
          <w:tcPr>
            <w:tcW w:w="2025" w:type="dxa"/>
            <w:vAlign w:val="center"/>
          </w:tcPr>
          <w:p w14:paraId="4ED65C2B" w14:textId="082C2C91" w:rsidR="00A1471B" w:rsidRPr="00845946" w:rsidRDefault="00081721"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2B187E">
              <w:rPr>
                <w:rFonts w:ascii="Times New Roman" w:eastAsia="Times New Roman" w:hAnsi="Times New Roman"/>
                <w:sz w:val="24"/>
                <w:szCs w:val="24"/>
                <w:lang w:val="nl-NL"/>
              </w:rPr>
              <w:t>69</w:t>
            </w:r>
          </w:p>
        </w:tc>
        <w:tc>
          <w:tcPr>
            <w:tcW w:w="2547" w:type="dxa"/>
            <w:vAlign w:val="center"/>
          </w:tcPr>
          <w:p w14:paraId="109AC7DF" w14:textId="13462ADD" w:rsidR="00A1471B" w:rsidRPr="00845946" w:rsidRDefault="006E5472"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5,</w:t>
            </w:r>
            <w:r w:rsidR="002B187E">
              <w:rPr>
                <w:rFonts w:ascii="Times New Roman" w:eastAsia="Times New Roman" w:hAnsi="Times New Roman"/>
                <w:sz w:val="24"/>
                <w:szCs w:val="24"/>
                <w:lang w:val="nl-NL"/>
              </w:rPr>
              <w:t>40</w:t>
            </w:r>
          </w:p>
        </w:tc>
        <w:tc>
          <w:tcPr>
            <w:tcW w:w="2305" w:type="dxa"/>
            <w:vAlign w:val="center"/>
          </w:tcPr>
          <w:p w14:paraId="1CF27F38" w14:textId="0EA5BDBA" w:rsidR="00A1471B" w:rsidRPr="00845946" w:rsidRDefault="0026726B" w:rsidP="00A1471B">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4,</w:t>
            </w:r>
            <w:r w:rsidR="006E5472" w:rsidRPr="00845946">
              <w:rPr>
                <w:rFonts w:ascii="Times New Roman" w:eastAsia="Times New Roman" w:hAnsi="Times New Roman"/>
                <w:sz w:val="24"/>
                <w:szCs w:val="24"/>
                <w:lang w:val="nl-NL"/>
              </w:rPr>
              <w:t>8</w:t>
            </w:r>
            <w:r w:rsidR="002B187E">
              <w:rPr>
                <w:rFonts w:ascii="Times New Roman" w:eastAsia="Times New Roman" w:hAnsi="Times New Roman"/>
                <w:sz w:val="24"/>
                <w:szCs w:val="24"/>
                <w:lang w:val="nl-NL"/>
              </w:rPr>
              <w:t>7</w:t>
            </w:r>
          </w:p>
        </w:tc>
      </w:tr>
      <w:tr w:rsidR="008978F2" w:rsidRPr="00845946" w14:paraId="4CA7923F" w14:textId="77777777" w:rsidTr="00A85A22">
        <w:tc>
          <w:tcPr>
            <w:tcW w:w="3013" w:type="dxa"/>
            <w:vAlign w:val="center"/>
          </w:tcPr>
          <w:p w14:paraId="19119D50"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Tăng trưởng của danh mục cơ cấu</w:t>
            </w:r>
          </w:p>
        </w:tc>
        <w:tc>
          <w:tcPr>
            <w:tcW w:w="2025" w:type="dxa"/>
            <w:vAlign w:val="center"/>
          </w:tcPr>
          <w:p w14:paraId="53CCCDD8"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547" w:type="dxa"/>
            <w:vAlign w:val="center"/>
          </w:tcPr>
          <w:p w14:paraId="7301B1C1"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c>
          <w:tcPr>
            <w:tcW w:w="2305" w:type="dxa"/>
            <w:vAlign w:val="center"/>
          </w:tcPr>
          <w:p w14:paraId="230D349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(1)</w:t>
            </w:r>
          </w:p>
        </w:tc>
      </w:tr>
      <w:tr w:rsidR="008978F2" w:rsidRPr="00845946" w14:paraId="5FA9276C" w14:textId="77777777" w:rsidTr="00A85A22">
        <w:tc>
          <w:tcPr>
            <w:tcW w:w="3013" w:type="dxa"/>
            <w:vAlign w:val="center"/>
          </w:tcPr>
          <w:p w14:paraId="53A24B5C" w14:textId="77777777" w:rsidR="008978F2" w:rsidRPr="00845946" w:rsidRDefault="008978F2" w:rsidP="008978F2">
            <w:pPr>
              <w:tabs>
                <w:tab w:val="left" w:pos="540"/>
              </w:tabs>
              <w:spacing w:before="120"/>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Thay đổi giá trị thị trường của 1 đơn vị CCQ</w:t>
            </w:r>
          </w:p>
        </w:tc>
        <w:tc>
          <w:tcPr>
            <w:tcW w:w="2025" w:type="dxa"/>
            <w:vAlign w:val="center"/>
          </w:tcPr>
          <w:p w14:paraId="1431E569"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547" w:type="dxa"/>
            <w:vAlign w:val="center"/>
          </w:tcPr>
          <w:p w14:paraId="593AB094"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c>
          <w:tcPr>
            <w:tcW w:w="2305" w:type="dxa"/>
            <w:vAlign w:val="center"/>
          </w:tcPr>
          <w:p w14:paraId="3B9509E3" w14:textId="77777777" w:rsidR="008978F2" w:rsidRPr="00845946" w:rsidRDefault="008978F2" w:rsidP="008978F2">
            <w:pPr>
              <w:tabs>
                <w:tab w:val="left" w:pos="540"/>
              </w:tabs>
              <w:spacing w:before="120"/>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N/A (2)</w:t>
            </w:r>
          </w:p>
        </w:tc>
      </w:tr>
    </w:tbl>
    <w:p w14:paraId="775A51E4" w14:textId="2E00A609" w:rsidR="00D034B8" w:rsidRPr="00845946"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845946">
        <w:rPr>
          <w:rFonts w:ascii="Times New Roman" w:hAnsi="Times New Roman"/>
          <w:b/>
          <w:i/>
          <w:sz w:val="24"/>
          <w:szCs w:val="24"/>
          <w:u w:val="single"/>
          <w:lang w:val="nl-NL"/>
        </w:rPr>
        <w:t xml:space="preserve">Ghi chú: </w:t>
      </w:r>
    </w:p>
    <w:p w14:paraId="4EBF1746" w14:textId="74A96912" w:rsidR="00D034B8" w:rsidRPr="00845946" w:rsidRDefault="009671DB" w:rsidP="00EC3E69">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(1)</w:t>
      </w:r>
      <w:r w:rsidR="00D034B8" w:rsidRPr="00845946">
        <w:rPr>
          <w:rFonts w:ascii="Times New Roman" w:hAnsi="Times New Roman"/>
          <w:i/>
          <w:sz w:val="24"/>
          <w:szCs w:val="24"/>
          <w:lang w:val="nl-NL"/>
        </w:rPr>
        <w:t xml:space="preserve">: </w:t>
      </w:r>
      <w:r w:rsidR="00D034B8" w:rsidRPr="00845946">
        <w:rPr>
          <w:rFonts w:ascii="Times New Roman" w:hAnsi="Times New Roman"/>
          <w:i/>
          <w:sz w:val="24"/>
          <w:szCs w:val="24"/>
          <w:lang w:val="nl-NL"/>
        </w:rPr>
        <w:tab/>
      </w:r>
      <w:r w:rsidR="00686487" w:rsidRPr="00845946">
        <w:rPr>
          <w:rFonts w:ascii="Times New Roman" w:hAnsi="Times New Roman"/>
          <w:i/>
          <w:sz w:val="24"/>
          <w:szCs w:val="24"/>
          <w:lang w:val="nl-NL"/>
        </w:rPr>
        <w:t>Quỹ không sử dụng danh mục cơ cấu.</w:t>
      </w:r>
    </w:p>
    <w:p w14:paraId="13ECC8AD" w14:textId="77777777" w:rsidR="00486F0E" w:rsidRPr="00845946"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845946">
        <w:rPr>
          <w:rFonts w:ascii="Times New Roman" w:hAnsi="Times New Roman"/>
          <w:i/>
          <w:sz w:val="24"/>
          <w:szCs w:val="24"/>
          <w:lang w:val="nl-NL"/>
        </w:rPr>
        <w:t>N/A</w:t>
      </w:r>
      <w:r w:rsidR="00CC754B" w:rsidRPr="00845946">
        <w:rPr>
          <w:rFonts w:ascii="Times New Roman" w:hAnsi="Times New Roman"/>
          <w:i/>
          <w:sz w:val="24"/>
          <w:szCs w:val="24"/>
          <w:lang w:val="nl-NL"/>
        </w:rPr>
        <w:t xml:space="preserve"> </w:t>
      </w:r>
      <w:r w:rsidRPr="00845946">
        <w:rPr>
          <w:rFonts w:ascii="Times New Roman" w:hAnsi="Times New Roman"/>
          <w:i/>
          <w:sz w:val="24"/>
          <w:szCs w:val="24"/>
          <w:lang w:val="nl-NL"/>
        </w:rPr>
        <w:t>(2):</w:t>
      </w:r>
      <w:r w:rsidRPr="00845946">
        <w:rPr>
          <w:rFonts w:ascii="Times New Roman" w:hAnsi="Times New Roman"/>
          <w:i/>
          <w:sz w:val="24"/>
          <w:szCs w:val="24"/>
          <w:lang w:val="nl-NL"/>
        </w:rPr>
        <w:tab/>
      </w:r>
      <w:r w:rsidR="00686487" w:rsidRPr="00845946">
        <w:rPr>
          <w:rFonts w:ascii="Times New Roman" w:hAnsi="Times New Roman"/>
          <w:i/>
          <w:sz w:val="24"/>
          <w:szCs w:val="24"/>
          <w:lang w:val="nl-NL"/>
        </w:rPr>
        <w:t>Chứng chỉ quỹ của Quỹ không được niêm yết trên thị trường chứng khoán.</w:t>
      </w:r>
    </w:p>
    <w:p w14:paraId="7DDB4C11" w14:textId="70B6E805"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 xml:space="preserve">● Biểu đồ tăng trưởng </w:t>
      </w:r>
      <w:r w:rsidR="00C703B2" w:rsidRPr="00845946">
        <w:rPr>
          <w:rFonts w:ascii="Times New Roman" w:hAnsi="Times New Roman"/>
          <w:sz w:val="24"/>
          <w:szCs w:val="24"/>
          <w:lang w:val="nl-NL"/>
        </w:rPr>
        <w:t xml:space="preserve">NAV/CCQ </w:t>
      </w:r>
      <w:r w:rsidRPr="00845946">
        <w:rPr>
          <w:rFonts w:ascii="Times New Roman" w:hAnsi="Times New Roman"/>
          <w:sz w:val="24"/>
          <w:szCs w:val="24"/>
          <w:lang w:val="nl-NL"/>
        </w:rPr>
        <w:t xml:space="preserve"> của Quỹ trong </w:t>
      </w:r>
      <w:r w:rsidR="00E46772" w:rsidRPr="00845946">
        <w:rPr>
          <w:rFonts w:ascii="Times New Roman" w:hAnsi="Times New Roman"/>
          <w:sz w:val="24"/>
          <w:szCs w:val="24"/>
          <w:lang w:val="nl-NL"/>
        </w:rPr>
        <w:t>3 tháng</w:t>
      </w:r>
      <w:r w:rsidRPr="00845946">
        <w:rPr>
          <w:rFonts w:ascii="Times New Roman" w:hAnsi="Times New Roman"/>
          <w:sz w:val="24"/>
          <w:szCs w:val="24"/>
          <w:lang w:val="nl-NL"/>
        </w:rPr>
        <w:t xml:space="preserve"> gần nhấ</w:t>
      </w:r>
      <w:r w:rsidR="004F5C05" w:rsidRPr="00845946">
        <w:rPr>
          <w:rFonts w:ascii="Times New Roman" w:hAnsi="Times New Roman"/>
          <w:sz w:val="24"/>
          <w:szCs w:val="24"/>
          <w:lang w:val="nl-NL"/>
        </w:rPr>
        <w:t>t:</w:t>
      </w:r>
    </w:p>
    <w:p w14:paraId="33EFFEA7"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p w14:paraId="6102235B" w14:textId="61D1BA2E" w:rsidR="008F48C6" w:rsidRPr="00845946" w:rsidRDefault="00EF3D73"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45E0593E" wp14:editId="0CFD691B">
            <wp:extent cx="6286500" cy="2967990"/>
            <wp:effectExtent l="0" t="0" r="0" b="3810"/>
            <wp:docPr id="17571217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134B94" w14:textId="77777777" w:rsidR="00C805A1" w:rsidRDefault="00C805A1" w:rsidP="00B3750F">
      <w:pPr>
        <w:shd w:val="clear" w:color="auto" w:fill="FFFFFF"/>
        <w:tabs>
          <w:tab w:val="left" w:pos="540"/>
        </w:tabs>
        <w:spacing w:before="120" w:after="0" w:line="240" w:lineRule="auto"/>
        <w:jc w:val="both"/>
        <w:rPr>
          <w:rFonts w:ascii="Times New Roman" w:hAnsi="Times New Roman"/>
          <w:sz w:val="24"/>
          <w:szCs w:val="24"/>
          <w:lang w:val="nl-NL"/>
        </w:rPr>
      </w:pPr>
    </w:p>
    <w:p w14:paraId="4E54E91B" w14:textId="77777777" w:rsidR="00D2461C" w:rsidRDefault="00D2461C" w:rsidP="00B3750F">
      <w:pPr>
        <w:shd w:val="clear" w:color="auto" w:fill="FFFFFF"/>
        <w:tabs>
          <w:tab w:val="left" w:pos="540"/>
        </w:tabs>
        <w:spacing w:before="120" w:after="0" w:line="240" w:lineRule="auto"/>
        <w:jc w:val="both"/>
        <w:rPr>
          <w:rFonts w:ascii="Times New Roman" w:hAnsi="Times New Roman"/>
          <w:sz w:val="24"/>
          <w:szCs w:val="24"/>
          <w:lang w:val="nl-NL"/>
        </w:rPr>
      </w:pPr>
    </w:p>
    <w:p w14:paraId="7A7B0E06" w14:textId="77777777" w:rsidR="00D2461C" w:rsidRDefault="00D2461C" w:rsidP="00B3750F">
      <w:pPr>
        <w:shd w:val="clear" w:color="auto" w:fill="FFFFFF"/>
        <w:tabs>
          <w:tab w:val="left" w:pos="540"/>
        </w:tabs>
        <w:spacing w:before="120" w:after="0" w:line="240" w:lineRule="auto"/>
        <w:jc w:val="both"/>
        <w:rPr>
          <w:rFonts w:ascii="Times New Roman" w:hAnsi="Times New Roman"/>
          <w:sz w:val="24"/>
          <w:szCs w:val="24"/>
          <w:lang w:val="nl-NL"/>
        </w:rPr>
      </w:pPr>
    </w:p>
    <w:p w14:paraId="75850A3E" w14:textId="77777777" w:rsidR="00D2461C" w:rsidRPr="00845946" w:rsidRDefault="00D2461C" w:rsidP="00B3750F">
      <w:pPr>
        <w:shd w:val="clear" w:color="auto" w:fill="FFFFFF"/>
        <w:tabs>
          <w:tab w:val="left" w:pos="540"/>
        </w:tabs>
        <w:spacing w:before="120" w:after="0" w:line="240" w:lineRule="auto"/>
        <w:jc w:val="both"/>
        <w:rPr>
          <w:rFonts w:ascii="Times New Roman" w:hAnsi="Times New Roman"/>
          <w:sz w:val="24"/>
          <w:szCs w:val="24"/>
          <w:lang w:val="nl-NL"/>
        </w:rPr>
      </w:pPr>
    </w:p>
    <w:p w14:paraId="4147275C" w14:textId="190929CE" w:rsidR="001C4468" w:rsidRPr="00845946"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lastRenderedPageBreak/>
        <w:t>● Thay đổi giá trị tài sả</w:t>
      </w:r>
      <w:r w:rsidR="004F5C05" w:rsidRPr="00845946">
        <w:rPr>
          <w:rFonts w:ascii="Times New Roman" w:hAnsi="Times New Roman"/>
          <w:sz w:val="24"/>
          <w:szCs w:val="24"/>
          <w:lang w:val="nl-NL"/>
        </w:rPr>
        <w:t>n ròng:</w:t>
      </w:r>
    </w:p>
    <w:p w14:paraId="0F959536" w14:textId="77777777" w:rsidR="008A4BAD" w:rsidRPr="00845946" w:rsidRDefault="008A4BAD" w:rsidP="00B3750F">
      <w:pPr>
        <w:shd w:val="clear" w:color="auto" w:fill="FFFFFF"/>
        <w:tabs>
          <w:tab w:val="left" w:pos="540"/>
        </w:tabs>
        <w:spacing w:before="120" w:after="0" w:line="240" w:lineRule="auto"/>
        <w:jc w:val="both"/>
        <w:rPr>
          <w:rFonts w:ascii="Times New Roman" w:hAnsi="Times New Roman"/>
          <w:sz w:val="24"/>
          <w:szCs w:val="24"/>
          <w:lang w:val="nl-NL"/>
        </w:rPr>
      </w:pPr>
    </w:p>
    <w:tbl>
      <w:tblPr>
        <w:tblW w:w="98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0"/>
        <w:gridCol w:w="1811"/>
        <w:gridCol w:w="1724"/>
        <w:gridCol w:w="1715"/>
      </w:tblGrid>
      <w:tr w:rsidR="00F103FE" w:rsidRPr="00845946" w14:paraId="0DF92A85" w14:textId="77777777" w:rsidTr="00F103FE">
        <w:trPr>
          <w:trHeight w:val="661"/>
        </w:trPr>
        <w:tc>
          <w:tcPr>
            <w:tcW w:w="2340" w:type="pct"/>
            <w:shd w:val="clear" w:color="auto" w:fill="auto"/>
          </w:tcPr>
          <w:p w14:paraId="61BDCFE8" w14:textId="77777777" w:rsidR="00F103FE" w:rsidRPr="00845946" w:rsidRDefault="00F103FE" w:rsidP="00F103FE">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Chỉ tiêu</w:t>
            </w:r>
          </w:p>
        </w:tc>
        <w:tc>
          <w:tcPr>
            <w:tcW w:w="917" w:type="pct"/>
            <w:shd w:val="clear" w:color="auto" w:fill="auto"/>
          </w:tcPr>
          <w:p w14:paraId="49DDEF2B" w14:textId="0404D85B" w:rsidR="00F103FE" w:rsidRPr="00845946" w:rsidRDefault="00F103FE" w:rsidP="00F103FE">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845946">
              <w:rPr>
                <w:rFonts w:ascii="Times New Roman" w:eastAsia="Times New Roman" w:hAnsi="Times New Roman"/>
                <w:b/>
                <w:sz w:val="24"/>
                <w:szCs w:val="24"/>
                <w:lang w:val="nl-NL"/>
              </w:rPr>
              <w:t>/2024</w:t>
            </w:r>
          </w:p>
        </w:tc>
        <w:tc>
          <w:tcPr>
            <w:tcW w:w="873" w:type="pct"/>
            <w:shd w:val="clear" w:color="auto" w:fill="auto"/>
          </w:tcPr>
          <w:p w14:paraId="622D1012" w14:textId="79FEC350" w:rsidR="00F103FE" w:rsidRPr="00845946" w:rsidRDefault="00F103FE" w:rsidP="00F103FE">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31/12</w:t>
            </w:r>
            <w:r w:rsidRPr="00845946">
              <w:rPr>
                <w:rFonts w:ascii="Times New Roman" w:eastAsia="Times New Roman" w:hAnsi="Times New Roman"/>
                <w:b/>
                <w:sz w:val="24"/>
                <w:szCs w:val="24"/>
                <w:lang w:val="nl-NL"/>
              </w:rPr>
              <w:t>/2023</w:t>
            </w:r>
          </w:p>
        </w:tc>
        <w:tc>
          <w:tcPr>
            <w:tcW w:w="869" w:type="pct"/>
            <w:shd w:val="clear" w:color="auto" w:fill="auto"/>
          </w:tcPr>
          <w:p w14:paraId="75CE7F5E" w14:textId="77777777" w:rsidR="00F103FE" w:rsidRPr="00845946" w:rsidRDefault="00F103FE" w:rsidP="00F103FE">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Tỷ lệ thay đổi</w:t>
            </w:r>
          </w:p>
        </w:tc>
      </w:tr>
      <w:tr w:rsidR="00F103FE" w:rsidRPr="00845946" w14:paraId="2FE93D38" w14:textId="77777777" w:rsidTr="00F103FE">
        <w:trPr>
          <w:trHeight w:val="427"/>
        </w:trPr>
        <w:tc>
          <w:tcPr>
            <w:tcW w:w="2340" w:type="pct"/>
            <w:shd w:val="clear" w:color="auto" w:fill="auto"/>
          </w:tcPr>
          <w:p w14:paraId="2AE0DD0D" w14:textId="77777777" w:rsidR="00F103FE" w:rsidRPr="00845946" w:rsidRDefault="00F103FE" w:rsidP="00F103FE">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A</w:t>
            </w:r>
          </w:p>
        </w:tc>
        <w:tc>
          <w:tcPr>
            <w:tcW w:w="917" w:type="pct"/>
            <w:shd w:val="clear" w:color="auto" w:fill="auto"/>
          </w:tcPr>
          <w:p w14:paraId="0F8D000F" w14:textId="77777777" w:rsidR="00F103FE" w:rsidRPr="00845946" w:rsidRDefault="00F103FE" w:rsidP="00F103FE">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873" w:type="pct"/>
            <w:shd w:val="clear" w:color="auto" w:fill="auto"/>
          </w:tcPr>
          <w:p w14:paraId="2F480C1A" w14:textId="272794CD" w:rsidR="00F103FE" w:rsidRPr="00845946" w:rsidRDefault="00F103FE" w:rsidP="00F103FE">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2</w:t>
            </w:r>
          </w:p>
        </w:tc>
        <w:tc>
          <w:tcPr>
            <w:tcW w:w="869" w:type="pct"/>
            <w:shd w:val="clear" w:color="auto" w:fill="auto"/>
          </w:tcPr>
          <w:p w14:paraId="7A051450" w14:textId="77777777" w:rsidR="00F103FE" w:rsidRPr="00845946" w:rsidRDefault="00F103FE" w:rsidP="00F103FE">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3= ((1) - (2))/(2)</w:t>
            </w:r>
          </w:p>
        </w:tc>
      </w:tr>
      <w:tr w:rsidR="00444FDF" w:rsidRPr="00845946" w14:paraId="6584EB3F" w14:textId="77777777" w:rsidTr="00F103FE">
        <w:trPr>
          <w:trHeight w:val="661"/>
        </w:trPr>
        <w:tc>
          <w:tcPr>
            <w:tcW w:w="2340" w:type="pct"/>
            <w:shd w:val="clear" w:color="auto" w:fill="auto"/>
          </w:tcPr>
          <w:p w14:paraId="21DE6670" w14:textId="77777777" w:rsidR="00444FDF" w:rsidRPr="00845946" w:rsidRDefault="00444FDF" w:rsidP="00444FD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của Quỹ</w:t>
            </w:r>
          </w:p>
        </w:tc>
        <w:tc>
          <w:tcPr>
            <w:tcW w:w="917" w:type="pct"/>
            <w:shd w:val="clear" w:color="auto" w:fill="auto"/>
            <w:vAlign w:val="center"/>
          </w:tcPr>
          <w:p w14:paraId="6C0C8909" w14:textId="42A18A86" w:rsidR="00444FDF" w:rsidRPr="00845946" w:rsidRDefault="00444FDF" w:rsidP="00444FDF">
            <w:pPr>
              <w:tabs>
                <w:tab w:val="left" w:pos="540"/>
              </w:tabs>
              <w:spacing w:before="120" w:after="0" w:line="240" w:lineRule="auto"/>
              <w:jc w:val="center"/>
              <w:rPr>
                <w:rFonts w:ascii="Times New Roman" w:eastAsia="Times New Roman" w:hAnsi="Times New Roman"/>
                <w:sz w:val="24"/>
                <w:szCs w:val="24"/>
                <w:lang w:val="nl-NL"/>
              </w:rPr>
            </w:pPr>
            <w:r w:rsidRPr="00444FDF">
              <w:rPr>
                <w:rFonts w:ascii="Times New Roman" w:eastAsia="Times New Roman" w:hAnsi="Times New Roman"/>
                <w:bCs/>
                <w:color w:val="000000"/>
                <w:sz w:val="24"/>
                <w:szCs w:val="24"/>
                <w:lang w:val="en-SG" w:eastAsia="en-SG"/>
              </w:rPr>
              <w:t>131</w:t>
            </w:r>
            <w:r>
              <w:rPr>
                <w:rFonts w:ascii="Times New Roman" w:eastAsia="Times New Roman" w:hAnsi="Times New Roman"/>
                <w:bCs/>
                <w:color w:val="000000"/>
                <w:sz w:val="24"/>
                <w:szCs w:val="24"/>
                <w:lang w:val="en-SG" w:eastAsia="en-SG"/>
              </w:rPr>
              <w:t>.</w:t>
            </w:r>
            <w:r w:rsidRPr="00444FDF">
              <w:rPr>
                <w:rFonts w:ascii="Times New Roman" w:eastAsia="Times New Roman" w:hAnsi="Times New Roman"/>
                <w:bCs/>
                <w:color w:val="000000"/>
                <w:sz w:val="24"/>
                <w:szCs w:val="24"/>
                <w:lang w:val="en-SG" w:eastAsia="en-SG"/>
              </w:rPr>
              <w:t>341</w:t>
            </w:r>
            <w:r>
              <w:rPr>
                <w:rFonts w:ascii="Times New Roman" w:eastAsia="Times New Roman" w:hAnsi="Times New Roman"/>
                <w:bCs/>
                <w:color w:val="000000"/>
                <w:sz w:val="24"/>
                <w:szCs w:val="24"/>
                <w:lang w:val="en-SG" w:eastAsia="en-SG"/>
              </w:rPr>
              <w:t>.</w:t>
            </w:r>
            <w:r w:rsidRPr="00444FDF">
              <w:rPr>
                <w:rFonts w:ascii="Times New Roman" w:eastAsia="Times New Roman" w:hAnsi="Times New Roman"/>
                <w:bCs/>
                <w:color w:val="000000"/>
                <w:sz w:val="24"/>
                <w:szCs w:val="24"/>
                <w:lang w:val="en-SG" w:eastAsia="en-SG"/>
              </w:rPr>
              <w:t>960</w:t>
            </w:r>
            <w:r>
              <w:rPr>
                <w:rFonts w:ascii="Times New Roman" w:eastAsia="Times New Roman" w:hAnsi="Times New Roman"/>
                <w:bCs/>
                <w:color w:val="000000"/>
                <w:sz w:val="24"/>
                <w:szCs w:val="24"/>
                <w:lang w:val="en-SG" w:eastAsia="en-SG"/>
              </w:rPr>
              <w:t>.</w:t>
            </w:r>
            <w:r w:rsidRPr="00444FDF">
              <w:rPr>
                <w:rFonts w:ascii="Times New Roman" w:eastAsia="Times New Roman" w:hAnsi="Times New Roman"/>
                <w:bCs/>
                <w:color w:val="000000"/>
                <w:sz w:val="24"/>
                <w:szCs w:val="24"/>
                <w:lang w:val="en-SG" w:eastAsia="en-SG"/>
              </w:rPr>
              <w:t>853</w:t>
            </w:r>
          </w:p>
        </w:tc>
        <w:tc>
          <w:tcPr>
            <w:tcW w:w="873" w:type="pct"/>
            <w:shd w:val="clear" w:color="auto" w:fill="auto"/>
            <w:vAlign w:val="center"/>
          </w:tcPr>
          <w:p w14:paraId="37F220DF" w14:textId="7623A540" w:rsidR="00444FDF" w:rsidRPr="00845946" w:rsidRDefault="00444FDF" w:rsidP="00444FDF">
            <w:pPr>
              <w:tabs>
                <w:tab w:val="left" w:pos="540"/>
              </w:tabs>
              <w:spacing w:before="120" w:after="0" w:line="240" w:lineRule="auto"/>
              <w:jc w:val="center"/>
              <w:rPr>
                <w:rFonts w:ascii="Times New Roman" w:eastAsia="Times New Roman" w:hAnsi="Times New Roman"/>
                <w:color w:val="000000"/>
                <w:sz w:val="24"/>
                <w:szCs w:val="24"/>
              </w:rPr>
            </w:pPr>
            <w:r w:rsidRPr="001C2880">
              <w:rPr>
                <w:rFonts w:ascii="Times New Roman" w:eastAsia="Times New Roman" w:hAnsi="Times New Roman"/>
                <w:bCs/>
                <w:color w:val="000000"/>
                <w:sz w:val="24"/>
                <w:szCs w:val="24"/>
                <w:lang w:val="en-SG" w:eastAsia="en-SG"/>
              </w:rPr>
              <w:t>124.297.101.376</w:t>
            </w:r>
          </w:p>
        </w:tc>
        <w:tc>
          <w:tcPr>
            <w:tcW w:w="869" w:type="pct"/>
            <w:shd w:val="clear" w:color="auto" w:fill="auto"/>
            <w:vAlign w:val="center"/>
          </w:tcPr>
          <w:p w14:paraId="5EE3D590" w14:textId="541309D0" w:rsidR="00444FDF" w:rsidRPr="00845946" w:rsidRDefault="00444FDF" w:rsidP="00444FDF">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w:t>
            </w:r>
            <w:r w:rsidR="000820BA">
              <w:rPr>
                <w:rFonts w:ascii="Times New Roman" w:eastAsia="Times New Roman" w:hAnsi="Times New Roman"/>
                <w:sz w:val="24"/>
                <w:szCs w:val="24"/>
                <w:lang w:val="nl-NL"/>
              </w:rPr>
              <w:t>67</w:t>
            </w:r>
            <w:r w:rsidRPr="00845946">
              <w:rPr>
                <w:rFonts w:ascii="Times New Roman" w:eastAsia="Times New Roman" w:hAnsi="Times New Roman"/>
                <w:sz w:val="24"/>
                <w:szCs w:val="24"/>
                <w:lang w:val="nl-NL"/>
              </w:rPr>
              <w:t>%</w:t>
            </w:r>
          </w:p>
        </w:tc>
      </w:tr>
      <w:tr w:rsidR="00444FDF" w:rsidRPr="00845946" w14:paraId="22C141F9" w14:textId="77777777" w:rsidTr="00F103FE">
        <w:trPr>
          <w:trHeight w:val="644"/>
        </w:trPr>
        <w:tc>
          <w:tcPr>
            <w:tcW w:w="2340" w:type="pct"/>
            <w:shd w:val="clear" w:color="auto" w:fill="auto"/>
          </w:tcPr>
          <w:p w14:paraId="3741CC58" w14:textId="77777777" w:rsidR="00444FDF" w:rsidRPr="00845946" w:rsidRDefault="00444FDF" w:rsidP="00444FD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Giá trị tài sản ròng (NAV) trên 1 đơn vị CCQ</w:t>
            </w:r>
          </w:p>
        </w:tc>
        <w:tc>
          <w:tcPr>
            <w:tcW w:w="917" w:type="pct"/>
            <w:shd w:val="clear" w:color="auto" w:fill="auto"/>
            <w:vAlign w:val="center"/>
          </w:tcPr>
          <w:p w14:paraId="72491A7E" w14:textId="6CC30542" w:rsidR="00444FDF" w:rsidRPr="00845946" w:rsidRDefault="00444FDF" w:rsidP="00444FDF">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444FDF">
              <w:rPr>
                <w:rFonts w:ascii="Times New Roman" w:eastAsia="Times New Roman" w:hAnsi="Times New Roman"/>
                <w:bCs/>
                <w:color w:val="000000"/>
                <w:sz w:val="24"/>
                <w:szCs w:val="24"/>
                <w:lang w:val="en-SG" w:eastAsia="en-SG"/>
              </w:rPr>
              <w:t>13</w:t>
            </w:r>
            <w:r>
              <w:rPr>
                <w:rFonts w:ascii="Times New Roman" w:eastAsia="Times New Roman" w:hAnsi="Times New Roman"/>
                <w:bCs/>
                <w:color w:val="000000"/>
                <w:sz w:val="24"/>
                <w:szCs w:val="24"/>
                <w:lang w:val="en-SG" w:eastAsia="en-SG"/>
              </w:rPr>
              <w:t>.</w:t>
            </w:r>
            <w:r w:rsidRPr="00444FDF">
              <w:rPr>
                <w:rFonts w:ascii="Times New Roman" w:eastAsia="Times New Roman" w:hAnsi="Times New Roman"/>
                <w:bCs/>
                <w:color w:val="000000"/>
                <w:sz w:val="24"/>
                <w:szCs w:val="24"/>
                <w:lang w:val="en-SG" w:eastAsia="en-SG"/>
              </w:rPr>
              <w:t>144</w:t>
            </w:r>
            <w:r>
              <w:rPr>
                <w:rFonts w:ascii="Times New Roman" w:eastAsia="Times New Roman" w:hAnsi="Times New Roman"/>
                <w:bCs/>
                <w:color w:val="000000"/>
                <w:sz w:val="24"/>
                <w:szCs w:val="24"/>
                <w:lang w:val="en-SG" w:eastAsia="en-SG"/>
              </w:rPr>
              <w:t>,</w:t>
            </w:r>
            <w:r w:rsidRPr="00444FDF">
              <w:rPr>
                <w:rFonts w:ascii="Times New Roman" w:eastAsia="Times New Roman" w:hAnsi="Times New Roman"/>
                <w:bCs/>
                <w:color w:val="000000"/>
                <w:sz w:val="24"/>
                <w:szCs w:val="24"/>
                <w:lang w:val="en-SG" w:eastAsia="en-SG"/>
              </w:rPr>
              <w:t>47</w:t>
            </w:r>
          </w:p>
        </w:tc>
        <w:tc>
          <w:tcPr>
            <w:tcW w:w="873" w:type="pct"/>
            <w:shd w:val="clear" w:color="auto" w:fill="auto"/>
            <w:vAlign w:val="center"/>
          </w:tcPr>
          <w:p w14:paraId="798A3B65" w14:textId="78FB0DC9" w:rsidR="00444FDF" w:rsidRPr="00845946" w:rsidRDefault="00444FDF" w:rsidP="00444FDF">
            <w:pPr>
              <w:tabs>
                <w:tab w:val="left" w:pos="540"/>
              </w:tabs>
              <w:spacing w:before="120" w:after="0" w:line="240" w:lineRule="auto"/>
              <w:jc w:val="center"/>
              <w:rPr>
                <w:rFonts w:ascii="Times New Roman" w:eastAsia="Times New Roman" w:hAnsi="Times New Roman"/>
                <w:bCs/>
                <w:color w:val="000000"/>
                <w:sz w:val="24"/>
                <w:szCs w:val="24"/>
                <w:lang w:val="en-SG" w:eastAsia="en-SG"/>
              </w:rPr>
            </w:pPr>
            <w:r w:rsidRPr="001C2880">
              <w:rPr>
                <w:rFonts w:ascii="Times New Roman" w:eastAsia="Times New Roman" w:hAnsi="Times New Roman"/>
                <w:bCs/>
                <w:color w:val="000000"/>
                <w:sz w:val="24"/>
                <w:szCs w:val="24"/>
                <w:lang w:val="en-SG" w:eastAsia="en-SG"/>
              </w:rPr>
              <w:t>12.436,77</w:t>
            </w:r>
          </w:p>
        </w:tc>
        <w:tc>
          <w:tcPr>
            <w:tcW w:w="869" w:type="pct"/>
            <w:shd w:val="clear" w:color="auto" w:fill="auto"/>
            <w:vAlign w:val="center"/>
          </w:tcPr>
          <w:p w14:paraId="471599FC" w14:textId="404AB48D" w:rsidR="00444FDF" w:rsidRPr="00845946" w:rsidRDefault="00444FDF" w:rsidP="00444FDF">
            <w:pPr>
              <w:tabs>
                <w:tab w:val="left" w:pos="540"/>
              </w:tabs>
              <w:spacing w:before="120" w:after="0" w:line="240" w:lineRule="auto"/>
              <w:jc w:val="center"/>
              <w:rPr>
                <w:rFonts w:ascii="Times New Roman" w:eastAsia="Times New Roman" w:hAnsi="Times New Roman"/>
                <w:bCs/>
                <w:color w:val="000000"/>
                <w:sz w:val="24"/>
                <w:szCs w:val="24"/>
                <w:lang w:val="en-SG" w:eastAsia="en-SG"/>
              </w:rPr>
            </w:pPr>
            <w:r>
              <w:rPr>
                <w:rFonts w:ascii="Times New Roman" w:eastAsia="Times New Roman" w:hAnsi="Times New Roman"/>
                <w:bCs/>
                <w:color w:val="000000"/>
                <w:sz w:val="24"/>
                <w:szCs w:val="24"/>
                <w:lang w:val="en-SG" w:eastAsia="en-SG"/>
              </w:rPr>
              <w:t>5,</w:t>
            </w:r>
            <w:r w:rsidR="000820BA">
              <w:rPr>
                <w:rFonts w:ascii="Times New Roman" w:eastAsia="Times New Roman" w:hAnsi="Times New Roman"/>
                <w:bCs/>
                <w:color w:val="000000"/>
                <w:sz w:val="24"/>
                <w:szCs w:val="24"/>
                <w:lang w:val="en-SG" w:eastAsia="en-SG"/>
              </w:rPr>
              <w:t>69</w:t>
            </w:r>
            <w:r w:rsidRPr="00845946">
              <w:rPr>
                <w:rFonts w:ascii="Times New Roman" w:eastAsia="Times New Roman" w:hAnsi="Times New Roman"/>
                <w:bCs/>
                <w:color w:val="000000"/>
                <w:sz w:val="24"/>
                <w:szCs w:val="24"/>
                <w:lang w:val="en-SG" w:eastAsia="en-SG"/>
              </w:rPr>
              <w:t>%</w:t>
            </w:r>
          </w:p>
        </w:tc>
      </w:tr>
    </w:tbl>
    <w:p w14:paraId="6B0CB6BC" w14:textId="69796E0A" w:rsidR="00445F8E" w:rsidRPr="00845946"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845946">
        <w:rPr>
          <w:rFonts w:ascii="Times New Roman" w:hAnsi="Times New Roman"/>
          <w:sz w:val="24"/>
          <w:szCs w:val="24"/>
          <w:lang w:val="nl-NL"/>
        </w:rPr>
        <w:t>T</w:t>
      </w:r>
      <w:r w:rsidR="00B84DD0" w:rsidRPr="00845946">
        <w:rPr>
          <w:rFonts w:ascii="Times New Roman" w:hAnsi="Times New Roman"/>
          <w:sz w:val="24"/>
          <w:szCs w:val="24"/>
          <w:lang w:val="nl-NL"/>
        </w:rPr>
        <w:t xml:space="preserve">rong giai đoạn từ </w:t>
      </w:r>
      <w:r w:rsidR="000820BA">
        <w:rPr>
          <w:rFonts w:ascii="Times New Roman" w:hAnsi="Times New Roman"/>
          <w:sz w:val="24"/>
          <w:szCs w:val="24"/>
          <w:lang w:val="nl-NL"/>
        </w:rPr>
        <w:t>31/12</w:t>
      </w:r>
      <w:r w:rsidR="00D672F8" w:rsidRPr="00845946">
        <w:rPr>
          <w:rFonts w:ascii="Times New Roman" w:hAnsi="Times New Roman"/>
          <w:sz w:val="24"/>
          <w:szCs w:val="24"/>
          <w:lang w:val="nl-NL"/>
        </w:rPr>
        <w:t>/202</w:t>
      </w:r>
      <w:r w:rsidR="00DC1836" w:rsidRPr="00845946">
        <w:rPr>
          <w:rFonts w:ascii="Times New Roman" w:hAnsi="Times New Roman"/>
          <w:sz w:val="24"/>
          <w:szCs w:val="24"/>
          <w:lang w:val="nl-NL"/>
        </w:rPr>
        <w:t>3</w:t>
      </w:r>
      <w:r w:rsidR="00B84DD0" w:rsidRPr="00845946">
        <w:rPr>
          <w:rFonts w:ascii="Times New Roman" w:hAnsi="Times New Roman"/>
          <w:sz w:val="24"/>
          <w:szCs w:val="24"/>
          <w:lang w:val="nl-NL"/>
        </w:rPr>
        <w:t xml:space="preserve"> đến </w:t>
      </w:r>
      <w:r w:rsidR="000820BA">
        <w:rPr>
          <w:rFonts w:ascii="Times New Roman" w:hAnsi="Times New Roman"/>
          <w:sz w:val="24"/>
          <w:szCs w:val="24"/>
          <w:lang w:val="nl-NL"/>
        </w:rPr>
        <w:t>31/12</w:t>
      </w:r>
      <w:r w:rsidR="00D672F8" w:rsidRPr="00845946">
        <w:rPr>
          <w:rFonts w:ascii="Times New Roman" w:hAnsi="Times New Roman"/>
          <w:sz w:val="24"/>
          <w:szCs w:val="24"/>
          <w:lang w:val="nl-NL"/>
        </w:rPr>
        <w:t>/202</w:t>
      </w:r>
      <w:r w:rsidR="00DC1836" w:rsidRPr="00845946">
        <w:rPr>
          <w:rFonts w:ascii="Times New Roman" w:hAnsi="Times New Roman"/>
          <w:sz w:val="24"/>
          <w:szCs w:val="24"/>
          <w:lang w:val="nl-NL"/>
        </w:rPr>
        <w:t>4</w:t>
      </w:r>
      <w:r w:rsidR="00D672F8" w:rsidRPr="00845946">
        <w:rPr>
          <w:rFonts w:ascii="Times New Roman" w:hAnsi="Times New Roman"/>
          <w:sz w:val="24"/>
          <w:szCs w:val="24"/>
          <w:lang w:val="nl-NL"/>
        </w:rPr>
        <w:t xml:space="preserve"> </w:t>
      </w:r>
      <w:r w:rsidR="00730E8A" w:rsidRPr="00845946">
        <w:rPr>
          <w:rFonts w:ascii="Times New Roman" w:hAnsi="Times New Roman"/>
          <w:sz w:val="24"/>
          <w:szCs w:val="24"/>
          <w:lang w:val="nl-NL"/>
        </w:rPr>
        <w:t>g</w:t>
      </w:r>
      <w:r w:rsidR="00697B7E" w:rsidRPr="00845946">
        <w:rPr>
          <w:rFonts w:ascii="Times New Roman" w:hAnsi="Times New Roman"/>
          <w:sz w:val="24"/>
          <w:szCs w:val="24"/>
          <w:lang w:val="nl-NL"/>
        </w:rPr>
        <w:t xml:space="preserve">iá trị tài sản ròng của Quỹ tăng </w:t>
      </w:r>
      <w:r w:rsidR="005E2992">
        <w:rPr>
          <w:rFonts w:ascii="Times New Roman" w:hAnsi="Times New Roman"/>
          <w:sz w:val="24"/>
          <w:szCs w:val="24"/>
          <w:lang w:val="nl-NL"/>
        </w:rPr>
        <w:t>5</w:t>
      </w:r>
      <w:r w:rsidR="000820BA">
        <w:rPr>
          <w:rFonts w:ascii="Times New Roman" w:hAnsi="Times New Roman"/>
          <w:sz w:val="24"/>
          <w:szCs w:val="24"/>
          <w:lang w:val="nl-NL"/>
        </w:rPr>
        <w:t>,67</w:t>
      </w:r>
      <w:r w:rsidR="00050A6F" w:rsidRPr="00845946">
        <w:rPr>
          <w:rFonts w:ascii="Times New Roman" w:hAnsi="Times New Roman"/>
          <w:sz w:val="24"/>
          <w:szCs w:val="24"/>
          <w:lang w:val="nl-NL"/>
        </w:rPr>
        <w:t>%</w:t>
      </w:r>
      <w:r w:rsidR="00730E8A" w:rsidRPr="00845946">
        <w:rPr>
          <w:rFonts w:ascii="Times New Roman" w:hAnsi="Times New Roman"/>
          <w:sz w:val="24"/>
          <w:szCs w:val="24"/>
          <w:lang w:val="nl-NL"/>
        </w:rPr>
        <w:t xml:space="preserve"> </w:t>
      </w:r>
      <w:r w:rsidR="00B84DD0" w:rsidRPr="00845946">
        <w:rPr>
          <w:rFonts w:ascii="Times New Roman" w:hAnsi="Times New Roman"/>
          <w:sz w:val="24"/>
          <w:szCs w:val="24"/>
          <w:lang w:val="nl-NL"/>
        </w:rPr>
        <w:t>chủ yếu do lợi nh</w:t>
      </w:r>
      <w:r w:rsidR="008E3939" w:rsidRPr="00845946">
        <w:rPr>
          <w:rFonts w:ascii="Times New Roman" w:hAnsi="Times New Roman"/>
          <w:sz w:val="24"/>
          <w:szCs w:val="24"/>
          <w:lang w:val="nl-NL"/>
        </w:rPr>
        <w:t>u</w:t>
      </w:r>
      <w:r w:rsidR="00B84DD0" w:rsidRPr="00845946">
        <w:rPr>
          <w:rFonts w:ascii="Times New Roman" w:hAnsi="Times New Roman"/>
          <w:sz w:val="24"/>
          <w:szCs w:val="24"/>
          <w:lang w:val="nl-NL"/>
        </w:rPr>
        <w:t>ận từ kết quả đầu tư mang lại</w:t>
      </w:r>
      <w:r w:rsidR="008E3939" w:rsidRPr="00845946">
        <w:rPr>
          <w:rFonts w:ascii="Times New Roman" w:hAnsi="Times New Roman"/>
          <w:sz w:val="24"/>
          <w:szCs w:val="24"/>
          <w:lang w:val="nl-NL"/>
        </w:rPr>
        <w:t>.</w:t>
      </w:r>
    </w:p>
    <w:p w14:paraId="61CB3CDC"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845946">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845946" w14:paraId="623333E6" w14:textId="77777777" w:rsidTr="001A5984">
        <w:tc>
          <w:tcPr>
            <w:tcW w:w="1882" w:type="pct"/>
            <w:shd w:val="clear" w:color="auto" w:fill="auto"/>
            <w:vAlign w:val="center"/>
          </w:tcPr>
          <w:p w14:paraId="4CEAB9C9"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Quy mô nắm giữ (Đơn vị)</w:t>
            </w:r>
          </w:p>
        </w:tc>
        <w:tc>
          <w:tcPr>
            <w:tcW w:w="1056" w:type="pct"/>
            <w:shd w:val="clear" w:color="auto" w:fill="auto"/>
            <w:vAlign w:val="center"/>
          </w:tcPr>
          <w:p w14:paraId="63E62324"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Nhà đầu tư nắm giữ</w:t>
            </w:r>
          </w:p>
        </w:tc>
        <w:tc>
          <w:tcPr>
            <w:tcW w:w="1193" w:type="pct"/>
            <w:shd w:val="clear" w:color="auto" w:fill="auto"/>
            <w:vAlign w:val="center"/>
          </w:tcPr>
          <w:p w14:paraId="0EDF1517"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14:paraId="1F38D43F" w14:textId="77777777" w:rsidR="001C4468" w:rsidRPr="00845946"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Tỷ lệ nắm giữ</w:t>
            </w:r>
          </w:p>
        </w:tc>
      </w:tr>
      <w:tr w:rsidR="001C4468" w:rsidRPr="00845946" w14:paraId="721C9E6F" w14:textId="77777777" w:rsidTr="001E511A">
        <w:trPr>
          <w:trHeight w:val="337"/>
        </w:trPr>
        <w:tc>
          <w:tcPr>
            <w:tcW w:w="1882" w:type="pct"/>
            <w:shd w:val="clear" w:color="auto" w:fill="auto"/>
            <w:vAlign w:val="center"/>
          </w:tcPr>
          <w:p w14:paraId="615AF58A"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A</w:t>
            </w:r>
          </w:p>
        </w:tc>
        <w:tc>
          <w:tcPr>
            <w:tcW w:w="1056" w:type="pct"/>
            <w:shd w:val="clear" w:color="auto" w:fill="auto"/>
            <w:vAlign w:val="center"/>
          </w:tcPr>
          <w:p w14:paraId="798A9A0D"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1</w:t>
            </w:r>
          </w:p>
        </w:tc>
        <w:tc>
          <w:tcPr>
            <w:tcW w:w="1193" w:type="pct"/>
            <w:shd w:val="clear" w:color="auto" w:fill="auto"/>
            <w:vAlign w:val="center"/>
          </w:tcPr>
          <w:p w14:paraId="5544ECA4"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2</w:t>
            </w:r>
          </w:p>
        </w:tc>
        <w:tc>
          <w:tcPr>
            <w:tcW w:w="870" w:type="pct"/>
            <w:shd w:val="clear" w:color="auto" w:fill="auto"/>
            <w:vAlign w:val="center"/>
          </w:tcPr>
          <w:p w14:paraId="50373C99" w14:textId="77777777" w:rsidR="001C4468" w:rsidRPr="00845946"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845946">
              <w:rPr>
                <w:rFonts w:ascii="Times New Roman" w:eastAsia="Times New Roman" w:hAnsi="Times New Roman"/>
                <w:i/>
                <w:color w:val="1F497D" w:themeColor="text2"/>
                <w:sz w:val="24"/>
                <w:szCs w:val="24"/>
                <w:lang w:val="nl-NL"/>
              </w:rPr>
              <w:t>3</w:t>
            </w:r>
          </w:p>
        </w:tc>
      </w:tr>
      <w:tr w:rsidR="007D6CE8" w:rsidRPr="00845946" w14:paraId="33807B71" w14:textId="77777777" w:rsidTr="001A5984">
        <w:tc>
          <w:tcPr>
            <w:tcW w:w="1882" w:type="pct"/>
            <w:shd w:val="clear" w:color="auto" w:fill="auto"/>
            <w:vAlign w:val="center"/>
          </w:tcPr>
          <w:p w14:paraId="4EF6F4E5"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Dưới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w:t>
            </w:r>
          </w:p>
        </w:tc>
        <w:tc>
          <w:tcPr>
            <w:tcW w:w="1056" w:type="pct"/>
            <w:shd w:val="clear" w:color="auto" w:fill="auto"/>
            <w:vAlign w:val="center"/>
          </w:tcPr>
          <w:p w14:paraId="731DD6AC" w14:textId="1FF08A6F"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r w:rsidR="0026726B" w:rsidRPr="00845946">
              <w:rPr>
                <w:rFonts w:ascii="Times New Roman" w:eastAsia="Times New Roman" w:hAnsi="Times New Roman"/>
                <w:sz w:val="24"/>
                <w:szCs w:val="24"/>
                <w:lang w:val="nl-NL"/>
              </w:rPr>
              <w:t>1</w:t>
            </w:r>
            <w:r w:rsidR="00DC1836" w:rsidRPr="00845946">
              <w:rPr>
                <w:rFonts w:ascii="Times New Roman" w:eastAsia="Times New Roman" w:hAnsi="Times New Roman"/>
                <w:sz w:val="24"/>
                <w:szCs w:val="24"/>
                <w:lang w:val="nl-NL"/>
              </w:rPr>
              <w:t>6</w:t>
            </w:r>
          </w:p>
        </w:tc>
        <w:tc>
          <w:tcPr>
            <w:tcW w:w="1193" w:type="pct"/>
            <w:shd w:val="clear" w:color="auto" w:fill="auto"/>
            <w:vAlign w:val="center"/>
          </w:tcPr>
          <w:p w14:paraId="5AC16A63" w14:textId="3938FA94" w:rsidR="007D6CE8" w:rsidRPr="00845946" w:rsidRDefault="004A43EC" w:rsidP="001A5984">
            <w:pPr>
              <w:tabs>
                <w:tab w:val="left" w:pos="540"/>
              </w:tabs>
              <w:spacing w:before="120" w:after="0" w:line="240" w:lineRule="auto"/>
              <w:jc w:val="center"/>
              <w:rPr>
                <w:rFonts w:ascii="Times New Roman" w:eastAsia="Times New Roman" w:hAnsi="Times New Roman"/>
                <w:sz w:val="24"/>
                <w:szCs w:val="24"/>
                <w:lang w:val="nl-NL"/>
              </w:rPr>
            </w:pPr>
            <w:r w:rsidRPr="004A43EC">
              <w:rPr>
                <w:rFonts w:ascii="Times New Roman" w:eastAsia="Times New Roman" w:hAnsi="Times New Roman"/>
                <w:sz w:val="24"/>
                <w:szCs w:val="24"/>
                <w:lang w:val="nl-NL"/>
              </w:rPr>
              <w:t>32</w:t>
            </w:r>
            <w:r>
              <w:rPr>
                <w:rFonts w:ascii="Times New Roman" w:eastAsia="Times New Roman" w:hAnsi="Times New Roman"/>
                <w:sz w:val="24"/>
                <w:szCs w:val="24"/>
                <w:lang w:val="nl-NL"/>
              </w:rPr>
              <w:t>.</w:t>
            </w:r>
            <w:r w:rsidRPr="004A43EC">
              <w:rPr>
                <w:rFonts w:ascii="Times New Roman" w:eastAsia="Times New Roman" w:hAnsi="Times New Roman"/>
                <w:sz w:val="24"/>
                <w:szCs w:val="24"/>
                <w:lang w:val="nl-NL"/>
              </w:rPr>
              <w:t>687</w:t>
            </w:r>
            <w:r>
              <w:rPr>
                <w:rFonts w:ascii="Times New Roman" w:eastAsia="Times New Roman" w:hAnsi="Times New Roman"/>
                <w:sz w:val="24"/>
                <w:szCs w:val="24"/>
                <w:lang w:val="nl-NL"/>
              </w:rPr>
              <w:t>,</w:t>
            </w:r>
            <w:r w:rsidRPr="004A43EC">
              <w:rPr>
                <w:rFonts w:ascii="Times New Roman" w:eastAsia="Times New Roman" w:hAnsi="Times New Roman"/>
                <w:sz w:val="24"/>
                <w:szCs w:val="24"/>
                <w:lang w:val="nl-NL"/>
              </w:rPr>
              <w:t>16</w:t>
            </w:r>
          </w:p>
        </w:tc>
        <w:tc>
          <w:tcPr>
            <w:tcW w:w="870" w:type="pct"/>
            <w:shd w:val="clear" w:color="auto" w:fill="auto"/>
            <w:vAlign w:val="center"/>
          </w:tcPr>
          <w:p w14:paraId="491B3301" w14:textId="2A9E0A5E"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8E0B75" w:rsidRPr="00845946">
              <w:rPr>
                <w:rFonts w:ascii="Times New Roman" w:eastAsia="Times New Roman" w:hAnsi="Times New Roman"/>
                <w:sz w:val="24"/>
                <w:szCs w:val="24"/>
                <w:lang w:val="nl-NL"/>
              </w:rPr>
              <w:t>3</w:t>
            </w:r>
            <w:r w:rsidR="004A43EC">
              <w:rPr>
                <w:rFonts w:ascii="Times New Roman" w:eastAsia="Times New Roman" w:hAnsi="Times New Roman"/>
                <w:sz w:val="24"/>
                <w:szCs w:val="24"/>
                <w:lang w:val="nl-NL"/>
              </w:rPr>
              <w:t>3</w:t>
            </w:r>
            <w:r w:rsidRPr="00845946">
              <w:rPr>
                <w:rFonts w:ascii="Times New Roman" w:eastAsia="Times New Roman" w:hAnsi="Times New Roman"/>
                <w:sz w:val="24"/>
                <w:szCs w:val="24"/>
                <w:lang w:val="nl-NL"/>
              </w:rPr>
              <w:t>%</w:t>
            </w:r>
          </w:p>
        </w:tc>
      </w:tr>
      <w:tr w:rsidR="007D6CE8" w:rsidRPr="00845946" w14:paraId="214727B5" w14:textId="77777777" w:rsidTr="001A5984">
        <w:tc>
          <w:tcPr>
            <w:tcW w:w="1882" w:type="pct"/>
            <w:shd w:val="clear" w:color="auto" w:fill="auto"/>
            <w:vAlign w:val="center"/>
          </w:tcPr>
          <w:p w14:paraId="630C5BDD"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000 - 10.000</w:t>
            </w:r>
          </w:p>
        </w:tc>
        <w:tc>
          <w:tcPr>
            <w:tcW w:w="1056" w:type="pct"/>
            <w:shd w:val="clear" w:color="auto" w:fill="auto"/>
            <w:vAlign w:val="center"/>
          </w:tcPr>
          <w:p w14:paraId="6C2D27DE" w14:textId="411C0F73" w:rsidR="007D6CE8" w:rsidRPr="00845946" w:rsidRDefault="00190F95"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1B5F4FC9" w14:textId="6C40B264" w:rsidR="007D6CE8" w:rsidRPr="00845946" w:rsidRDefault="00DC1836"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284874B" w14:textId="5AAB78A8"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524184" w:rsidRPr="00845946">
              <w:rPr>
                <w:rFonts w:ascii="Times New Roman" w:eastAsia="Times New Roman" w:hAnsi="Times New Roman"/>
                <w:sz w:val="24"/>
                <w:szCs w:val="24"/>
                <w:lang w:val="nl-NL"/>
              </w:rPr>
              <w:t>0</w:t>
            </w:r>
            <w:r w:rsidR="00DC1836" w:rsidRPr="00845946">
              <w:rPr>
                <w:rFonts w:ascii="Times New Roman" w:eastAsia="Times New Roman" w:hAnsi="Times New Roman"/>
                <w:sz w:val="24"/>
                <w:szCs w:val="24"/>
                <w:lang w:val="nl-NL"/>
              </w:rPr>
              <w:t>0</w:t>
            </w:r>
            <w:r w:rsidRPr="00845946">
              <w:rPr>
                <w:rFonts w:ascii="Times New Roman" w:eastAsia="Times New Roman" w:hAnsi="Times New Roman"/>
                <w:sz w:val="24"/>
                <w:szCs w:val="24"/>
                <w:lang w:val="nl-NL"/>
              </w:rPr>
              <w:t>%</w:t>
            </w:r>
          </w:p>
        </w:tc>
      </w:tr>
      <w:tr w:rsidR="007D6CE8" w:rsidRPr="00845946" w14:paraId="6028455A" w14:textId="77777777" w:rsidTr="001A5984">
        <w:tc>
          <w:tcPr>
            <w:tcW w:w="1882" w:type="pct"/>
            <w:shd w:val="clear" w:color="auto" w:fill="auto"/>
            <w:vAlign w:val="center"/>
          </w:tcPr>
          <w:p w14:paraId="41CB0DF7"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10.000 đến 50.000</w:t>
            </w:r>
          </w:p>
        </w:tc>
        <w:tc>
          <w:tcPr>
            <w:tcW w:w="1056" w:type="pct"/>
            <w:shd w:val="clear" w:color="auto" w:fill="auto"/>
            <w:vAlign w:val="center"/>
          </w:tcPr>
          <w:p w14:paraId="25E393F3"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26AF953D" w14:textId="77777777" w:rsidR="007D6CE8" w:rsidRPr="00845946" w:rsidRDefault="00CB4E70"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38FD1556"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00CB4E70" w:rsidRPr="00845946">
              <w:rPr>
                <w:rFonts w:ascii="Times New Roman" w:eastAsia="Times New Roman" w:hAnsi="Times New Roman"/>
                <w:sz w:val="24"/>
                <w:szCs w:val="24"/>
                <w:lang w:val="nl-NL"/>
              </w:rPr>
              <w:t>00</w:t>
            </w:r>
            <w:r w:rsidRPr="00845946">
              <w:rPr>
                <w:rFonts w:ascii="Times New Roman" w:eastAsia="Times New Roman" w:hAnsi="Times New Roman"/>
                <w:sz w:val="24"/>
                <w:szCs w:val="24"/>
                <w:lang w:val="nl-NL"/>
              </w:rPr>
              <w:t>%</w:t>
            </w:r>
          </w:p>
        </w:tc>
      </w:tr>
      <w:tr w:rsidR="007D6CE8" w:rsidRPr="00845946" w14:paraId="7B463B51" w14:textId="77777777" w:rsidTr="001A5984">
        <w:tc>
          <w:tcPr>
            <w:tcW w:w="1882" w:type="pct"/>
            <w:shd w:val="clear" w:color="auto" w:fill="auto"/>
            <w:vAlign w:val="center"/>
          </w:tcPr>
          <w:p w14:paraId="03F987FB"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Từ 50.000 đến 500.000</w:t>
            </w:r>
          </w:p>
        </w:tc>
        <w:tc>
          <w:tcPr>
            <w:tcW w:w="1056" w:type="pct"/>
            <w:shd w:val="clear" w:color="auto" w:fill="auto"/>
            <w:vAlign w:val="center"/>
          </w:tcPr>
          <w:p w14:paraId="16E26C72" w14:textId="1D7ACECB"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1193" w:type="pct"/>
            <w:shd w:val="clear" w:color="auto" w:fill="auto"/>
            <w:vAlign w:val="center"/>
          </w:tcPr>
          <w:p w14:paraId="0767171A" w14:textId="668A0773" w:rsidR="007D6CE8" w:rsidRPr="00845946" w:rsidRDefault="00F84032"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p>
        </w:tc>
        <w:tc>
          <w:tcPr>
            <w:tcW w:w="870" w:type="pct"/>
            <w:shd w:val="clear" w:color="auto" w:fill="auto"/>
            <w:vAlign w:val="center"/>
          </w:tcPr>
          <w:p w14:paraId="18EDF11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0</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00%</w:t>
            </w:r>
          </w:p>
        </w:tc>
      </w:tr>
      <w:tr w:rsidR="007D6CE8" w:rsidRPr="00845946" w14:paraId="7913649F" w14:textId="77777777" w:rsidTr="001A5984">
        <w:tc>
          <w:tcPr>
            <w:tcW w:w="1882" w:type="pct"/>
            <w:shd w:val="clear" w:color="auto" w:fill="auto"/>
            <w:vAlign w:val="center"/>
          </w:tcPr>
          <w:p w14:paraId="505E9553" w14:textId="77777777" w:rsidR="007D6CE8" w:rsidRPr="00845946"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Trên 500.000</w:t>
            </w:r>
          </w:p>
        </w:tc>
        <w:tc>
          <w:tcPr>
            <w:tcW w:w="1056" w:type="pct"/>
            <w:shd w:val="clear" w:color="auto" w:fill="auto"/>
            <w:vAlign w:val="center"/>
          </w:tcPr>
          <w:p w14:paraId="57937794" w14:textId="77777777" w:rsidR="007D6CE8" w:rsidRPr="00845946"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1</w:t>
            </w:r>
          </w:p>
        </w:tc>
        <w:tc>
          <w:tcPr>
            <w:tcW w:w="1193" w:type="pct"/>
            <w:shd w:val="clear" w:color="auto" w:fill="auto"/>
            <w:vAlign w:val="center"/>
          </w:tcPr>
          <w:p w14:paraId="4F5F4E38" w14:textId="77777777" w:rsidR="007D6CE8" w:rsidRPr="00845946"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959</w:t>
            </w:r>
            <w:r w:rsidR="00B85125" w:rsidRPr="00845946">
              <w:rPr>
                <w:rFonts w:ascii="Times New Roman" w:eastAsia="Times New Roman" w:hAnsi="Times New Roman"/>
                <w:sz w:val="24"/>
                <w:szCs w:val="24"/>
                <w:lang w:val="nl-NL"/>
              </w:rPr>
              <w:t>.</w:t>
            </w:r>
            <w:r w:rsidRPr="00845946">
              <w:rPr>
                <w:rFonts w:ascii="Times New Roman" w:eastAsia="Times New Roman" w:hAnsi="Times New Roman"/>
                <w:sz w:val="24"/>
                <w:szCs w:val="24"/>
                <w:lang w:val="nl-NL"/>
              </w:rPr>
              <w:t>489,84</w:t>
            </w:r>
          </w:p>
        </w:tc>
        <w:tc>
          <w:tcPr>
            <w:tcW w:w="870" w:type="pct"/>
            <w:shd w:val="clear" w:color="auto" w:fill="auto"/>
            <w:vAlign w:val="center"/>
          </w:tcPr>
          <w:p w14:paraId="164891F0" w14:textId="094452BF" w:rsidR="007D6CE8" w:rsidRPr="00845946" w:rsidRDefault="001D4521" w:rsidP="001A5984">
            <w:pPr>
              <w:tabs>
                <w:tab w:val="left" w:pos="540"/>
              </w:tabs>
              <w:spacing w:before="120" w:after="0" w:line="240" w:lineRule="auto"/>
              <w:jc w:val="center"/>
              <w:rPr>
                <w:rFonts w:ascii="Times New Roman" w:eastAsia="Times New Roman" w:hAnsi="Times New Roman"/>
                <w:sz w:val="24"/>
                <w:szCs w:val="24"/>
                <w:lang w:val="nl-NL"/>
              </w:rPr>
            </w:pPr>
            <w:r w:rsidRPr="00845946">
              <w:rPr>
                <w:rFonts w:ascii="Times New Roman" w:eastAsia="Times New Roman" w:hAnsi="Times New Roman"/>
                <w:sz w:val="24"/>
                <w:szCs w:val="24"/>
                <w:lang w:val="nl-NL"/>
              </w:rPr>
              <w:t>99</w:t>
            </w:r>
            <w:r w:rsidR="009B5719" w:rsidRPr="00845946">
              <w:rPr>
                <w:rFonts w:ascii="Times New Roman" w:eastAsia="Times New Roman" w:hAnsi="Times New Roman"/>
                <w:sz w:val="24"/>
                <w:szCs w:val="24"/>
                <w:lang w:val="nl-NL"/>
              </w:rPr>
              <w:t>,</w:t>
            </w:r>
            <w:r w:rsidR="00332DC8">
              <w:rPr>
                <w:rFonts w:ascii="Times New Roman" w:eastAsia="Times New Roman" w:hAnsi="Times New Roman"/>
                <w:sz w:val="24"/>
                <w:szCs w:val="24"/>
                <w:lang w:val="nl-NL"/>
              </w:rPr>
              <w:t>6</w:t>
            </w:r>
            <w:r w:rsidR="004A43EC">
              <w:rPr>
                <w:rFonts w:ascii="Times New Roman" w:eastAsia="Times New Roman" w:hAnsi="Times New Roman"/>
                <w:sz w:val="24"/>
                <w:szCs w:val="24"/>
                <w:lang w:val="nl-NL"/>
              </w:rPr>
              <w:t>7</w:t>
            </w:r>
            <w:r w:rsidR="007D6CE8" w:rsidRPr="00845946">
              <w:rPr>
                <w:rFonts w:ascii="Times New Roman" w:eastAsia="Times New Roman" w:hAnsi="Times New Roman"/>
                <w:sz w:val="24"/>
                <w:szCs w:val="24"/>
                <w:lang w:val="nl-NL"/>
              </w:rPr>
              <w:t>%</w:t>
            </w:r>
          </w:p>
        </w:tc>
      </w:tr>
      <w:tr w:rsidR="007D6CE8" w:rsidRPr="00845946" w14:paraId="46E1C62A" w14:textId="77777777" w:rsidTr="000E4B2B">
        <w:trPr>
          <w:trHeight w:val="418"/>
        </w:trPr>
        <w:tc>
          <w:tcPr>
            <w:tcW w:w="1882" w:type="pct"/>
            <w:shd w:val="clear" w:color="auto" w:fill="auto"/>
            <w:vAlign w:val="center"/>
          </w:tcPr>
          <w:p w14:paraId="7808300E" w14:textId="77777777" w:rsidR="007D6CE8" w:rsidRPr="00845946"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Tổng cộng</w:t>
            </w:r>
          </w:p>
        </w:tc>
        <w:tc>
          <w:tcPr>
            <w:tcW w:w="1056" w:type="pct"/>
            <w:shd w:val="clear" w:color="auto" w:fill="auto"/>
            <w:vAlign w:val="center"/>
          </w:tcPr>
          <w:p w14:paraId="6D287282" w14:textId="52A87422"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w:t>
            </w:r>
            <w:r w:rsidR="00DC1836" w:rsidRPr="00845946">
              <w:rPr>
                <w:rFonts w:ascii="Times New Roman" w:eastAsia="Times New Roman" w:hAnsi="Times New Roman"/>
                <w:b/>
                <w:sz w:val="24"/>
                <w:szCs w:val="24"/>
                <w:lang w:val="nl-NL"/>
              </w:rPr>
              <w:t>17</w:t>
            </w:r>
          </w:p>
        </w:tc>
        <w:tc>
          <w:tcPr>
            <w:tcW w:w="1193" w:type="pct"/>
            <w:shd w:val="clear" w:color="auto" w:fill="auto"/>
            <w:vAlign w:val="center"/>
          </w:tcPr>
          <w:p w14:paraId="43BDD4F2" w14:textId="317D1795" w:rsidR="007D6CE8" w:rsidRPr="00845946" w:rsidRDefault="004A43EC" w:rsidP="001A5984">
            <w:pPr>
              <w:tabs>
                <w:tab w:val="left" w:pos="540"/>
              </w:tabs>
              <w:spacing w:before="120" w:after="0" w:line="240" w:lineRule="auto"/>
              <w:jc w:val="center"/>
              <w:rPr>
                <w:rFonts w:ascii="Times New Roman" w:eastAsia="Times New Roman" w:hAnsi="Times New Roman"/>
                <w:b/>
                <w:sz w:val="24"/>
                <w:szCs w:val="24"/>
                <w:lang w:val="nl-NL"/>
              </w:rPr>
            </w:pPr>
            <w:r w:rsidRPr="004A43EC">
              <w:rPr>
                <w:rFonts w:ascii="Times New Roman" w:eastAsia="Times New Roman" w:hAnsi="Times New Roman"/>
                <w:b/>
                <w:sz w:val="24"/>
                <w:szCs w:val="24"/>
                <w:lang w:val="nl-NL"/>
              </w:rPr>
              <w:t>9</w:t>
            </w:r>
            <w:r>
              <w:rPr>
                <w:rFonts w:ascii="Times New Roman" w:eastAsia="Times New Roman" w:hAnsi="Times New Roman"/>
                <w:b/>
                <w:sz w:val="24"/>
                <w:szCs w:val="24"/>
                <w:lang w:val="nl-NL"/>
              </w:rPr>
              <w:t>.</w:t>
            </w:r>
            <w:r w:rsidRPr="004A43EC">
              <w:rPr>
                <w:rFonts w:ascii="Times New Roman" w:eastAsia="Times New Roman" w:hAnsi="Times New Roman"/>
                <w:b/>
                <w:sz w:val="24"/>
                <w:szCs w:val="24"/>
                <w:lang w:val="nl-NL"/>
              </w:rPr>
              <w:t>992</w:t>
            </w:r>
            <w:r>
              <w:rPr>
                <w:rFonts w:ascii="Times New Roman" w:eastAsia="Times New Roman" w:hAnsi="Times New Roman"/>
                <w:b/>
                <w:sz w:val="24"/>
                <w:szCs w:val="24"/>
                <w:lang w:val="nl-NL"/>
              </w:rPr>
              <w:t>.</w:t>
            </w:r>
            <w:r w:rsidRPr="004A43EC">
              <w:rPr>
                <w:rFonts w:ascii="Times New Roman" w:eastAsia="Times New Roman" w:hAnsi="Times New Roman"/>
                <w:b/>
                <w:sz w:val="24"/>
                <w:szCs w:val="24"/>
                <w:lang w:val="nl-NL"/>
              </w:rPr>
              <w:t>176</w:t>
            </w:r>
            <w:r>
              <w:rPr>
                <w:rFonts w:ascii="Times New Roman" w:eastAsia="Times New Roman" w:hAnsi="Times New Roman"/>
                <w:b/>
                <w:sz w:val="24"/>
                <w:szCs w:val="24"/>
                <w:lang w:val="nl-NL"/>
              </w:rPr>
              <w:t>,</w:t>
            </w:r>
            <w:r w:rsidRPr="004A43EC">
              <w:rPr>
                <w:rFonts w:ascii="Times New Roman" w:eastAsia="Times New Roman" w:hAnsi="Times New Roman"/>
                <w:b/>
                <w:sz w:val="24"/>
                <w:szCs w:val="24"/>
                <w:lang w:val="nl-NL"/>
              </w:rPr>
              <w:t>99</w:t>
            </w:r>
          </w:p>
        </w:tc>
        <w:tc>
          <w:tcPr>
            <w:tcW w:w="870" w:type="pct"/>
            <w:shd w:val="clear" w:color="auto" w:fill="auto"/>
            <w:vAlign w:val="center"/>
          </w:tcPr>
          <w:p w14:paraId="649F1B28" w14:textId="77777777" w:rsidR="007D6CE8" w:rsidRPr="00845946"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845946">
              <w:rPr>
                <w:rFonts w:ascii="Times New Roman" w:eastAsia="Times New Roman" w:hAnsi="Times New Roman"/>
                <w:b/>
                <w:sz w:val="24"/>
                <w:szCs w:val="24"/>
                <w:lang w:val="nl-NL"/>
              </w:rPr>
              <w:t>100</w:t>
            </w:r>
            <w:r w:rsidR="00B85125" w:rsidRPr="00845946">
              <w:rPr>
                <w:rFonts w:ascii="Times New Roman" w:eastAsia="Times New Roman" w:hAnsi="Times New Roman"/>
                <w:b/>
                <w:sz w:val="24"/>
                <w:szCs w:val="24"/>
                <w:lang w:val="nl-NL"/>
              </w:rPr>
              <w:t>,00</w:t>
            </w:r>
            <w:r w:rsidRPr="00845946">
              <w:rPr>
                <w:rFonts w:ascii="Times New Roman" w:eastAsia="Times New Roman" w:hAnsi="Times New Roman"/>
                <w:b/>
                <w:sz w:val="24"/>
                <w:szCs w:val="24"/>
                <w:lang w:val="nl-NL"/>
              </w:rPr>
              <w:t>%</w:t>
            </w:r>
          </w:p>
        </w:tc>
      </w:tr>
    </w:tbl>
    <w:p w14:paraId="49270E59" w14:textId="0BE6DD12" w:rsidR="00845946" w:rsidRPr="00845946"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845946">
        <w:rPr>
          <w:rFonts w:ascii="Times New Roman" w:hAnsi="Times New Roman"/>
          <w:b/>
          <w:sz w:val="24"/>
          <w:szCs w:val="24"/>
          <w:u w:val="single"/>
          <w:lang w:val="nl-NL"/>
        </w:rPr>
        <w:t>Ghi chú:</w:t>
      </w:r>
      <w:r w:rsidRPr="00845946">
        <w:rPr>
          <w:rFonts w:ascii="Times New Roman" w:hAnsi="Times New Roman"/>
          <w:i/>
          <w:sz w:val="24"/>
          <w:szCs w:val="24"/>
          <w:lang w:val="nl-NL"/>
        </w:rPr>
        <w:t xml:space="preserve"> Trình bày tình hình nắm giữ Chứng chỉ quỹ của Nhà đầu tư từ ít nhất đến nhiều nhất.</w:t>
      </w:r>
    </w:p>
    <w:p w14:paraId="36297BCB" w14:textId="77777777" w:rsidR="001C4468" w:rsidRPr="00845946"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845946">
        <w:rPr>
          <w:rFonts w:ascii="Times New Roman" w:hAnsi="Times New Roman"/>
          <w:b/>
          <w:sz w:val="24"/>
          <w:szCs w:val="24"/>
          <w:lang w:val="nl-NL"/>
        </w:rPr>
        <w:t>Chi phí ngầm và giảm giá</w:t>
      </w:r>
    </w:p>
    <w:p w14:paraId="707EF0E9" w14:textId="77777777" w:rsidR="003E4AD7" w:rsidRPr="00845946" w:rsidRDefault="003E4AD7" w:rsidP="001A5984">
      <w:pPr>
        <w:spacing w:before="240"/>
        <w:jc w:val="both"/>
        <w:rPr>
          <w:rFonts w:ascii="Times New Roman" w:hAnsi="Times New Roman"/>
          <w:sz w:val="24"/>
          <w:szCs w:val="24"/>
          <w:lang w:val="nl-NL"/>
        </w:rPr>
      </w:pPr>
      <w:r w:rsidRPr="00845946">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14:paraId="50ED1680" w14:textId="77777777" w:rsidR="004B07B4" w:rsidRPr="00845946"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845946">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sidRPr="00845946">
        <w:rPr>
          <w:rFonts w:ascii="Times New Roman" w:hAnsi="Times New Roman"/>
          <w:sz w:val="24"/>
          <w:szCs w:val="24"/>
          <w:lang w:val="nl-NL"/>
        </w:rPr>
        <w:t>ấp</w:t>
      </w:r>
      <w:r w:rsidRPr="00845946">
        <w:rPr>
          <w:rFonts w:ascii="Times New Roman" w:hAnsi="Times New Roman"/>
          <w:sz w:val="24"/>
          <w:szCs w:val="24"/>
          <w:lang w:val="nl-NL"/>
        </w:rPr>
        <w:t xml:space="preserve"> dịch vụ cho Quỹ.</w:t>
      </w:r>
    </w:p>
    <w:p w14:paraId="32851015" w14:textId="77777777" w:rsidR="001C4468" w:rsidRPr="00845946"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 </w:t>
      </w:r>
      <w:r w:rsidR="004B07B4" w:rsidRPr="00845946">
        <w:rPr>
          <w:rFonts w:ascii="Times New Roman" w:hAnsi="Times New Roman"/>
          <w:b/>
          <w:sz w:val="24"/>
          <w:szCs w:val="24"/>
          <w:lang w:val="nl-NL"/>
        </w:rPr>
        <w:tab/>
      </w:r>
      <w:bookmarkStart w:id="2" w:name="_Hlk37245167"/>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VỀ TRIỂN VỌNG THỊ TRƯỜNG</w:t>
      </w:r>
      <w:bookmarkEnd w:id="2"/>
    </w:p>
    <w:p w14:paraId="2663BCA3" w14:textId="77777777" w:rsidR="00893024" w:rsidRDefault="00893024" w:rsidP="00893024">
      <w:pPr>
        <w:shd w:val="clear" w:color="auto" w:fill="FFFFFF" w:themeFill="background1"/>
        <w:spacing w:before="120"/>
        <w:jc w:val="both"/>
        <w:rPr>
          <w:rFonts w:ascii="Times New Roman" w:hAnsi="Times New Roman"/>
          <w:sz w:val="24"/>
          <w:szCs w:val="24"/>
          <w:highlight w:val="yellow"/>
          <w:lang w:val="nl-NL"/>
        </w:rPr>
      </w:pPr>
      <w:r w:rsidRPr="001455B3">
        <w:rPr>
          <w:rFonts w:ascii="Times New Roman" w:hAnsi="Times New Roman"/>
          <w:sz w:val="24"/>
          <w:szCs w:val="24"/>
          <w:lang w:val="nl-NL"/>
        </w:rPr>
        <w:t xml:space="preserve">Thị trường chứng khoán Việt Nam năm 2025 được kỳ vọng sẽ có những bước phát triển đột phá, đặc biệt là với kỳ vọng nâng hạng thị trường, thu hút dòng vốn ngoại và sự hoàn thiện khung pháp lý. Thị trường cổ phiếu được dự báo tăng trưởng tốt từ nửa cuối năm, với việc nâng hạn lên thị trường mới nổi, mặt bằng lãi suất </w:t>
      </w:r>
      <w:r>
        <w:rPr>
          <w:rFonts w:ascii="Times New Roman" w:hAnsi="Times New Roman"/>
          <w:sz w:val="24"/>
          <w:szCs w:val="24"/>
          <w:lang w:val="nl-NL"/>
        </w:rPr>
        <w:t xml:space="preserve">cho vay được hạ </w:t>
      </w:r>
      <w:r w:rsidRPr="001455B3">
        <w:rPr>
          <w:rFonts w:ascii="Times New Roman" w:hAnsi="Times New Roman"/>
          <w:sz w:val="24"/>
          <w:szCs w:val="24"/>
          <w:lang w:val="nl-NL"/>
        </w:rPr>
        <w:t xml:space="preserve">thấp và kinh tế tiếp tục tăng trưởng cao nhờ cải cách thể chế và môi trường kinh doanh, đẩy mạnh đầu tư công và thu hút đầu tư FDI. Thị trường trái phiếu doanh nghiệp cũng được kỳ vọng tiếp tục phục hồi và phát triển, được hỗ trợ bởi nhu cầu vốn cao và những thay đổi tích cực từ Luật Chứng khoán sửa đổi. Tuy nhiên, cần lưu ý đến những thách thức từ bối cảnh kinh tế </w:t>
      </w:r>
      <w:r w:rsidRPr="001455B3">
        <w:rPr>
          <w:rFonts w:ascii="Times New Roman" w:hAnsi="Times New Roman"/>
          <w:sz w:val="24"/>
          <w:szCs w:val="24"/>
          <w:lang w:val="nl-NL"/>
        </w:rPr>
        <w:lastRenderedPageBreak/>
        <w:t>toàn cầu, áp lực tỷ giá và rủi ro tín dụng. Nhìn chung, năm 2025 mang đến nhiều cơ hội đầu tư hấp dẫn trên cả thị trường trái phiếu và cổ phiếu, nhưng cũng đòi hỏi sự thận trọng và phân tích kỹ lưỡng.</w:t>
      </w:r>
    </w:p>
    <w:p w14:paraId="4FB3EAD2" w14:textId="478B1E81" w:rsidR="004275CE" w:rsidRPr="00845946" w:rsidRDefault="00893024" w:rsidP="00893024">
      <w:pPr>
        <w:shd w:val="clear" w:color="auto" w:fill="FFFFFF" w:themeFill="background1"/>
        <w:spacing w:before="120"/>
        <w:jc w:val="both"/>
        <w:rPr>
          <w:rFonts w:ascii="Times New Roman" w:eastAsiaTheme="minorHAnsi" w:hAnsi="Times New Roman"/>
          <w:sz w:val="24"/>
          <w:szCs w:val="24"/>
          <w:lang w:val="nl-NL"/>
        </w:rPr>
      </w:pPr>
      <w:r w:rsidRPr="003A55A2">
        <w:rPr>
          <w:rFonts w:ascii="Times New Roman" w:hAnsi="Times New Roman"/>
          <w:sz w:val="24"/>
          <w:szCs w:val="24"/>
          <w:lang w:val="nl-NL"/>
        </w:rPr>
        <w:t>Từ các phân tích thị trường, Quỹ CBPF sẽ tiếp tục tận dụng các cơ hội từ thị trường sơ cấp cũng như thứ cấp để gia tăng lợi suất đầu tư tuy nhiên vẫn duy trì sự cẩn trọng trong quản trị rủi ro của từng khoản đầu cũng như của toàn bộ danh mục.</w:t>
      </w:r>
    </w:p>
    <w:p w14:paraId="44445B9F" w14:textId="77777777" w:rsidR="001C4468" w:rsidRPr="00845946"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 xml:space="preserve">VI. </w:t>
      </w:r>
      <w:r w:rsidR="004B07B4" w:rsidRPr="00845946">
        <w:rPr>
          <w:rFonts w:ascii="Times New Roman" w:hAnsi="Times New Roman"/>
          <w:b/>
          <w:sz w:val="24"/>
          <w:szCs w:val="24"/>
          <w:lang w:val="nl-NL"/>
        </w:rPr>
        <w:tab/>
      </w:r>
      <w:r w:rsidRPr="00845946">
        <w:rPr>
          <w:rFonts w:ascii="Times New Roman" w:hAnsi="Times New Roman"/>
          <w:b/>
          <w:sz w:val="24"/>
          <w:szCs w:val="24"/>
          <w:lang w:val="nl-NL"/>
        </w:rPr>
        <w:t>T</w:t>
      </w:r>
      <w:r w:rsidR="004B07B4" w:rsidRPr="00845946">
        <w:rPr>
          <w:rFonts w:ascii="Times New Roman" w:hAnsi="Times New Roman"/>
          <w:b/>
          <w:sz w:val="24"/>
          <w:szCs w:val="24"/>
          <w:lang w:val="nl-NL"/>
        </w:rPr>
        <w:t>HÔNG TIN KHÁC</w:t>
      </w:r>
      <w:r w:rsidR="003E0DEE" w:rsidRPr="00845946">
        <w:rPr>
          <w:rFonts w:ascii="Times New Roman" w:hAnsi="Times New Roman"/>
          <w:b/>
          <w:sz w:val="24"/>
          <w:szCs w:val="24"/>
          <w:lang w:val="nl-NL"/>
        </w:rPr>
        <w:tab/>
      </w:r>
    </w:p>
    <w:p w14:paraId="2F279451" w14:textId="3F1E221D" w:rsidR="00845946" w:rsidRPr="00893024" w:rsidRDefault="00C23979" w:rsidP="00893024">
      <w:pPr>
        <w:shd w:val="clear" w:color="auto" w:fill="FFFFFF"/>
        <w:tabs>
          <w:tab w:val="left" w:pos="540"/>
        </w:tabs>
        <w:spacing w:before="120" w:after="0"/>
        <w:jc w:val="both"/>
        <w:rPr>
          <w:rFonts w:ascii="Times New Roman" w:hAnsi="Times New Roman"/>
          <w:sz w:val="24"/>
          <w:szCs w:val="24"/>
          <w:lang w:val="nl-NL"/>
        </w:rPr>
      </w:pPr>
      <w:r w:rsidRPr="00845946">
        <w:rPr>
          <w:rFonts w:ascii="Times New Roman" w:hAnsi="Times New Roman"/>
          <w:sz w:val="24"/>
          <w:szCs w:val="24"/>
          <w:lang w:val="nl-NL"/>
        </w:rPr>
        <w:t>Quỹ không có nhân viên và được quản lý bởi Công ty T</w:t>
      </w:r>
      <w:r w:rsidR="004B07B4" w:rsidRPr="00845946">
        <w:rPr>
          <w:rFonts w:ascii="Times New Roman" w:hAnsi="Times New Roman"/>
          <w:sz w:val="24"/>
          <w:szCs w:val="24"/>
          <w:lang w:val="nl-NL"/>
        </w:rPr>
        <w:t>rách Nhiệm Hữu Hạn Một Thành Viên</w:t>
      </w:r>
      <w:r w:rsidRPr="00845946">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845946">
        <w:rPr>
          <w:rFonts w:ascii="Times New Roman" w:hAnsi="Times New Roman"/>
          <w:sz w:val="24"/>
          <w:szCs w:val="24"/>
          <w:lang w:val="nl-NL"/>
        </w:rPr>
        <w:t>.</w:t>
      </w:r>
    </w:p>
    <w:p w14:paraId="5EB754D9" w14:textId="7EE8418C" w:rsidR="003E0DEE" w:rsidRPr="00845946"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845946">
        <w:rPr>
          <w:rFonts w:ascii="Times New Roman" w:hAnsi="Times New Roman"/>
          <w:b/>
          <w:sz w:val="24"/>
          <w:szCs w:val="24"/>
          <w:lang w:val="nl-NL"/>
        </w:rPr>
        <w:t>Nhân sự Ban điều hành công ty Quản lý quỹ gồm có:</w:t>
      </w:r>
    </w:p>
    <w:p w14:paraId="46C248F6" w14:textId="77777777" w:rsidR="002B3684" w:rsidRPr="00845946"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10223" w:type="dxa"/>
        <w:tblInd w:w="108" w:type="dxa"/>
        <w:tblLook w:val="04A0" w:firstRow="1" w:lastRow="0" w:firstColumn="1" w:lastColumn="0" w:noHBand="0" w:noVBand="1"/>
      </w:tblPr>
      <w:tblGrid>
        <w:gridCol w:w="1703"/>
        <w:gridCol w:w="1248"/>
        <w:gridCol w:w="1248"/>
        <w:gridCol w:w="6024"/>
      </w:tblGrid>
      <w:tr w:rsidR="005C4036" w:rsidRPr="00845946" w14:paraId="4FEA7A80" w14:textId="77777777" w:rsidTr="00845946">
        <w:trPr>
          <w:trHeight w:val="586"/>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5E05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Họ và tên</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32BE3F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14:paraId="15D622D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024" w:type="dxa"/>
            <w:tcBorders>
              <w:top w:val="single" w:sz="4" w:space="0" w:color="auto"/>
              <w:left w:val="nil"/>
              <w:bottom w:val="single" w:sz="4" w:space="0" w:color="auto"/>
              <w:right w:val="single" w:sz="4" w:space="0" w:color="auto"/>
            </w:tcBorders>
            <w:shd w:val="clear" w:color="auto" w:fill="auto"/>
            <w:noWrap/>
            <w:vAlign w:val="center"/>
            <w:hideMark/>
          </w:tcPr>
          <w:p w14:paraId="5303B2AD"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5C4036" w:rsidRPr="00845946" w14:paraId="30FE364B" w14:textId="77777777" w:rsidTr="00845946">
        <w:trPr>
          <w:trHeight w:val="3981"/>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31F738C5" w14:textId="305C6276" w:rsidR="00202172" w:rsidRPr="00845946" w:rsidRDefault="00174E8C" w:rsidP="00444BF6">
            <w:pPr>
              <w:jc w:val="center"/>
              <w:rPr>
                <w:rFonts w:ascii="Times New Roman" w:hAnsi="Times New Roman"/>
                <w:sz w:val="24"/>
                <w:szCs w:val="24"/>
                <w:lang w:val="nl-NL"/>
              </w:rPr>
            </w:pPr>
            <w:r w:rsidRPr="00845946">
              <w:rPr>
                <w:rFonts w:ascii="Times New Roman" w:hAnsi="Times New Roman"/>
                <w:sz w:val="24"/>
                <w:szCs w:val="24"/>
                <w:lang w:val="nl-NL"/>
              </w:rPr>
              <w:t>Nguyễn Hồng Sơn</w:t>
            </w:r>
          </w:p>
        </w:tc>
        <w:tc>
          <w:tcPr>
            <w:tcW w:w="1248" w:type="dxa"/>
            <w:tcBorders>
              <w:top w:val="nil"/>
              <w:left w:val="nil"/>
              <w:bottom w:val="single" w:sz="4" w:space="0" w:color="auto"/>
              <w:right w:val="single" w:sz="4" w:space="0" w:color="auto"/>
            </w:tcBorders>
            <w:shd w:val="clear" w:color="auto" w:fill="auto"/>
            <w:vAlign w:val="center"/>
            <w:hideMark/>
          </w:tcPr>
          <w:p w14:paraId="7449BAA0" w14:textId="18D7B18E" w:rsidR="00202172" w:rsidRPr="00845946" w:rsidRDefault="008A1716" w:rsidP="00444BF6">
            <w:pPr>
              <w:jc w:val="center"/>
              <w:rPr>
                <w:rFonts w:ascii="Times New Roman" w:hAnsi="Times New Roman"/>
                <w:sz w:val="24"/>
                <w:szCs w:val="24"/>
                <w:lang w:val="nl-NL"/>
              </w:rPr>
            </w:pPr>
            <w:r w:rsidRPr="00845946">
              <w:rPr>
                <w:rFonts w:ascii="Times New Roman" w:hAnsi="Times New Roman"/>
                <w:sz w:val="24"/>
                <w:szCs w:val="24"/>
                <w:lang w:val="nl-NL"/>
              </w:rPr>
              <w:t>C</w:t>
            </w:r>
            <w:r w:rsidR="00202172" w:rsidRPr="00845946">
              <w:rPr>
                <w:rFonts w:ascii="Times New Roman" w:hAnsi="Times New Roman"/>
                <w:sz w:val="24"/>
                <w:szCs w:val="24"/>
                <w:lang w:val="nl-NL"/>
              </w:rPr>
              <w:t>hủ tịch Công ty</w:t>
            </w:r>
          </w:p>
        </w:tc>
        <w:tc>
          <w:tcPr>
            <w:tcW w:w="1248" w:type="dxa"/>
            <w:tcBorders>
              <w:top w:val="nil"/>
              <w:left w:val="nil"/>
              <w:bottom w:val="single" w:sz="4" w:space="0" w:color="auto"/>
              <w:right w:val="single" w:sz="4" w:space="0" w:color="auto"/>
            </w:tcBorders>
            <w:shd w:val="clear" w:color="auto" w:fill="auto"/>
            <w:vAlign w:val="center"/>
            <w:hideMark/>
          </w:tcPr>
          <w:p w14:paraId="4B897CE4"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CPA</w:t>
            </w:r>
          </w:p>
        </w:tc>
        <w:tc>
          <w:tcPr>
            <w:tcW w:w="6024" w:type="dxa"/>
            <w:tcBorders>
              <w:top w:val="nil"/>
              <w:left w:val="nil"/>
              <w:bottom w:val="single" w:sz="4" w:space="0" w:color="auto"/>
              <w:right w:val="single" w:sz="4" w:space="0" w:color="auto"/>
            </w:tcBorders>
            <w:shd w:val="clear" w:color="auto" w:fill="auto"/>
            <w:vAlign w:val="center"/>
            <w:hideMark/>
          </w:tcPr>
          <w:p w14:paraId="74891EE7" w14:textId="6C973F05"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1991</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1992</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Kế</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tổng</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hợp</w:t>
            </w:r>
            <w:proofErr w:type="spellEnd"/>
            <w:r w:rsidR="00AE3D2A" w:rsidRPr="00845946">
              <w:rPr>
                <w:rFonts w:ascii="Times New Roman" w:hAnsi="Times New Roman"/>
                <w:sz w:val="24"/>
                <w:szCs w:val="24"/>
              </w:rPr>
              <w:t xml:space="preserve"> - </w:t>
            </w:r>
            <w:proofErr w:type="spellStart"/>
            <w:r w:rsidR="00AE3D2A" w:rsidRPr="00845946">
              <w:rPr>
                <w:rFonts w:ascii="Times New Roman" w:hAnsi="Times New Roman"/>
                <w:sz w:val="24"/>
                <w:szCs w:val="24"/>
              </w:rPr>
              <w:t>Xí</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nghiệp</w:t>
            </w:r>
            <w:proofErr w:type="spellEnd"/>
            <w:r w:rsidR="00AE3D2A" w:rsidRPr="00845946">
              <w:rPr>
                <w:rFonts w:ascii="Times New Roman" w:hAnsi="Times New Roman"/>
                <w:sz w:val="24"/>
                <w:szCs w:val="24"/>
              </w:rPr>
              <w:t xml:space="preserve"> Quốc doanh In </w:t>
            </w:r>
            <w:proofErr w:type="spellStart"/>
            <w:r w:rsidR="00AE3D2A" w:rsidRPr="00845946">
              <w:rPr>
                <w:rFonts w:ascii="Times New Roman" w:hAnsi="Times New Roman"/>
                <w:sz w:val="24"/>
                <w:szCs w:val="24"/>
              </w:rPr>
              <w:t>số</w:t>
            </w:r>
            <w:proofErr w:type="spellEnd"/>
            <w:r w:rsidR="00AE3D2A" w:rsidRPr="00845946">
              <w:rPr>
                <w:rFonts w:ascii="Times New Roman" w:hAnsi="Times New Roman"/>
                <w:sz w:val="24"/>
                <w:szCs w:val="24"/>
              </w:rPr>
              <w:t xml:space="preserve"> 2</w:t>
            </w:r>
          </w:p>
          <w:p w14:paraId="4B736938" w14:textId="6BA7CCC7"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1992</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Quản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lý</w:t>
            </w:r>
            <w:proofErr w:type="spellEnd"/>
            <w:r w:rsidR="00AE3D2A" w:rsidRPr="00845946">
              <w:rPr>
                <w:rFonts w:ascii="Times New Roman" w:hAnsi="Times New Roman"/>
                <w:sz w:val="24"/>
                <w:szCs w:val="24"/>
              </w:rPr>
              <w:t xml:space="preserve"> Kho</w:t>
            </w:r>
            <w:r w:rsidR="00AE3D2A"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 xml:space="preserve"> </w:t>
            </w:r>
            <w:r w:rsidR="00AE3D2A" w:rsidRPr="00845946">
              <w:rPr>
                <w:rFonts w:ascii="Times New Roman" w:hAnsi="Times New Roman"/>
                <w:sz w:val="24"/>
                <w:szCs w:val="24"/>
              </w:rPr>
              <w:t>Công ty Ajinomoto Việt Nam</w:t>
            </w:r>
          </w:p>
          <w:p w14:paraId="2598795D" w14:textId="242D8390" w:rsidR="005C4036" w:rsidRPr="00845946" w:rsidRDefault="00202172" w:rsidP="00444BF6">
            <w:pPr>
              <w:spacing w:after="0"/>
              <w:jc w:val="both"/>
              <w:rPr>
                <w:rFonts w:ascii="Times New Roman" w:hAnsi="Times New Roman"/>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1998</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6574AD77" w14:textId="2BFAC94F"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1998</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FA33F0"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00</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KPMG Peat Marwick</w:t>
            </w:r>
          </w:p>
          <w:p w14:paraId="482F8F6A" w14:textId="36819D19" w:rsidR="005C4036"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Từ 2</w:t>
            </w:r>
            <w:r w:rsidR="00AE3D2A" w:rsidRPr="00845946">
              <w:rPr>
                <w:rFonts w:ascii="Times New Roman" w:hAnsi="Times New Roman"/>
                <w:sz w:val="24"/>
                <w:szCs w:val="24"/>
                <w:lang w:val="nl-NL" w:eastAsia="en-SG"/>
              </w:rPr>
              <w:t>000</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20</w:t>
            </w:r>
            <w:r w:rsidR="00AE3D2A" w:rsidRPr="00845946">
              <w:rPr>
                <w:rFonts w:ascii="Times New Roman" w:hAnsi="Times New Roman"/>
                <w:sz w:val="24"/>
                <w:szCs w:val="24"/>
                <w:lang w:val="nl-NL" w:eastAsia="en-SG"/>
              </w:rPr>
              <w:t>03</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Kiểm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toán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viên</w:t>
            </w:r>
            <w:proofErr w:type="spellEnd"/>
            <w:r w:rsidR="00AE3D2A" w:rsidRPr="00845946">
              <w:rPr>
                <w:rFonts w:ascii="Times New Roman" w:hAnsi="Times New Roman"/>
                <w:sz w:val="24"/>
                <w:szCs w:val="24"/>
              </w:rPr>
              <w:t xml:space="preserve"> - Công ty TNHH KPMG Việt Nam</w:t>
            </w:r>
          </w:p>
          <w:p w14:paraId="2F42B6E2" w14:textId="7ED7B2C8" w:rsidR="00202172" w:rsidRPr="00845946" w:rsidRDefault="00202172" w:rsidP="00444BF6">
            <w:pPr>
              <w:spacing w:after="0"/>
              <w:jc w:val="both"/>
              <w:rPr>
                <w:rFonts w:ascii="Times New Roman" w:hAnsi="Times New Roman"/>
                <w:color w:val="000000"/>
                <w:sz w:val="24"/>
                <w:szCs w:val="24"/>
                <w:lang w:val="nl-NL" w:eastAsia="en-SG"/>
              </w:rPr>
            </w:pPr>
            <w:r w:rsidRPr="00845946">
              <w:rPr>
                <w:rFonts w:ascii="Times New Roman" w:hAnsi="Times New Roman"/>
                <w:sz w:val="24"/>
                <w:szCs w:val="24"/>
                <w:lang w:val="nl-NL" w:eastAsia="en-SG"/>
              </w:rPr>
              <w:t xml:space="preserve">Từ </w:t>
            </w:r>
            <w:r w:rsidR="00AE3D2A" w:rsidRPr="00845946">
              <w:rPr>
                <w:rFonts w:ascii="Times New Roman" w:hAnsi="Times New Roman"/>
                <w:sz w:val="24"/>
                <w:szCs w:val="24"/>
                <w:lang w:val="nl-NL" w:eastAsia="en-SG"/>
              </w:rPr>
              <w:t>2003</w:t>
            </w:r>
            <w:r w:rsidR="00B85125" w:rsidRPr="00845946">
              <w:rPr>
                <w:rFonts w:ascii="Times New Roman" w:hAnsi="Times New Roman"/>
                <w:sz w:val="24"/>
                <w:szCs w:val="24"/>
                <w:lang w:val="nl-NL" w:eastAsia="en-SG"/>
              </w:rPr>
              <w:t xml:space="preserve"> </w:t>
            </w:r>
            <w:r w:rsidRPr="00845946">
              <w:rPr>
                <w:rFonts w:ascii="Times New Roman" w:hAnsi="Times New Roman"/>
                <w:sz w:val="24"/>
                <w:szCs w:val="24"/>
                <w:lang w:val="nl-NL" w:eastAsia="en-SG"/>
              </w:rPr>
              <w:t>-</w:t>
            </w:r>
            <w:r w:rsidR="00B85125" w:rsidRPr="00845946">
              <w:rPr>
                <w:rFonts w:ascii="Times New Roman" w:hAnsi="Times New Roman"/>
                <w:sz w:val="24"/>
                <w:szCs w:val="24"/>
                <w:lang w:val="nl-NL" w:eastAsia="en-SG"/>
              </w:rPr>
              <w:t xml:space="preserve"> </w:t>
            </w:r>
            <w:r w:rsidR="00AE3D2A" w:rsidRPr="00845946">
              <w:rPr>
                <w:rFonts w:ascii="Times New Roman" w:hAnsi="Times New Roman"/>
                <w:sz w:val="24"/>
                <w:szCs w:val="24"/>
                <w:lang w:val="nl-NL" w:eastAsia="en-SG"/>
              </w:rPr>
              <w:t>2005</w:t>
            </w:r>
            <w:r w:rsidRPr="00845946">
              <w:rPr>
                <w:rFonts w:ascii="Times New Roman" w:hAnsi="Times New Roman"/>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Tài</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Cargill Việt Nam</w:t>
            </w:r>
          </w:p>
          <w:p w14:paraId="5CB9164D" w14:textId="4A949038"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w:t>
            </w:r>
            <w:r w:rsidR="00AE3D2A" w:rsidRPr="00845946">
              <w:rPr>
                <w:rFonts w:ascii="Times New Roman" w:hAnsi="Times New Roman"/>
                <w:color w:val="000000"/>
                <w:sz w:val="24"/>
                <w:szCs w:val="24"/>
                <w:lang w:val="nl-NL" w:eastAsia="en-SG"/>
              </w:rPr>
              <w:t>2005</w:t>
            </w:r>
            <w:r w:rsidRPr="00845946">
              <w:rPr>
                <w:rFonts w:ascii="Times New Roman" w:hAnsi="Times New Roman"/>
                <w:color w:val="000000"/>
                <w:sz w:val="24"/>
                <w:szCs w:val="24"/>
                <w:lang w:val="nl-NL" w:eastAsia="en-SG"/>
              </w:rPr>
              <w:t xml:space="preserve"> - </w:t>
            </w:r>
            <w:r w:rsidR="00AE3D2A" w:rsidRPr="00845946">
              <w:rPr>
                <w:rFonts w:ascii="Times New Roman" w:hAnsi="Times New Roman"/>
                <w:color w:val="000000"/>
                <w:sz w:val="24"/>
                <w:szCs w:val="24"/>
                <w:lang w:val="nl-NL" w:eastAsia="en-SG"/>
              </w:rPr>
              <w:t>2014</w:t>
            </w:r>
            <w:r w:rsidRPr="00845946">
              <w:rPr>
                <w:rFonts w:ascii="Times New Roman" w:hAnsi="Times New Roman"/>
                <w:color w:val="000000"/>
                <w:sz w:val="24"/>
                <w:szCs w:val="24"/>
                <w:lang w:val="nl-NL" w:eastAsia="en-SG"/>
              </w:rPr>
              <w:t xml:space="preserve">: </w:t>
            </w:r>
            <w:proofErr w:type="spellStart"/>
            <w:r w:rsidR="00AE3D2A" w:rsidRPr="00845946">
              <w:rPr>
                <w:rFonts w:ascii="Times New Roman" w:hAnsi="Times New Roman"/>
                <w:sz w:val="24"/>
                <w:szCs w:val="24"/>
              </w:rPr>
              <w:t>Giám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đốc</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Tài</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chính</w:t>
            </w:r>
            <w:proofErr w:type="spellEnd"/>
            <w:r w:rsidR="00AE3D2A" w:rsidRPr="00845946">
              <w:rPr>
                <w:rFonts w:ascii="Times New Roman" w:hAnsi="Times New Roman"/>
                <w:sz w:val="24"/>
                <w:szCs w:val="24"/>
              </w:rPr>
              <w:t xml:space="preserve"> - Công ty TNHH Bảo </w:t>
            </w:r>
            <w:proofErr w:type="spellStart"/>
            <w:r w:rsidR="00AE3D2A" w:rsidRPr="00845946">
              <w:rPr>
                <w:rFonts w:ascii="Times New Roman" w:hAnsi="Times New Roman"/>
                <w:sz w:val="24"/>
                <w:szCs w:val="24"/>
              </w:rPr>
              <w:t>hiểm</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Nhân</w:t>
            </w:r>
            <w:proofErr w:type="spellEnd"/>
            <w:r w:rsidR="00AE3D2A" w:rsidRPr="00845946">
              <w:rPr>
                <w:rFonts w:ascii="Times New Roman" w:hAnsi="Times New Roman"/>
                <w:sz w:val="24"/>
                <w:szCs w:val="24"/>
              </w:rPr>
              <w:t xml:space="preserve"> </w:t>
            </w:r>
            <w:proofErr w:type="spellStart"/>
            <w:r w:rsidR="00AE3D2A" w:rsidRPr="00845946">
              <w:rPr>
                <w:rFonts w:ascii="Times New Roman" w:hAnsi="Times New Roman"/>
                <w:sz w:val="24"/>
                <w:szCs w:val="24"/>
              </w:rPr>
              <w:t>thọ</w:t>
            </w:r>
            <w:proofErr w:type="spellEnd"/>
            <w:r w:rsidR="00AE3D2A" w:rsidRPr="00845946">
              <w:rPr>
                <w:rFonts w:ascii="Times New Roman" w:hAnsi="Times New Roman"/>
                <w:sz w:val="24"/>
                <w:szCs w:val="24"/>
              </w:rPr>
              <w:t xml:space="preserve"> Chubb Việt Nam</w:t>
            </w:r>
          </w:p>
          <w:p w14:paraId="457E43D5" w14:textId="4F09A5F4" w:rsidR="00907CE6" w:rsidRPr="00845946" w:rsidRDefault="00907CE6"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 xml:space="preserve">Từ </w:t>
            </w:r>
            <w:r w:rsidR="00AE3D2A" w:rsidRPr="00845946">
              <w:rPr>
                <w:rFonts w:ascii="Times New Roman" w:hAnsi="Times New Roman"/>
                <w:sz w:val="24"/>
                <w:szCs w:val="24"/>
                <w:lang w:val="nl-NL"/>
              </w:rPr>
              <w:t>2013</w:t>
            </w:r>
            <w:r w:rsidR="00FA33F0"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2019</w:t>
            </w:r>
            <w:r w:rsidRPr="00845946">
              <w:rPr>
                <w:rFonts w:ascii="Times New Roman" w:hAnsi="Times New Roman"/>
                <w:sz w:val="24"/>
                <w:szCs w:val="24"/>
                <w:lang w:val="nl-NL"/>
              </w:rPr>
              <w:t xml:space="preserve">: </w:t>
            </w:r>
            <w:r w:rsidR="00AE3D2A" w:rsidRPr="00845946">
              <w:rPr>
                <w:rFonts w:ascii="Times New Roman" w:hAnsi="Times New Roman"/>
                <w:sz w:val="24"/>
                <w:szCs w:val="24"/>
                <w:lang w:val="nl-NL"/>
              </w:rPr>
              <w:t xml:space="preserve">Phó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p w14:paraId="5FF07582" w14:textId="43884A72"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 xml:space="preserve">Từ 2014 - 2019: </w:t>
            </w:r>
            <w:proofErr w:type="spellStart"/>
            <w:r w:rsidRPr="00845946">
              <w:rPr>
                <w:rFonts w:ascii="Times New Roman" w:hAnsi="Times New Roman"/>
                <w:sz w:val="24"/>
                <w:szCs w:val="24"/>
              </w:rPr>
              <w:t>Phó</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Tổng</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Phụ</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trách</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Tài</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chính</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26D8DB63" w14:textId="1F87E134" w:rsidR="00AE3D2A" w:rsidRPr="00845946" w:rsidRDefault="00AE3D2A" w:rsidP="00AE3D2A">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2019</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w:t>
            </w:r>
            <w:r w:rsidR="007B261B" w:rsidRPr="00845946">
              <w:rPr>
                <w:rFonts w:ascii="Times New Roman" w:hAnsi="Times New Roman"/>
                <w:color w:val="000000"/>
                <w:sz w:val="24"/>
                <w:szCs w:val="24"/>
                <w:lang w:val="nl-NL" w:eastAsia="en-SG"/>
              </w:rPr>
              <w:t xml:space="preserve"> </w:t>
            </w:r>
            <w:r w:rsidRPr="00845946">
              <w:rPr>
                <w:rFonts w:ascii="Times New Roman" w:hAnsi="Times New Roman"/>
                <w:color w:val="000000"/>
                <w:sz w:val="24"/>
                <w:szCs w:val="24"/>
                <w:lang w:val="nl-NL" w:eastAsia="en-SG"/>
              </w:rPr>
              <w:t xml:space="preserve">2021: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Chubb Life Insurance Myanmar Limited</w:t>
            </w:r>
          </w:p>
          <w:p w14:paraId="686532AA" w14:textId="0D7E3DB1" w:rsidR="00AE3D2A" w:rsidRPr="00845946" w:rsidRDefault="00AE3D2A" w:rsidP="00AE3D2A">
            <w:pPr>
              <w:spacing w:after="0"/>
              <w:jc w:val="both"/>
              <w:rPr>
                <w:rFonts w:ascii="Times New Roman" w:hAnsi="Times New Roman"/>
                <w:sz w:val="24"/>
                <w:szCs w:val="24"/>
              </w:rPr>
            </w:pPr>
            <w:r w:rsidRPr="00845946">
              <w:rPr>
                <w:rFonts w:ascii="Times New Roman" w:hAnsi="Times New Roman"/>
                <w:color w:val="000000"/>
                <w:sz w:val="24"/>
                <w:szCs w:val="24"/>
                <w:lang w:val="nl-NL" w:eastAsia="en-SG"/>
              </w:rPr>
              <w:t xml:space="preserve">Từ 2021 - nay: Tổng </w:t>
            </w:r>
            <w:proofErr w:type="spellStart"/>
            <w:r w:rsidRPr="00845946">
              <w:rPr>
                <w:rFonts w:ascii="Times New Roman" w:hAnsi="Times New Roman"/>
                <w:sz w:val="24"/>
                <w:szCs w:val="24"/>
              </w:rPr>
              <w:t>Giám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đốc</w:t>
            </w:r>
            <w:proofErr w:type="spellEnd"/>
            <w:r w:rsidRPr="00845946">
              <w:rPr>
                <w:rFonts w:ascii="Times New Roman" w:hAnsi="Times New Roman"/>
                <w:sz w:val="24"/>
                <w:szCs w:val="24"/>
              </w:rPr>
              <w:t xml:space="preserve"> - Công ty TNHH Bảo </w:t>
            </w:r>
            <w:proofErr w:type="spellStart"/>
            <w:r w:rsidRPr="00845946">
              <w:rPr>
                <w:rFonts w:ascii="Times New Roman" w:hAnsi="Times New Roman"/>
                <w:sz w:val="24"/>
                <w:szCs w:val="24"/>
              </w:rPr>
              <w:t>hiểm</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Nhân</w:t>
            </w:r>
            <w:proofErr w:type="spellEnd"/>
            <w:r w:rsidRPr="00845946">
              <w:rPr>
                <w:rFonts w:ascii="Times New Roman" w:hAnsi="Times New Roman"/>
                <w:sz w:val="24"/>
                <w:szCs w:val="24"/>
              </w:rPr>
              <w:t xml:space="preserve"> </w:t>
            </w:r>
            <w:proofErr w:type="spellStart"/>
            <w:r w:rsidRPr="00845946">
              <w:rPr>
                <w:rFonts w:ascii="Times New Roman" w:hAnsi="Times New Roman"/>
                <w:sz w:val="24"/>
                <w:szCs w:val="24"/>
              </w:rPr>
              <w:t>thọ</w:t>
            </w:r>
            <w:proofErr w:type="spellEnd"/>
            <w:r w:rsidRPr="00845946">
              <w:rPr>
                <w:rFonts w:ascii="Times New Roman" w:hAnsi="Times New Roman"/>
                <w:sz w:val="24"/>
                <w:szCs w:val="24"/>
              </w:rPr>
              <w:t xml:space="preserve"> Chubb Việt Nam</w:t>
            </w:r>
          </w:p>
          <w:p w14:paraId="639D9F89" w14:textId="3AD74BC7" w:rsidR="00AE3D2A" w:rsidRPr="00845946" w:rsidRDefault="00AE3D2A" w:rsidP="00444BF6">
            <w:pPr>
              <w:spacing w:after="0"/>
              <w:jc w:val="both"/>
              <w:rPr>
                <w:rFonts w:ascii="Times New Roman" w:hAnsi="Times New Roman"/>
                <w:sz w:val="24"/>
                <w:szCs w:val="24"/>
                <w:lang w:val="nl-NL"/>
              </w:rPr>
            </w:pPr>
            <w:r w:rsidRPr="00845946">
              <w:rPr>
                <w:rFonts w:ascii="Times New Roman" w:hAnsi="Times New Roman"/>
                <w:color w:val="000000"/>
                <w:sz w:val="24"/>
                <w:szCs w:val="24"/>
                <w:lang w:val="nl-NL" w:eastAsia="en-SG"/>
              </w:rPr>
              <w:t>Từ 20</w:t>
            </w:r>
            <w:r w:rsidR="00265912" w:rsidRPr="00845946">
              <w:rPr>
                <w:rFonts w:ascii="Times New Roman" w:hAnsi="Times New Roman"/>
                <w:color w:val="000000"/>
                <w:sz w:val="24"/>
                <w:szCs w:val="24"/>
                <w:lang w:val="nl-NL" w:eastAsia="en-SG"/>
              </w:rPr>
              <w:t>24</w:t>
            </w:r>
            <w:r w:rsidRPr="00845946">
              <w:rPr>
                <w:rFonts w:ascii="Times New Roman" w:hAnsi="Times New Roman"/>
                <w:color w:val="000000"/>
                <w:sz w:val="24"/>
                <w:szCs w:val="24"/>
                <w:lang w:val="nl-NL" w:eastAsia="en-SG"/>
              </w:rPr>
              <w:t xml:space="preserve"> </w:t>
            </w:r>
            <w:r w:rsidR="007B261B" w:rsidRPr="00845946">
              <w:rPr>
                <w:rFonts w:ascii="Times New Roman" w:hAnsi="Times New Roman"/>
                <w:color w:val="000000"/>
                <w:sz w:val="24"/>
                <w:szCs w:val="24"/>
                <w:lang w:val="nl-NL" w:eastAsia="en-SG"/>
              </w:rPr>
              <w:t>-</w:t>
            </w:r>
            <w:r w:rsidRPr="00845946">
              <w:rPr>
                <w:rFonts w:ascii="Times New Roman" w:hAnsi="Times New Roman"/>
                <w:color w:val="000000"/>
                <w:sz w:val="24"/>
                <w:szCs w:val="24"/>
                <w:lang w:val="nl-NL" w:eastAsia="en-SG"/>
              </w:rPr>
              <w:t xml:space="preserve"> nay: </w:t>
            </w:r>
            <w:r w:rsidRPr="00845946">
              <w:rPr>
                <w:rFonts w:ascii="Times New Roman" w:hAnsi="Times New Roman"/>
                <w:sz w:val="24"/>
                <w:szCs w:val="24"/>
                <w:lang w:val="nl-NL"/>
              </w:rPr>
              <w:t xml:space="preserve">Chủ tịch </w:t>
            </w:r>
            <w:r w:rsidRPr="00845946">
              <w:rPr>
                <w:rFonts w:ascii="Times New Roman" w:hAnsi="Times New Roman"/>
                <w:color w:val="000000"/>
                <w:sz w:val="24"/>
                <w:szCs w:val="24"/>
                <w:lang w:val="nl-NL" w:eastAsia="en-SG"/>
              </w:rPr>
              <w:t xml:space="preserve">- </w:t>
            </w:r>
            <w:r w:rsidRPr="00845946">
              <w:rPr>
                <w:rFonts w:ascii="Times New Roman" w:hAnsi="Times New Roman"/>
                <w:sz w:val="24"/>
                <w:szCs w:val="24"/>
                <w:lang w:val="nl-NL"/>
              </w:rPr>
              <w:t>Công ty TNHH MTV Quản lý Quỹ Chubb Life</w:t>
            </w:r>
          </w:p>
        </w:tc>
      </w:tr>
      <w:tr w:rsidR="005C4036" w:rsidRPr="00845946" w14:paraId="488E7BCC" w14:textId="77777777" w:rsidTr="00845946">
        <w:trPr>
          <w:trHeight w:val="2756"/>
        </w:trPr>
        <w:tc>
          <w:tcPr>
            <w:tcW w:w="1703" w:type="dxa"/>
            <w:tcBorders>
              <w:top w:val="nil"/>
              <w:left w:val="single" w:sz="4" w:space="0" w:color="auto"/>
              <w:bottom w:val="single" w:sz="4" w:space="0" w:color="auto"/>
              <w:right w:val="single" w:sz="4" w:space="0" w:color="auto"/>
            </w:tcBorders>
            <w:shd w:val="clear" w:color="auto" w:fill="auto"/>
            <w:vAlign w:val="center"/>
            <w:hideMark/>
          </w:tcPr>
          <w:p w14:paraId="2375A7D3" w14:textId="77777777" w:rsidR="00202172" w:rsidRPr="00845946" w:rsidRDefault="000F3682" w:rsidP="00444BF6">
            <w:pPr>
              <w:jc w:val="center"/>
              <w:rPr>
                <w:rFonts w:ascii="Times New Roman" w:hAnsi="Times New Roman"/>
                <w:sz w:val="24"/>
                <w:szCs w:val="24"/>
                <w:lang w:val="nl-NL"/>
              </w:rPr>
            </w:pPr>
            <w:r w:rsidRPr="00845946">
              <w:rPr>
                <w:rFonts w:ascii="Times New Roman" w:hAnsi="Times New Roman"/>
                <w:sz w:val="24"/>
                <w:szCs w:val="24"/>
                <w:lang w:val="nl-NL"/>
              </w:rPr>
              <w:lastRenderedPageBreak/>
              <w:t>Đặng Thị Hồng Loan</w:t>
            </w:r>
          </w:p>
        </w:tc>
        <w:tc>
          <w:tcPr>
            <w:tcW w:w="1248" w:type="dxa"/>
            <w:tcBorders>
              <w:top w:val="nil"/>
              <w:left w:val="nil"/>
              <w:bottom w:val="single" w:sz="4" w:space="0" w:color="auto"/>
              <w:right w:val="single" w:sz="4" w:space="0" w:color="auto"/>
            </w:tcBorders>
            <w:shd w:val="clear" w:color="auto" w:fill="auto"/>
            <w:vAlign w:val="center"/>
            <w:hideMark/>
          </w:tcPr>
          <w:p w14:paraId="73B4158D"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Giám đốc Công ty</w:t>
            </w:r>
          </w:p>
        </w:tc>
        <w:tc>
          <w:tcPr>
            <w:tcW w:w="1248" w:type="dxa"/>
            <w:tcBorders>
              <w:top w:val="nil"/>
              <w:left w:val="nil"/>
              <w:bottom w:val="single" w:sz="4" w:space="0" w:color="auto"/>
              <w:right w:val="single" w:sz="4" w:space="0" w:color="auto"/>
            </w:tcBorders>
            <w:shd w:val="clear" w:color="auto" w:fill="auto"/>
            <w:vAlign w:val="center"/>
            <w:hideMark/>
          </w:tcPr>
          <w:p w14:paraId="5EABC280"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CFA</w:t>
            </w:r>
          </w:p>
        </w:tc>
        <w:tc>
          <w:tcPr>
            <w:tcW w:w="6024" w:type="dxa"/>
            <w:tcBorders>
              <w:top w:val="nil"/>
              <w:left w:val="nil"/>
              <w:bottom w:val="single" w:sz="4" w:space="0" w:color="auto"/>
              <w:right w:val="single" w:sz="4" w:space="0" w:color="auto"/>
            </w:tcBorders>
            <w:shd w:val="clear" w:color="auto" w:fill="auto"/>
            <w:vAlign w:val="center"/>
            <w:hideMark/>
          </w:tcPr>
          <w:p w14:paraId="7E518123" w14:textId="6279CDD1" w:rsidR="005C4036" w:rsidRPr="00845946" w:rsidRDefault="00202172" w:rsidP="00444BF6">
            <w:pPr>
              <w:spacing w:after="0"/>
              <w:jc w:val="both"/>
              <w:rPr>
                <w:rFonts w:ascii="Times New Roman" w:hAnsi="Times New Roman"/>
                <w:sz w:val="24"/>
                <w:szCs w:val="24"/>
                <w:lang w:val="nl-NL"/>
              </w:rPr>
            </w:pPr>
            <w:r w:rsidRPr="00845946">
              <w:rPr>
                <w:rFonts w:ascii="Times New Roman" w:hAnsi="Times New Roman"/>
                <w:sz w:val="24"/>
                <w:szCs w:val="24"/>
                <w:lang w:val="nl-NL"/>
              </w:rPr>
              <w:t>Từ 20</w:t>
            </w:r>
            <w:r w:rsidR="00841CF8" w:rsidRPr="00845946">
              <w:rPr>
                <w:rFonts w:ascii="Times New Roman" w:hAnsi="Times New Roman"/>
                <w:sz w:val="24"/>
                <w:szCs w:val="24"/>
                <w:lang w:val="nl-NL"/>
              </w:rPr>
              <w:t>10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w:t>
            </w:r>
            <w:r w:rsidR="00841CF8" w:rsidRPr="00845946">
              <w:rPr>
                <w:rFonts w:ascii="Times New Roman" w:hAnsi="Times New Roman"/>
                <w:sz w:val="24"/>
                <w:szCs w:val="24"/>
                <w:lang w:val="nl-NL"/>
              </w:rPr>
              <w:t>16</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 xml:space="preserve">Trưởng </w:t>
            </w:r>
            <w:r w:rsidR="00E0737C" w:rsidRPr="00845946">
              <w:rPr>
                <w:rFonts w:ascii="Times New Roman" w:hAnsi="Times New Roman"/>
                <w:sz w:val="24"/>
                <w:szCs w:val="24"/>
                <w:lang w:val="nl-NL"/>
              </w:rPr>
              <w:t>phòng cấp cao</w:t>
            </w:r>
            <w:r w:rsidR="00841CF8" w:rsidRPr="00845946">
              <w:rPr>
                <w:rFonts w:ascii="Times New Roman" w:hAnsi="Times New Roman"/>
                <w:sz w:val="24"/>
                <w:szCs w:val="24"/>
                <w:lang w:val="nl-NL"/>
              </w:rPr>
              <w:t xml:space="preserve"> Đầu tư và Ngân Quỹ Công ty Bảo hiểm nhân thọ Prudential Việt </w:t>
            </w:r>
            <w:r w:rsidR="00704BC3" w:rsidRPr="00845946">
              <w:rPr>
                <w:rFonts w:ascii="Times New Roman" w:hAnsi="Times New Roman"/>
                <w:sz w:val="24"/>
                <w:szCs w:val="24"/>
                <w:lang w:val="nl-NL"/>
              </w:rPr>
              <w:t>N</w:t>
            </w:r>
            <w:r w:rsidR="00841CF8" w:rsidRPr="00845946">
              <w:rPr>
                <w:rFonts w:ascii="Times New Roman" w:hAnsi="Times New Roman"/>
                <w:sz w:val="24"/>
                <w:szCs w:val="24"/>
                <w:lang w:val="nl-NL"/>
              </w:rPr>
              <w:t>am</w:t>
            </w:r>
          </w:p>
          <w:p w14:paraId="17D41759" w14:textId="77777777" w:rsidR="00BD0161" w:rsidRPr="00845946" w:rsidRDefault="00202172" w:rsidP="00841CF8">
            <w:pPr>
              <w:spacing w:after="0"/>
              <w:jc w:val="both"/>
              <w:rPr>
                <w:rFonts w:ascii="Times New Roman" w:hAnsi="Times New Roman"/>
                <w:sz w:val="24"/>
                <w:szCs w:val="24"/>
                <w:lang w:val="nl-NL"/>
              </w:rPr>
            </w:pPr>
            <w:r w:rsidRPr="00845946">
              <w:rPr>
                <w:rFonts w:ascii="Times New Roman" w:hAnsi="Times New Roman"/>
                <w:sz w:val="24"/>
                <w:szCs w:val="24"/>
                <w:lang w:val="nl-NL"/>
              </w:rPr>
              <w:t>Từ 201</w:t>
            </w:r>
            <w:r w:rsidR="00841CF8" w:rsidRPr="00845946">
              <w:rPr>
                <w:rFonts w:ascii="Times New Roman" w:hAnsi="Times New Roman"/>
                <w:sz w:val="24"/>
                <w:szCs w:val="24"/>
                <w:lang w:val="nl-NL"/>
              </w:rPr>
              <w:t>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w:t>
            </w:r>
            <w:r w:rsidR="00841CF8" w:rsidRPr="00845946">
              <w:rPr>
                <w:rFonts w:ascii="Times New Roman" w:hAnsi="Times New Roman"/>
                <w:sz w:val="24"/>
                <w:szCs w:val="24"/>
                <w:lang w:val="nl-NL"/>
              </w:rPr>
              <w:t>9</w:t>
            </w:r>
            <w:r w:rsidRPr="00845946">
              <w:rPr>
                <w:rFonts w:ascii="Times New Roman" w:hAnsi="Times New Roman"/>
                <w:sz w:val="24"/>
                <w:szCs w:val="24"/>
                <w:lang w:val="nl-NL"/>
              </w:rPr>
              <w:t xml:space="preserve">: </w:t>
            </w:r>
            <w:r w:rsidR="00841CF8" w:rsidRPr="00845946">
              <w:rPr>
                <w:rFonts w:ascii="Times New Roman" w:hAnsi="Times New Roman"/>
                <w:sz w:val="24"/>
                <w:szCs w:val="24"/>
                <w:lang w:val="nl-NL"/>
              </w:rPr>
              <w:t>Phó Giám đốc bộ phận chiến lược xây dựng và phân tích Kế hoạch tài chính Công ty tài chính Prudential Việt Nam</w:t>
            </w:r>
          </w:p>
          <w:p w14:paraId="3E908015" w14:textId="14560BBD" w:rsidR="00202172" w:rsidRPr="00845946" w:rsidRDefault="00202172" w:rsidP="00CE2F8B">
            <w:pPr>
              <w:spacing w:after="0"/>
              <w:jc w:val="both"/>
              <w:rPr>
                <w:rFonts w:ascii="Times New Roman" w:hAnsi="Times New Roman"/>
                <w:sz w:val="24"/>
                <w:szCs w:val="24"/>
                <w:lang w:val="nl-NL"/>
              </w:rPr>
            </w:pPr>
            <w:r w:rsidRPr="00845946">
              <w:rPr>
                <w:rFonts w:ascii="Times New Roman" w:hAnsi="Times New Roman"/>
                <w:sz w:val="24"/>
                <w:szCs w:val="24"/>
                <w:lang w:val="nl-NL"/>
              </w:rPr>
              <w:t>Từ</w:t>
            </w:r>
            <w:r w:rsidR="00841CF8" w:rsidRPr="00845946">
              <w:rPr>
                <w:rFonts w:ascii="Times New Roman" w:hAnsi="Times New Roman"/>
                <w:sz w:val="24"/>
                <w:szCs w:val="24"/>
                <w:lang w:val="nl-NL"/>
              </w:rPr>
              <w:t xml:space="preserve"> 12/2019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nay: Giám đốc</w:t>
            </w:r>
            <w:r w:rsidR="00EC3E69"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 Công ty TNHH MTV Quản </w:t>
            </w:r>
            <w:r w:rsidR="00CE2F8B" w:rsidRPr="00845946">
              <w:rPr>
                <w:rFonts w:ascii="Times New Roman" w:hAnsi="Times New Roman"/>
                <w:sz w:val="24"/>
                <w:szCs w:val="24"/>
                <w:lang w:val="nl-NL"/>
              </w:rPr>
              <w:t>l</w:t>
            </w:r>
            <w:r w:rsidRPr="00845946">
              <w:rPr>
                <w:rFonts w:ascii="Times New Roman" w:hAnsi="Times New Roman"/>
                <w:sz w:val="24"/>
                <w:szCs w:val="24"/>
                <w:lang w:val="nl-NL"/>
              </w:rPr>
              <w:t>ý Quỹ Chubb Life</w:t>
            </w:r>
          </w:p>
        </w:tc>
      </w:tr>
    </w:tbl>
    <w:p w14:paraId="5CF69104" w14:textId="4899252D" w:rsidR="00444BF6" w:rsidRPr="00845946" w:rsidRDefault="00444BF6" w:rsidP="00B3750F">
      <w:pPr>
        <w:tabs>
          <w:tab w:val="left" w:pos="720"/>
        </w:tabs>
        <w:jc w:val="both"/>
        <w:rPr>
          <w:rFonts w:ascii="Times New Roman" w:hAnsi="Times New Roman"/>
          <w:sz w:val="24"/>
          <w:szCs w:val="24"/>
          <w:lang w:val="nl-NL"/>
        </w:rPr>
      </w:pPr>
      <w:r w:rsidRPr="00845946">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1597"/>
        <w:gridCol w:w="1170"/>
        <w:gridCol w:w="1170"/>
        <w:gridCol w:w="6300"/>
      </w:tblGrid>
      <w:tr w:rsidR="00202172" w:rsidRPr="00845946" w14:paraId="3AC90EF6" w14:textId="77777777" w:rsidTr="001E511A">
        <w:trPr>
          <w:trHeight w:val="541"/>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32CC" w14:textId="77777777" w:rsidR="00202172" w:rsidRPr="00845946" w:rsidRDefault="00202172" w:rsidP="00444BF6">
            <w:pPr>
              <w:jc w:val="center"/>
              <w:rPr>
                <w:rFonts w:ascii="Times New Roman" w:hAnsi="Times New Roman"/>
                <w:b/>
                <w:sz w:val="24"/>
                <w:szCs w:val="24"/>
                <w:lang w:val="nl-NL"/>
              </w:rPr>
            </w:pPr>
            <w:bookmarkStart w:id="3" w:name="_Hlk14188218"/>
            <w:r w:rsidRPr="0084594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2677AEFA"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588071D4"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29BB705"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288397A6" w14:textId="77777777" w:rsidTr="001E511A">
        <w:trPr>
          <w:trHeight w:val="1070"/>
        </w:trPr>
        <w:tc>
          <w:tcPr>
            <w:tcW w:w="1597" w:type="dxa"/>
            <w:tcBorders>
              <w:top w:val="nil"/>
              <w:left w:val="single" w:sz="4" w:space="0" w:color="auto"/>
              <w:bottom w:val="single" w:sz="4" w:space="0" w:color="auto"/>
              <w:right w:val="single" w:sz="4" w:space="0" w:color="auto"/>
            </w:tcBorders>
            <w:shd w:val="clear" w:color="auto" w:fill="auto"/>
            <w:vAlign w:val="center"/>
            <w:hideMark/>
          </w:tcPr>
          <w:p w14:paraId="4E4FCC88"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Trịnh Thanh Cần</w:t>
            </w:r>
          </w:p>
        </w:tc>
        <w:tc>
          <w:tcPr>
            <w:tcW w:w="1170" w:type="dxa"/>
            <w:tcBorders>
              <w:top w:val="nil"/>
              <w:left w:val="nil"/>
              <w:bottom w:val="single" w:sz="4" w:space="0" w:color="auto"/>
              <w:right w:val="single" w:sz="4" w:space="0" w:color="auto"/>
            </w:tcBorders>
            <w:shd w:val="clear" w:color="auto" w:fill="auto"/>
            <w:vAlign w:val="center"/>
            <w:hideMark/>
          </w:tcPr>
          <w:p w14:paraId="66665D16"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14:paraId="000E137A"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419CFB7" w14:textId="77777777" w:rsidR="00202172" w:rsidRPr="00845946" w:rsidRDefault="00202172"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Trợ lý nghiên cứu -Công ty Quản lý quỹ Tower Mỹ</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2003: Chuyên viên - Ngân hàng Downey Savings</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Mỹ</w:t>
            </w:r>
            <w:r w:rsidRPr="00845946">
              <w:rPr>
                <w:rFonts w:ascii="Times New Roman" w:hAnsi="Times New Roman"/>
                <w:sz w:val="24"/>
                <w:szCs w:val="24"/>
                <w:lang w:val="nl-NL"/>
              </w:rPr>
              <w:br/>
              <w:t>Từ 2003</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2005: Chuyên viên đầu tư - Công ty </w:t>
            </w:r>
            <w:r w:rsidR="00CE2F8B" w:rsidRPr="00845946">
              <w:rPr>
                <w:rFonts w:ascii="Times New Roman" w:hAnsi="Times New Roman"/>
                <w:sz w:val="24"/>
                <w:szCs w:val="24"/>
                <w:lang w:val="nl-NL"/>
              </w:rPr>
              <w:t>Quản lý Quỹ</w:t>
            </w:r>
            <w:r w:rsidR="00D75CED" w:rsidRPr="00845946">
              <w:rPr>
                <w:rFonts w:ascii="Times New Roman" w:hAnsi="Times New Roman"/>
                <w:sz w:val="24"/>
                <w:szCs w:val="24"/>
                <w:lang w:val="nl-NL"/>
              </w:rPr>
              <w:t xml:space="preserve"> V</w:t>
            </w:r>
            <w:r w:rsidRPr="00845946">
              <w:rPr>
                <w:rFonts w:ascii="Times New Roman" w:hAnsi="Times New Roman"/>
                <w:sz w:val="24"/>
                <w:szCs w:val="24"/>
                <w:lang w:val="nl-NL"/>
              </w:rPr>
              <w:t>inacapital Việt Nam</w:t>
            </w:r>
            <w:r w:rsidRPr="00845946">
              <w:rPr>
                <w:rFonts w:ascii="Times New Roman" w:hAnsi="Times New Roman"/>
                <w:sz w:val="24"/>
                <w:szCs w:val="24"/>
                <w:lang w:val="nl-NL"/>
              </w:rPr>
              <w:br/>
              <w:t>Từ 2005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2006: Giám đốc Quan hệ KH - Ngân hàng HSBC Việ</w:t>
            </w:r>
            <w:r w:rsidR="00D75CED" w:rsidRPr="00845946">
              <w:rPr>
                <w:rFonts w:ascii="Times New Roman" w:hAnsi="Times New Roman"/>
                <w:sz w:val="24"/>
                <w:szCs w:val="24"/>
                <w:lang w:val="nl-NL"/>
              </w:rPr>
              <w:t xml:space="preserve">t </w:t>
            </w:r>
            <w:r w:rsidRPr="00845946">
              <w:rPr>
                <w:rFonts w:ascii="Times New Roman" w:hAnsi="Times New Roman"/>
                <w:sz w:val="24"/>
                <w:szCs w:val="24"/>
                <w:lang w:val="nl-NL"/>
              </w:rPr>
              <w:t>Nam</w:t>
            </w:r>
            <w:r w:rsidRPr="00845946">
              <w:rPr>
                <w:rFonts w:ascii="Times New Roman" w:hAnsi="Times New Roman"/>
                <w:sz w:val="24"/>
                <w:szCs w:val="24"/>
                <w:lang w:val="nl-NL"/>
              </w:rPr>
              <w:br/>
              <w:t>Từ 2006</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2007: Giám đốc đầu tư - Công ty </w:t>
            </w:r>
            <w:r w:rsidR="00CE2F8B" w:rsidRPr="00845946">
              <w:rPr>
                <w:rFonts w:ascii="Times New Roman" w:hAnsi="Times New Roman"/>
                <w:sz w:val="24"/>
                <w:szCs w:val="24"/>
                <w:lang w:val="nl-NL"/>
              </w:rPr>
              <w:t>Quản lý Quỹ</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2007</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2011: Giám đốc phân tích -</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Công ty </w:t>
            </w:r>
            <w:r w:rsidR="00F14D5B" w:rsidRPr="00845946">
              <w:rPr>
                <w:rFonts w:ascii="Times New Roman" w:hAnsi="Times New Roman"/>
                <w:sz w:val="24"/>
                <w:szCs w:val="24"/>
                <w:lang w:val="nl-NL"/>
              </w:rPr>
              <w:t>Chứng khoán</w:t>
            </w:r>
            <w:r w:rsidRPr="00845946">
              <w:rPr>
                <w:rFonts w:ascii="Times New Roman" w:hAnsi="Times New Roman"/>
                <w:sz w:val="24"/>
                <w:szCs w:val="24"/>
                <w:lang w:val="nl-NL"/>
              </w:rPr>
              <w:t xml:space="preserve"> Bản Việt</w:t>
            </w:r>
            <w:r w:rsidRPr="00845946">
              <w:rPr>
                <w:rFonts w:ascii="Times New Roman" w:hAnsi="Times New Roman"/>
                <w:sz w:val="24"/>
                <w:szCs w:val="24"/>
                <w:lang w:val="nl-NL"/>
              </w:rPr>
              <w:br/>
              <w:t>Từ 2011</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2015: Giám đốc điều hành khối Tư vấn tài chính D</w:t>
            </w:r>
            <w:r w:rsidR="00CE2F8B" w:rsidRPr="00845946">
              <w:rPr>
                <w:rFonts w:ascii="Times New Roman" w:hAnsi="Times New Roman"/>
                <w:sz w:val="24"/>
                <w:szCs w:val="24"/>
                <w:lang w:val="nl-NL"/>
              </w:rPr>
              <w:t>oanh nghiệp</w:t>
            </w:r>
            <w:r w:rsidR="00444BF6"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Công ty </w:t>
            </w:r>
            <w:r w:rsidR="00CE2F8B" w:rsidRPr="00845946">
              <w:rPr>
                <w:rFonts w:ascii="Times New Roman" w:hAnsi="Times New Roman"/>
                <w:sz w:val="24"/>
                <w:szCs w:val="24"/>
                <w:lang w:val="nl-NL"/>
              </w:rPr>
              <w:t>C</w:t>
            </w:r>
            <w:r w:rsidRPr="00845946">
              <w:rPr>
                <w:rFonts w:ascii="Times New Roman" w:hAnsi="Times New Roman"/>
                <w:sz w:val="24"/>
                <w:szCs w:val="24"/>
                <w:lang w:val="nl-NL"/>
              </w:rPr>
              <w:t>hứng khoán HSC</w:t>
            </w:r>
            <w:r w:rsidRPr="00845946">
              <w:rPr>
                <w:rFonts w:ascii="Times New Roman" w:hAnsi="Times New Roman"/>
                <w:sz w:val="24"/>
                <w:szCs w:val="24"/>
                <w:lang w:val="nl-NL"/>
              </w:rPr>
              <w:b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0026726B" w:rsidRPr="00845946">
              <w:rPr>
                <w:rFonts w:ascii="Times New Roman" w:hAnsi="Times New Roman"/>
                <w:sz w:val="24"/>
                <w:szCs w:val="24"/>
                <w:lang w:val="nl-NL"/>
              </w:rPr>
              <w:t>2022</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Chứng khoán ACB</w:t>
            </w:r>
          </w:p>
          <w:p w14:paraId="370DD3D0" w14:textId="4D428D66" w:rsidR="0026726B" w:rsidRPr="00845946" w:rsidRDefault="0026726B" w:rsidP="0026726B">
            <w:pPr>
              <w:spacing w:after="0" w:line="240" w:lineRule="auto"/>
              <w:rPr>
                <w:rFonts w:ascii="Times New Roman" w:hAnsi="Times New Roman"/>
                <w:sz w:val="24"/>
                <w:szCs w:val="24"/>
                <w:lang w:val="nl-NL"/>
              </w:rPr>
            </w:pPr>
            <w:r w:rsidRPr="00845946">
              <w:rPr>
                <w:rFonts w:ascii="Times New Roman" w:hAnsi="Times New Roman"/>
                <w:sz w:val="24"/>
                <w:szCs w:val="24"/>
                <w:lang w:val="nl-NL"/>
              </w:rPr>
              <w:t>Từ 4/2022 – nay: Tổng giám đốc - Công ty CP Chứng khoán KAFI</w:t>
            </w:r>
          </w:p>
        </w:tc>
      </w:tr>
      <w:tr w:rsidR="00202172" w:rsidRPr="00845946" w14:paraId="0D85347F" w14:textId="77777777" w:rsidTr="001E511A">
        <w:trPr>
          <w:trHeight w:val="800"/>
        </w:trPr>
        <w:tc>
          <w:tcPr>
            <w:tcW w:w="1597" w:type="dxa"/>
            <w:tcBorders>
              <w:top w:val="nil"/>
              <w:left w:val="single" w:sz="4" w:space="0" w:color="auto"/>
              <w:bottom w:val="single" w:sz="4" w:space="0" w:color="auto"/>
              <w:right w:val="single" w:sz="4" w:space="0" w:color="auto"/>
            </w:tcBorders>
            <w:shd w:val="clear" w:color="auto" w:fill="auto"/>
            <w:noWrap/>
            <w:vAlign w:val="center"/>
            <w:hideMark/>
          </w:tcPr>
          <w:p w14:paraId="5B5D8E8C"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t>Nguyễn Trọng Đức</w:t>
            </w:r>
          </w:p>
        </w:tc>
        <w:tc>
          <w:tcPr>
            <w:tcW w:w="1170" w:type="dxa"/>
            <w:tcBorders>
              <w:top w:val="nil"/>
              <w:left w:val="nil"/>
              <w:bottom w:val="single" w:sz="4" w:space="0" w:color="auto"/>
              <w:right w:val="single" w:sz="4" w:space="0" w:color="auto"/>
            </w:tcBorders>
            <w:shd w:val="clear" w:color="auto" w:fill="auto"/>
            <w:noWrap/>
            <w:vAlign w:val="center"/>
            <w:hideMark/>
          </w:tcPr>
          <w:p w14:paraId="2F32897F"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14:paraId="40D1918C" w14:textId="77777777" w:rsidR="00202172" w:rsidRPr="00845946" w:rsidRDefault="00202172" w:rsidP="00B3750F">
            <w:pPr>
              <w:jc w:val="both"/>
              <w:rPr>
                <w:rFonts w:ascii="Times New Roman" w:hAnsi="Times New Roman"/>
                <w:sz w:val="24"/>
                <w:szCs w:val="24"/>
                <w:lang w:val="nl-NL"/>
              </w:rPr>
            </w:pPr>
            <w:r w:rsidRPr="00845946">
              <w:rPr>
                <w:rFonts w:ascii="Times New Roman" w:hAnsi="Times New Roman"/>
                <w:sz w:val="24"/>
                <w:szCs w:val="24"/>
                <w:lang w:val="nl-NL"/>
              </w:rPr>
              <w:t>Thạc sỹ</w:t>
            </w:r>
          </w:p>
        </w:tc>
        <w:tc>
          <w:tcPr>
            <w:tcW w:w="6300" w:type="dxa"/>
            <w:tcBorders>
              <w:top w:val="nil"/>
              <w:left w:val="nil"/>
              <w:bottom w:val="single" w:sz="4" w:space="0" w:color="auto"/>
              <w:right w:val="single" w:sz="4" w:space="0" w:color="auto"/>
            </w:tcBorders>
            <w:shd w:val="clear" w:color="auto" w:fill="auto"/>
            <w:vAlign w:val="bottom"/>
            <w:hideMark/>
          </w:tcPr>
          <w:p w14:paraId="42C97B7B" w14:textId="77777777" w:rsidR="00202172" w:rsidRPr="00845946" w:rsidRDefault="00202172" w:rsidP="00444BF6">
            <w:pPr>
              <w:spacing w:after="0"/>
              <w:rPr>
                <w:rFonts w:ascii="Times New Roman" w:hAnsi="Times New Roman"/>
                <w:sz w:val="24"/>
                <w:szCs w:val="24"/>
                <w:lang w:val="nl-NL"/>
              </w:rPr>
            </w:pPr>
            <w:r w:rsidRPr="00845946">
              <w:rPr>
                <w:rFonts w:ascii="Times New Roman" w:hAnsi="Times New Roman"/>
                <w:sz w:val="24"/>
                <w:szCs w:val="24"/>
                <w:lang w:val="nl-NL"/>
              </w:rPr>
              <w:t>Từ 1995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1999: Kiểm toán viên - Công ty Kiểm toán KPMG</w:t>
            </w:r>
            <w:r w:rsidRPr="00845946">
              <w:rPr>
                <w:rFonts w:ascii="Times New Roman" w:hAnsi="Times New Roman"/>
                <w:sz w:val="24"/>
                <w:szCs w:val="24"/>
                <w:lang w:val="nl-NL"/>
              </w:rPr>
              <w:br/>
              <w:t>Từ 1999</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2000: Trưởng phòng KTNB - Công ty Victoria Việt Nam Group</w:t>
            </w:r>
            <w:r w:rsidRPr="00845946">
              <w:rPr>
                <w:rFonts w:ascii="Times New Roman" w:hAnsi="Times New Roman"/>
                <w:sz w:val="24"/>
                <w:szCs w:val="24"/>
                <w:lang w:val="nl-NL"/>
              </w:rPr>
              <w:br/>
              <w:t>Từ 2000</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2002: Giám đốc tài chính tập đoàn - Công ty Victoria Việt Nam Group</w:t>
            </w:r>
            <w:r w:rsidRPr="00845946">
              <w:rPr>
                <w:rFonts w:ascii="Times New Roman" w:hAnsi="Times New Roman"/>
                <w:sz w:val="24"/>
                <w:szCs w:val="24"/>
                <w:lang w:val="nl-NL"/>
              </w:rPr>
              <w:br/>
              <w:t>Từ 2002</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2004: Giám đốc tài chính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Philips Electronics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br/>
              <w:t>Từ</w:t>
            </w:r>
            <w:r w:rsidR="005C4036" w:rsidRPr="00845946">
              <w:rPr>
                <w:rFonts w:ascii="Times New Roman" w:hAnsi="Times New Roman"/>
                <w:sz w:val="24"/>
                <w:szCs w:val="24"/>
                <w:lang w:val="nl-NL"/>
              </w:rPr>
              <w:t xml:space="preserve"> 2004</w:t>
            </w:r>
            <w:r w:rsidR="00B85125" w:rsidRPr="00845946">
              <w:rPr>
                <w:rFonts w:ascii="Times New Roman" w:hAnsi="Times New Roman"/>
                <w:sz w:val="24"/>
                <w:szCs w:val="24"/>
                <w:lang w:val="nl-NL"/>
              </w:rPr>
              <w:t xml:space="preserve"> </w:t>
            </w:r>
            <w:r w:rsidR="005C4036" w:rsidRPr="00845946">
              <w:rPr>
                <w:rFonts w:ascii="Times New Roman" w:hAnsi="Times New Roman"/>
                <w:sz w:val="24"/>
                <w:szCs w:val="24"/>
                <w:lang w:val="nl-NL"/>
              </w:rPr>
              <w:t xml:space="preserve">- 2015: </w:t>
            </w:r>
            <w:r w:rsidRPr="00845946">
              <w:rPr>
                <w:rFonts w:ascii="Times New Roman" w:hAnsi="Times New Roman"/>
                <w:sz w:val="24"/>
                <w:szCs w:val="24"/>
                <w:lang w:val="nl-NL"/>
              </w:rPr>
              <w:t>Giám đốc tài chính</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r w:rsidRPr="00845946">
              <w:rPr>
                <w:rFonts w:ascii="Times New Roman" w:hAnsi="Times New Roman"/>
                <w:sz w:val="24"/>
                <w:szCs w:val="24"/>
                <w:lang w:val="nl-NL"/>
              </w:rPr>
              <w:t xml:space="preserve"> </w:t>
            </w:r>
          </w:p>
          <w:p w14:paraId="4692EC6F" w14:textId="77777777" w:rsidR="00497DBF" w:rsidRPr="00845946" w:rsidRDefault="00202172" w:rsidP="00497DBF">
            <w:pPr>
              <w:spacing w:after="0"/>
              <w:rPr>
                <w:rFonts w:ascii="Times New Roman" w:hAnsi="Times New Roman"/>
                <w:sz w:val="24"/>
                <w:szCs w:val="24"/>
                <w:lang w:val="nl-NL"/>
              </w:rPr>
            </w:pPr>
            <w:r w:rsidRPr="00845946">
              <w:rPr>
                <w:rFonts w:ascii="Times New Roman" w:hAnsi="Times New Roman"/>
                <w:sz w:val="24"/>
                <w:szCs w:val="24"/>
                <w:lang w:val="nl-NL"/>
              </w:rPr>
              <w:t>Từ 2015</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- 2018</w:t>
            </w:r>
            <w:r w:rsidR="005C4036" w:rsidRPr="00845946">
              <w:rPr>
                <w:rFonts w:ascii="Times New Roman" w:hAnsi="Times New Roman"/>
                <w:sz w:val="24"/>
                <w:szCs w:val="24"/>
                <w:lang w:val="nl-NL"/>
              </w:rPr>
              <w:t xml:space="preserve">: </w:t>
            </w:r>
            <w:r w:rsidRPr="00845946">
              <w:rPr>
                <w:rFonts w:ascii="Times New Roman" w:hAnsi="Times New Roman"/>
                <w:sz w:val="24"/>
                <w:szCs w:val="24"/>
                <w:lang w:val="nl-NL"/>
              </w:rPr>
              <w:t>Giám đốc điều hành hoạt động/Giám đốc tài chính</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Pr="00845946">
              <w:rPr>
                <w:rFonts w:ascii="Times New Roman" w:hAnsi="Times New Roman"/>
                <w:sz w:val="24"/>
                <w:szCs w:val="24"/>
                <w:lang w:val="nl-NL"/>
              </w:rPr>
              <w:br/>
              <w:t>Từ 6/2018</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 xml:space="preserve">- </w:t>
            </w:r>
            <w:r w:rsidR="00E16A0D" w:rsidRPr="00845946">
              <w:rPr>
                <w:rFonts w:ascii="Times New Roman" w:hAnsi="Times New Roman"/>
                <w:sz w:val="24"/>
                <w:szCs w:val="24"/>
                <w:lang w:val="nl-NL"/>
              </w:rPr>
              <w:t>2019</w:t>
            </w:r>
            <w:r w:rsidRPr="00845946">
              <w:rPr>
                <w:rFonts w:ascii="Times New Roman" w:hAnsi="Times New Roman"/>
                <w:sz w:val="24"/>
                <w:szCs w:val="24"/>
                <w:lang w:val="nl-NL"/>
              </w:rPr>
              <w:t>: Tổng giám đốc -</w:t>
            </w:r>
            <w:r w:rsidR="00B85125" w:rsidRPr="00845946">
              <w:rPr>
                <w:rFonts w:ascii="Times New Roman" w:hAnsi="Times New Roman"/>
                <w:sz w:val="24"/>
                <w:szCs w:val="24"/>
                <w:lang w:val="nl-NL"/>
              </w:rPr>
              <w:t xml:space="preserve"> </w:t>
            </w:r>
            <w:r w:rsidRPr="00845946">
              <w:rPr>
                <w:rFonts w:ascii="Times New Roman" w:hAnsi="Times New Roman"/>
                <w:sz w:val="24"/>
                <w:szCs w:val="24"/>
                <w:lang w:val="nl-NL"/>
              </w:rPr>
              <w:t>Công ty Ogilvy &amp; Mather Việt Nam</w:t>
            </w:r>
            <w:r w:rsidR="00B85125" w:rsidRPr="00845946">
              <w:rPr>
                <w:rFonts w:ascii="Times New Roman" w:hAnsi="Times New Roman"/>
                <w:sz w:val="24"/>
                <w:szCs w:val="24"/>
                <w:lang w:val="nl-NL"/>
              </w:rPr>
              <w:t>.</w:t>
            </w:r>
          </w:p>
        </w:tc>
      </w:tr>
      <w:tr w:rsidR="00202172" w:rsidRPr="00845946" w14:paraId="31EBDD58" w14:textId="77777777" w:rsidTr="001E511A">
        <w:trPr>
          <w:trHeight w:val="1340"/>
        </w:trPr>
        <w:tc>
          <w:tcPr>
            <w:tcW w:w="1597"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A3B9B44" w14:textId="77777777" w:rsidR="00202172" w:rsidRPr="00845946" w:rsidRDefault="00202172" w:rsidP="001929F3">
            <w:pPr>
              <w:jc w:val="center"/>
              <w:rPr>
                <w:rFonts w:ascii="Times New Roman" w:hAnsi="Times New Roman"/>
                <w:sz w:val="24"/>
                <w:szCs w:val="24"/>
                <w:lang w:val="nl-NL"/>
              </w:rPr>
            </w:pPr>
            <w:r w:rsidRPr="00845946">
              <w:rPr>
                <w:rFonts w:ascii="Times New Roman" w:hAnsi="Times New Roman"/>
                <w:sz w:val="24"/>
                <w:szCs w:val="24"/>
                <w:lang w:val="nl-NL"/>
              </w:rPr>
              <w:lastRenderedPageBreak/>
              <w:t>Trần Việt Hương</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6BC06335"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14:paraId="4EAACA7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Luật sư</w:t>
            </w:r>
          </w:p>
        </w:tc>
        <w:tc>
          <w:tcPr>
            <w:tcW w:w="6300" w:type="dxa"/>
            <w:tcBorders>
              <w:top w:val="single" w:sz="4" w:space="0" w:color="000000"/>
              <w:left w:val="nil"/>
              <w:bottom w:val="single" w:sz="4" w:space="0" w:color="auto"/>
              <w:right w:val="single" w:sz="4" w:space="0" w:color="auto"/>
            </w:tcBorders>
            <w:shd w:val="clear" w:color="auto" w:fill="auto"/>
            <w:vAlign w:val="bottom"/>
            <w:hideMark/>
          </w:tcPr>
          <w:p w14:paraId="0926D5FC" w14:textId="77777777" w:rsidR="00202172" w:rsidRPr="00845946" w:rsidRDefault="00202172" w:rsidP="00444BF6">
            <w:pPr>
              <w:rPr>
                <w:rFonts w:ascii="Times New Roman" w:hAnsi="Times New Roman"/>
                <w:sz w:val="24"/>
                <w:szCs w:val="24"/>
                <w:lang w:val="nl-NL"/>
              </w:rPr>
            </w:pPr>
            <w:r w:rsidRPr="00845946">
              <w:rPr>
                <w:rFonts w:ascii="Times New Roman" w:hAnsi="Times New Roman"/>
                <w:sz w:val="24"/>
                <w:szCs w:val="24"/>
                <w:lang w:val="nl-NL"/>
              </w:rPr>
              <w:t>Từ 1995</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1997: Tư vấn thuế &amp; Đầu tư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kiểm toán và tư vấn Cooper &amp; Lybrand – AISC</w:t>
            </w:r>
            <w:r w:rsidRPr="00845946">
              <w:rPr>
                <w:rFonts w:ascii="Times New Roman" w:hAnsi="Times New Roman"/>
                <w:sz w:val="24"/>
                <w:szCs w:val="24"/>
                <w:lang w:val="nl-NL"/>
              </w:rPr>
              <w:br/>
              <w:t>Từ 1998</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2000: Tư vấn thuế &amp; Đầu tư</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Kiểm toán KPMG</w:t>
            </w:r>
            <w:r w:rsidRPr="00845946">
              <w:rPr>
                <w:rFonts w:ascii="Times New Roman" w:hAnsi="Times New Roman"/>
                <w:sz w:val="24"/>
                <w:szCs w:val="24"/>
                <w:lang w:val="nl-NL"/>
              </w:rPr>
              <w:br/>
              <w:t>Từ 2000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2003: Phó trưởng Đại diện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VPĐD Pacific Rim Enterprises, LLC</w:t>
            </w:r>
            <w:r w:rsidRPr="00845946">
              <w:rPr>
                <w:rFonts w:ascii="Times New Roman" w:hAnsi="Times New Roman"/>
                <w:sz w:val="24"/>
                <w:szCs w:val="24"/>
                <w:lang w:val="nl-NL"/>
              </w:rPr>
              <w:br/>
              <w:t>Từ 2003</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2006: Phó giám đốc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Nhiệt Đới</w:t>
            </w:r>
            <w:r w:rsidRPr="00845946">
              <w:rPr>
                <w:rFonts w:ascii="Times New Roman" w:hAnsi="Times New Roman"/>
                <w:sz w:val="24"/>
                <w:szCs w:val="24"/>
                <w:lang w:val="nl-NL"/>
              </w:rPr>
              <w:br/>
              <w:t>Từ 2006</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2008: Phó Tổng giám đốc</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 Công ty CP An Gia</w:t>
            </w:r>
            <w:r w:rsidRPr="00845946">
              <w:rPr>
                <w:rFonts w:ascii="Times New Roman" w:hAnsi="Times New Roman"/>
                <w:sz w:val="24"/>
                <w:szCs w:val="24"/>
                <w:lang w:val="nl-NL"/>
              </w:rPr>
              <w:br/>
              <w:t>Từ 2011</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nay: Luật sư thành viên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luật Avenir</w:t>
            </w:r>
            <w:r w:rsidRPr="00845946">
              <w:rPr>
                <w:rFonts w:ascii="Times New Roman" w:hAnsi="Times New Roman"/>
                <w:sz w:val="24"/>
                <w:szCs w:val="24"/>
                <w:lang w:val="nl-NL"/>
              </w:rPr>
              <w:br/>
              <w:t>Từ 2010</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B80B17" w:rsidRPr="00845946">
              <w:rPr>
                <w:rFonts w:ascii="Times New Roman" w:hAnsi="Times New Roman"/>
                <w:sz w:val="24"/>
                <w:szCs w:val="24"/>
                <w:lang w:val="nl-NL"/>
              </w:rPr>
              <w:t>nay</w:t>
            </w:r>
            <w:r w:rsidRPr="00845946">
              <w:rPr>
                <w:rFonts w:ascii="Times New Roman" w:hAnsi="Times New Roman"/>
                <w:sz w:val="24"/>
                <w:szCs w:val="24"/>
                <w:lang w:val="nl-NL"/>
              </w:rPr>
              <w:t>: Giám đốc Điều hành -</w:t>
            </w:r>
            <w:r w:rsidR="006334E3" w:rsidRPr="00845946">
              <w:rPr>
                <w:rFonts w:ascii="Times New Roman" w:hAnsi="Times New Roman"/>
                <w:sz w:val="24"/>
                <w:szCs w:val="24"/>
                <w:lang w:val="nl-NL"/>
              </w:rPr>
              <w:t xml:space="preserve"> </w:t>
            </w:r>
            <w:r w:rsidRPr="00845946">
              <w:rPr>
                <w:rFonts w:ascii="Times New Roman" w:hAnsi="Times New Roman"/>
                <w:sz w:val="24"/>
                <w:szCs w:val="24"/>
                <w:lang w:val="nl-NL"/>
              </w:rPr>
              <w:t>Công ty TNHH Mễ Tân</w:t>
            </w:r>
          </w:p>
        </w:tc>
      </w:tr>
    </w:tbl>
    <w:bookmarkEnd w:id="3"/>
    <w:p w14:paraId="067EF5D3" w14:textId="08AEDA76" w:rsidR="00202172" w:rsidRPr="00845946" w:rsidRDefault="00202172" w:rsidP="00444BF6">
      <w:pPr>
        <w:jc w:val="both"/>
        <w:rPr>
          <w:rFonts w:ascii="Times New Roman" w:hAnsi="Times New Roman"/>
          <w:b/>
          <w:sz w:val="24"/>
          <w:szCs w:val="24"/>
          <w:lang w:val="nl-NL"/>
        </w:rPr>
      </w:pPr>
      <w:r w:rsidRPr="00845946">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1507"/>
        <w:gridCol w:w="1260"/>
        <w:gridCol w:w="1170"/>
        <w:gridCol w:w="6300"/>
      </w:tblGrid>
      <w:tr w:rsidR="00202172" w:rsidRPr="00845946" w14:paraId="044BB571" w14:textId="77777777" w:rsidTr="001929F3">
        <w:trPr>
          <w:trHeight w:val="524"/>
        </w:trPr>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9621D" w14:textId="77777777" w:rsidR="00202172" w:rsidRPr="00845946" w:rsidRDefault="00202172" w:rsidP="00444BF6">
            <w:pPr>
              <w:jc w:val="center"/>
              <w:rPr>
                <w:rFonts w:ascii="Times New Roman" w:hAnsi="Times New Roman"/>
                <w:b/>
                <w:sz w:val="24"/>
                <w:szCs w:val="24"/>
                <w:lang w:val="nl-NL"/>
              </w:rPr>
            </w:pPr>
            <w:bookmarkStart w:id="4" w:name="_Hlk14191481"/>
            <w:r w:rsidRPr="00845946">
              <w:rPr>
                <w:rFonts w:ascii="Times New Roman" w:hAnsi="Times New Roman"/>
                <w:b/>
                <w:sz w:val="24"/>
                <w:szCs w:val="24"/>
                <w:lang w:val="nl-NL"/>
              </w:rPr>
              <w:t>Họ và tên</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025D0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35C7E8EB"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Bằng cấp</w:t>
            </w:r>
          </w:p>
        </w:tc>
        <w:tc>
          <w:tcPr>
            <w:tcW w:w="6300" w:type="dxa"/>
            <w:tcBorders>
              <w:top w:val="single" w:sz="4" w:space="0" w:color="auto"/>
              <w:left w:val="nil"/>
              <w:bottom w:val="single" w:sz="4" w:space="0" w:color="auto"/>
              <w:right w:val="single" w:sz="4" w:space="0" w:color="auto"/>
            </w:tcBorders>
            <w:shd w:val="clear" w:color="auto" w:fill="auto"/>
            <w:noWrap/>
            <w:vAlign w:val="center"/>
            <w:hideMark/>
          </w:tcPr>
          <w:p w14:paraId="513F4BCC" w14:textId="77777777" w:rsidR="00202172" w:rsidRPr="00845946" w:rsidRDefault="00202172" w:rsidP="00444BF6">
            <w:pPr>
              <w:jc w:val="center"/>
              <w:rPr>
                <w:rFonts w:ascii="Times New Roman" w:hAnsi="Times New Roman"/>
                <w:b/>
                <w:sz w:val="24"/>
                <w:szCs w:val="24"/>
                <w:lang w:val="nl-NL"/>
              </w:rPr>
            </w:pPr>
            <w:r w:rsidRPr="00845946">
              <w:rPr>
                <w:rFonts w:ascii="Times New Roman" w:hAnsi="Times New Roman"/>
                <w:b/>
                <w:sz w:val="24"/>
                <w:szCs w:val="24"/>
                <w:lang w:val="nl-NL"/>
              </w:rPr>
              <w:t>Quá trình công tác</w:t>
            </w:r>
          </w:p>
        </w:tc>
      </w:tr>
      <w:tr w:rsidR="00202172" w:rsidRPr="00845946" w14:paraId="55B43F99" w14:textId="77777777" w:rsidTr="001929F3">
        <w:trPr>
          <w:trHeight w:val="800"/>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677C6BD7"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Nguyễn Thị Bích Ngọc</w:t>
            </w:r>
          </w:p>
        </w:tc>
        <w:tc>
          <w:tcPr>
            <w:tcW w:w="1260" w:type="dxa"/>
            <w:tcBorders>
              <w:top w:val="nil"/>
              <w:left w:val="nil"/>
              <w:bottom w:val="single" w:sz="4" w:space="0" w:color="auto"/>
              <w:right w:val="single" w:sz="4" w:space="0" w:color="auto"/>
            </w:tcBorders>
            <w:shd w:val="clear" w:color="auto" w:fill="auto"/>
            <w:noWrap/>
            <w:vAlign w:val="center"/>
            <w:hideMark/>
          </w:tcPr>
          <w:p w14:paraId="2B42155C"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213A46BC" w14:textId="77777777" w:rsidR="00202172" w:rsidRPr="00845946" w:rsidRDefault="00FE2E33"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53B86BBE" w14:textId="45342D60" w:rsidR="00EF077C" w:rsidRDefault="00202172" w:rsidP="009C0EF7">
            <w:pPr>
              <w:spacing w:after="0"/>
              <w:rPr>
                <w:rFonts w:ascii="Times New Roman" w:hAnsi="Times New Roman"/>
                <w:sz w:val="24"/>
                <w:szCs w:val="24"/>
                <w:lang w:val="nl-NL"/>
              </w:rPr>
            </w:pPr>
            <w:r w:rsidRPr="00845946">
              <w:rPr>
                <w:rFonts w:ascii="Times New Roman" w:hAnsi="Times New Roman"/>
                <w:sz w:val="24"/>
                <w:szCs w:val="24"/>
                <w:lang w:val="nl-NL"/>
              </w:rPr>
              <w:t>Từ</w:t>
            </w:r>
            <w:r w:rsidR="00332DC8">
              <w:rPr>
                <w:rFonts w:ascii="Times New Roman" w:hAnsi="Times New Roman"/>
                <w:sz w:val="24"/>
                <w:szCs w:val="24"/>
                <w:lang w:val="nl-NL"/>
              </w:rPr>
              <w:t xml:space="preserve"> 10/</w:t>
            </w:r>
            <w:r w:rsidRPr="00845946">
              <w:rPr>
                <w:rFonts w:ascii="Times New Roman" w:hAnsi="Times New Roman"/>
                <w:sz w:val="24"/>
                <w:szCs w:val="24"/>
                <w:lang w:val="nl-NL"/>
              </w:rPr>
              <w:t>20</w:t>
            </w:r>
            <w:r w:rsidR="00D51B72" w:rsidRPr="00845946">
              <w:rPr>
                <w:rFonts w:ascii="Times New Roman" w:hAnsi="Times New Roman"/>
                <w:sz w:val="24"/>
                <w:szCs w:val="24"/>
                <w:lang w:val="nl-NL"/>
              </w:rPr>
              <w:t>03</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w:t>
            </w:r>
            <w:r w:rsidRPr="00845946">
              <w:rPr>
                <w:rFonts w:ascii="Times New Roman" w:hAnsi="Times New Roman"/>
                <w:sz w:val="24"/>
                <w:szCs w:val="24"/>
                <w:lang w:val="nl-NL"/>
              </w:rPr>
              <w:t>20</w:t>
            </w:r>
            <w:r w:rsidR="00D51B72" w:rsidRPr="00845946">
              <w:rPr>
                <w:rFonts w:ascii="Times New Roman" w:hAnsi="Times New Roman"/>
                <w:sz w:val="24"/>
                <w:szCs w:val="24"/>
                <w:lang w:val="nl-NL"/>
              </w:rPr>
              <w:t>06</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Nhân viên giao dịch – Cty Cổ phần Chứng Khoán Mê K</w:t>
            </w:r>
            <w:r w:rsidR="00142DBD" w:rsidRPr="00845946">
              <w:rPr>
                <w:rFonts w:ascii="Times New Roman" w:hAnsi="Times New Roman"/>
                <w:sz w:val="24"/>
                <w:szCs w:val="24"/>
                <w:lang w:val="nl-NL"/>
              </w:rPr>
              <w:t>ô</w:t>
            </w:r>
            <w:r w:rsidR="00D51B72" w:rsidRPr="00845946">
              <w:rPr>
                <w:rFonts w:ascii="Times New Roman" w:hAnsi="Times New Roman"/>
                <w:sz w:val="24"/>
                <w:szCs w:val="24"/>
                <w:lang w:val="nl-NL"/>
              </w:rPr>
              <w:t>ng</w:t>
            </w:r>
            <w:r w:rsidR="00142DBD" w:rsidRPr="00845946">
              <w:rPr>
                <w:rFonts w:ascii="Times New Roman" w:hAnsi="Times New Roman"/>
                <w:sz w:val="24"/>
                <w:szCs w:val="24"/>
                <w:lang w:val="nl-NL"/>
              </w:rPr>
              <w:t>.</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w:t>
            </w:r>
            <w:r w:rsidRPr="00845946">
              <w:rPr>
                <w:rFonts w:ascii="Times New Roman" w:hAnsi="Times New Roman"/>
                <w:sz w:val="24"/>
                <w:szCs w:val="24"/>
                <w:lang w:val="nl-NL"/>
              </w:rPr>
              <w:t>20</w:t>
            </w:r>
            <w:r w:rsidR="00D51B72" w:rsidRPr="00845946">
              <w:rPr>
                <w:rFonts w:ascii="Times New Roman" w:hAnsi="Times New Roman"/>
                <w:sz w:val="24"/>
                <w:szCs w:val="24"/>
                <w:lang w:val="nl-NL"/>
              </w:rPr>
              <w:t>07</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10/</w:t>
            </w:r>
            <w:r w:rsidRPr="00845946">
              <w:rPr>
                <w:rFonts w:ascii="Times New Roman" w:hAnsi="Times New Roman"/>
                <w:sz w:val="24"/>
                <w:szCs w:val="24"/>
                <w:lang w:val="nl-NL"/>
              </w:rPr>
              <w:t>20</w:t>
            </w:r>
            <w:r w:rsidR="00D51B72" w:rsidRPr="00845946">
              <w:rPr>
                <w:rFonts w:ascii="Times New Roman" w:hAnsi="Times New Roman"/>
                <w:sz w:val="24"/>
                <w:szCs w:val="24"/>
                <w:lang w:val="nl-NL"/>
              </w:rPr>
              <w:t>11</w:t>
            </w:r>
            <w:r w:rsidRPr="00845946">
              <w:rPr>
                <w:rFonts w:ascii="Times New Roman" w:hAnsi="Times New Roman"/>
                <w:sz w:val="24"/>
                <w:szCs w:val="24"/>
                <w:lang w:val="nl-NL"/>
              </w:rPr>
              <w:t xml:space="preserve">: </w:t>
            </w:r>
            <w:r w:rsidR="00D51B72" w:rsidRPr="00845946">
              <w:rPr>
                <w:rFonts w:ascii="Times New Roman" w:hAnsi="Times New Roman"/>
                <w:sz w:val="24"/>
                <w:szCs w:val="24"/>
                <w:lang w:val="nl-NL"/>
              </w:rPr>
              <w:t>Trưởng phòng DVKH – Công ty CP Chứng khoán Quốc tế Việt Nam</w:t>
            </w:r>
            <w:r w:rsidR="00142DBD" w:rsidRPr="00845946">
              <w:rPr>
                <w:rFonts w:ascii="Times New Roman" w:hAnsi="Times New Roman"/>
                <w:sz w:val="24"/>
                <w:szCs w:val="24"/>
                <w:lang w:val="nl-NL"/>
              </w:rPr>
              <w:t>.</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11/</w:t>
            </w:r>
            <w:r w:rsidRPr="00845946">
              <w:rPr>
                <w:rFonts w:ascii="Times New Roman" w:hAnsi="Times New Roman"/>
                <w:sz w:val="24"/>
                <w:szCs w:val="24"/>
                <w:lang w:val="nl-NL"/>
              </w:rPr>
              <w:t>201</w:t>
            </w:r>
            <w:r w:rsidR="00142DBD" w:rsidRPr="00845946">
              <w:rPr>
                <w:rFonts w:ascii="Times New Roman" w:hAnsi="Times New Roman"/>
                <w:sz w:val="24"/>
                <w:szCs w:val="24"/>
                <w:lang w:val="nl-NL"/>
              </w:rPr>
              <w:t>1</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w:t>
            </w:r>
            <w:r w:rsidRPr="00845946">
              <w:rPr>
                <w:rFonts w:ascii="Times New Roman" w:hAnsi="Times New Roman"/>
                <w:sz w:val="24"/>
                <w:szCs w:val="24"/>
                <w:lang w:val="nl-NL"/>
              </w:rPr>
              <w:t>201</w:t>
            </w:r>
            <w:r w:rsidR="00142DBD" w:rsidRPr="00845946">
              <w:rPr>
                <w:rFonts w:ascii="Times New Roman" w:hAnsi="Times New Roman"/>
                <w:sz w:val="24"/>
                <w:szCs w:val="24"/>
                <w:lang w:val="nl-NL"/>
              </w:rPr>
              <w:t>2</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Trưởng phòng Môi giới – Cty CP Chứng khoán Golden Bridge.</w:t>
            </w:r>
            <w:r w:rsidRPr="00845946">
              <w:rPr>
                <w:rFonts w:ascii="Times New Roman" w:hAnsi="Times New Roman"/>
                <w:sz w:val="24"/>
                <w:szCs w:val="24"/>
                <w:lang w:val="nl-NL"/>
              </w:rPr>
              <w:br/>
              <w:t xml:space="preserve">Từ </w:t>
            </w:r>
            <w:r w:rsidR="00332DC8">
              <w:rPr>
                <w:rFonts w:ascii="Times New Roman" w:hAnsi="Times New Roman"/>
                <w:sz w:val="24"/>
                <w:szCs w:val="24"/>
                <w:lang w:val="nl-NL"/>
              </w:rPr>
              <w:t>1/</w:t>
            </w:r>
            <w:r w:rsidRPr="00845946">
              <w:rPr>
                <w:rFonts w:ascii="Times New Roman" w:hAnsi="Times New Roman"/>
                <w:sz w:val="24"/>
                <w:szCs w:val="24"/>
                <w:lang w:val="nl-NL"/>
              </w:rPr>
              <w:t>2013</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w:t>
            </w:r>
            <w:r w:rsidR="006334E3" w:rsidRPr="00845946">
              <w:rPr>
                <w:rFonts w:ascii="Times New Roman" w:hAnsi="Times New Roman"/>
                <w:sz w:val="24"/>
                <w:szCs w:val="24"/>
                <w:lang w:val="nl-NL"/>
              </w:rPr>
              <w:t xml:space="preserve"> </w:t>
            </w:r>
            <w:r w:rsidR="00332DC8">
              <w:rPr>
                <w:rFonts w:ascii="Times New Roman" w:hAnsi="Times New Roman"/>
                <w:sz w:val="24"/>
                <w:szCs w:val="24"/>
                <w:lang w:val="nl-NL"/>
              </w:rPr>
              <w:t>12/2013</w:t>
            </w:r>
            <w:r w:rsidRPr="00845946">
              <w:rPr>
                <w:rFonts w:ascii="Times New Roman" w:hAnsi="Times New Roman"/>
                <w:sz w:val="24"/>
                <w:szCs w:val="24"/>
                <w:lang w:val="nl-NL"/>
              </w:rPr>
              <w:t xml:space="preserve">: </w:t>
            </w:r>
            <w:r w:rsidR="00142DBD" w:rsidRPr="00845946">
              <w:rPr>
                <w:rFonts w:ascii="Times New Roman" w:hAnsi="Times New Roman"/>
                <w:sz w:val="24"/>
                <w:szCs w:val="24"/>
                <w:lang w:val="nl-NL"/>
              </w:rPr>
              <w:t>Phụ trách phòng Phát triển khách hàng – Công ty CP Chứng khoán MB.</w:t>
            </w:r>
          </w:p>
          <w:p w14:paraId="3300BE02" w14:textId="35B8A15C" w:rsidR="00332DC8" w:rsidRDefault="00332DC8" w:rsidP="009C0EF7">
            <w:pPr>
              <w:spacing w:after="0"/>
              <w:rPr>
                <w:rFonts w:ascii="Times New Roman" w:hAnsi="Times New Roman"/>
                <w:sz w:val="24"/>
                <w:szCs w:val="24"/>
                <w:lang w:val="nl-NL"/>
              </w:rPr>
            </w:pPr>
            <w:r>
              <w:rPr>
                <w:rFonts w:ascii="Times New Roman" w:hAnsi="Times New Roman"/>
                <w:sz w:val="24"/>
                <w:szCs w:val="24"/>
                <w:lang w:val="nl-NL"/>
              </w:rPr>
              <w:t xml:space="preserve">Từ 1/2014 – 10/2014: Nhân viên nghiệp vụ </w:t>
            </w:r>
            <w:r w:rsidRPr="00332DC8">
              <w:rPr>
                <w:rFonts w:ascii="Times New Roman" w:hAnsi="Times New Roman"/>
                <w:sz w:val="24"/>
                <w:szCs w:val="24"/>
                <w:lang w:val="nl-NL"/>
              </w:rPr>
              <w:t>Công ty TNHH MTV Quản lý Quỹ Chubb Life</w:t>
            </w:r>
            <w:r>
              <w:rPr>
                <w:rFonts w:ascii="Times New Roman" w:hAnsi="Times New Roman"/>
                <w:sz w:val="24"/>
                <w:szCs w:val="24"/>
                <w:lang w:val="nl-NL"/>
              </w:rPr>
              <w:t>.</w:t>
            </w:r>
          </w:p>
          <w:p w14:paraId="7F03EE10" w14:textId="07131165" w:rsidR="00332DC8" w:rsidRPr="00845946" w:rsidRDefault="00332DC8" w:rsidP="009C0EF7">
            <w:pPr>
              <w:spacing w:after="0"/>
              <w:rPr>
                <w:rFonts w:ascii="Times New Roman" w:hAnsi="Times New Roman"/>
                <w:sz w:val="24"/>
                <w:szCs w:val="24"/>
                <w:lang w:val="nl-NL"/>
              </w:rPr>
            </w:pPr>
            <w:r>
              <w:rPr>
                <w:rFonts w:ascii="Times New Roman" w:hAnsi="Times New Roman"/>
                <w:sz w:val="24"/>
                <w:szCs w:val="24"/>
                <w:lang w:val="nl-NL"/>
              </w:rPr>
              <w:t xml:space="preserve">Từ 11/2014 – 4/2015: </w:t>
            </w:r>
            <w:r w:rsidRPr="00845946">
              <w:rPr>
                <w:rFonts w:ascii="Times New Roman" w:hAnsi="Times New Roman"/>
                <w:sz w:val="24"/>
                <w:szCs w:val="24"/>
                <w:lang w:val="nl-NL"/>
              </w:rPr>
              <w:t>Phụ trách phòng Phát triển khách hàng – Công ty CP Chứng khoán MB</w:t>
            </w:r>
            <w:r>
              <w:rPr>
                <w:rFonts w:ascii="Times New Roman" w:hAnsi="Times New Roman"/>
                <w:sz w:val="24"/>
                <w:szCs w:val="24"/>
                <w:lang w:val="nl-NL"/>
              </w:rPr>
              <w:t>.</w:t>
            </w:r>
          </w:p>
          <w:p w14:paraId="650A42DF" w14:textId="2FE09F20" w:rsidR="00142DBD" w:rsidRPr="00845946" w:rsidRDefault="00142DBD" w:rsidP="009C0EF7">
            <w:pPr>
              <w:spacing w:after="0"/>
              <w:rPr>
                <w:rFonts w:ascii="Times New Roman" w:hAnsi="Times New Roman"/>
                <w:sz w:val="24"/>
                <w:szCs w:val="24"/>
                <w:lang w:val="nl-NL"/>
              </w:rPr>
            </w:pPr>
            <w:r w:rsidRPr="00845946">
              <w:rPr>
                <w:rFonts w:ascii="Times New Roman" w:hAnsi="Times New Roman"/>
                <w:sz w:val="24"/>
                <w:szCs w:val="24"/>
                <w:lang w:val="nl-NL"/>
              </w:rPr>
              <w:t xml:space="preserve">Từ </w:t>
            </w:r>
            <w:r w:rsidR="00332DC8">
              <w:rPr>
                <w:rFonts w:ascii="Times New Roman" w:hAnsi="Times New Roman"/>
                <w:sz w:val="24"/>
                <w:szCs w:val="24"/>
                <w:lang w:val="nl-NL"/>
              </w:rPr>
              <w:t>5/</w:t>
            </w:r>
            <w:r w:rsidRPr="00845946">
              <w:rPr>
                <w:rFonts w:ascii="Times New Roman" w:hAnsi="Times New Roman"/>
                <w:sz w:val="24"/>
                <w:szCs w:val="24"/>
                <w:lang w:val="nl-NL"/>
              </w:rPr>
              <w:t>201</w:t>
            </w:r>
            <w:r w:rsidR="00EF077C" w:rsidRPr="00845946">
              <w:rPr>
                <w:rFonts w:ascii="Times New Roman" w:hAnsi="Times New Roman"/>
                <w:sz w:val="24"/>
                <w:szCs w:val="24"/>
                <w:lang w:val="nl-NL"/>
              </w:rPr>
              <w:t>5</w:t>
            </w:r>
            <w:r w:rsidRPr="00845946">
              <w:rPr>
                <w:rFonts w:ascii="Times New Roman" w:hAnsi="Times New Roman"/>
                <w:sz w:val="24"/>
                <w:szCs w:val="24"/>
                <w:lang w:val="nl-NL"/>
              </w:rPr>
              <w:t xml:space="preserve"> – </w:t>
            </w:r>
            <w:r w:rsidR="00D0386E" w:rsidRPr="00845946">
              <w:rPr>
                <w:rFonts w:ascii="Times New Roman" w:hAnsi="Times New Roman"/>
                <w:sz w:val="24"/>
                <w:szCs w:val="24"/>
                <w:lang w:val="nl-NL"/>
              </w:rPr>
              <w:t>nay</w:t>
            </w:r>
            <w:r w:rsidRPr="00845946">
              <w:rPr>
                <w:rFonts w:ascii="Times New Roman" w:hAnsi="Times New Roman"/>
                <w:sz w:val="24"/>
                <w:szCs w:val="24"/>
                <w:lang w:val="nl-NL"/>
              </w:rPr>
              <w:t xml:space="preserve">: </w:t>
            </w:r>
            <w:r w:rsidR="00174E8C" w:rsidRPr="00845946">
              <w:rPr>
                <w:rFonts w:ascii="Times New Roman" w:hAnsi="Times New Roman"/>
                <w:sz w:val="24"/>
                <w:szCs w:val="24"/>
                <w:lang w:val="nl-NL"/>
              </w:rPr>
              <w:t>Trưởng</w:t>
            </w:r>
            <w:r w:rsidRPr="00845946">
              <w:rPr>
                <w:rFonts w:ascii="Times New Roman" w:hAnsi="Times New Roman"/>
                <w:sz w:val="24"/>
                <w:szCs w:val="24"/>
                <w:lang w:val="nl-NL"/>
              </w:rPr>
              <w:t xml:space="preserve"> phòng Công ty TNHH MTV Quản </w:t>
            </w:r>
            <w:r w:rsidR="00D0386E" w:rsidRPr="00845946">
              <w:rPr>
                <w:rFonts w:ascii="Times New Roman" w:hAnsi="Times New Roman"/>
                <w:sz w:val="24"/>
                <w:szCs w:val="24"/>
                <w:lang w:val="nl-NL"/>
              </w:rPr>
              <w:t xml:space="preserve">lý </w:t>
            </w:r>
            <w:r w:rsidRPr="00845946">
              <w:rPr>
                <w:rFonts w:ascii="Times New Roman" w:hAnsi="Times New Roman"/>
                <w:sz w:val="24"/>
                <w:szCs w:val="24"/>
                <w:lang w:val="nl-NL"/>
              </w:rPr>
              <w:t>Quỹ Chubb Life.</w:t>
            </w:r>
          </w:p>
        </w:tc>
      </w:tr>
      <w:tr w:rsidR="00202172" w:rsidRPr="00845946" w14:paraId="67D343EE" w14:textId="77777777" w:rsidTr="001929F3">
        <w:trPr>
          <w:trHeight w:val="1907"/>
        </w:trPr>
        <w:tc>
          <w:tcPr>
            <w:tcW w:w="1507" w:type="dxa"/>
            <w:tcBorders>
              <w:top w:val="nil"/>
              <w:left w:val="single" w:sz="4" w:space="0" w:color="auto"/>
              <w:bottom w:val="single" w:sz="4" w:space="0" w:color="auto"/>
              <w:right w:val="single" w:sz="4" w:space="0" w:color="auto"/>
            </w:tcBorders>
            <w:shd w:val="clear" w:color="auto" w:fill="auto"/>
            <w:noWrap/>
            <w:vAlign w:val="center"/>
            <w:hideMark/>
          </w:tcPr>
          <w:p w14:paraId="7EF8C19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 xml:space="preserve">Đinh Thị Hồng </w:t>
            </w:r>
            <w:r w:rsidR="000A231C" w:rsidRPr="00845946">
              <w:rPr>
                <w:rFonts w:ascii="Times New Roman" w:hAnsi="Times New Roman"/>
                <w:sz w:val="24"/>
                <w:szCs w:val="24"/>
                <w:lang w:val="nl-NL"/>
              </w:rPr>
              <w:t>Vân</w:t>
            </w:r>
          </w:p>
        </w:tc>
        <w:tc>
          <w:tcPr>
            <w:tcW w:w="1260" w:type="dxa"/>
            <w:tcBorders>
              <w:top w:val="nil"/>
              <w:left w:val="nil"/>
              <w:bottom w:val="single" w:sz="4" w:space="0" w:color="auto"/>
              <w:right w:val="single" w:sz="4" w:space="0" w:color="auto"/>
            </w:tcBorders>
            <w:shd w:val="clear" w:color="auto" w:fill="auto"/>
            <w:noWrap/>
            <w:vAlign w:val="center"/>
            <w:hideMark/>
          </w:tcPr>
          <w:p w14:paraId="2826FAF2" w14:textId="77777777" w:rsidR="00202172" w:rsidRPr="00845946" w:rsidRDefault="00202172" w:rsidP="00444BF6">
            <w:pPr>
              <w:jc w:val="center"/>
              <w:rPr>
                <w:rFonts w:ascii="Times New Roman" w:hAnsi="Times New Roman"/>
                <w:sz w:val="24"/>
                <w:szCs w:val="24"/>
                <w:lang w:val="nl-NL"/>
              </w:rPr>
            </w:pPr>
            <w:r w:rsidRPr="0084594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14:paraId="7A75E7F5" w14:textId="77777777" w:rsidR="00202172" w:rsidRPr="00845946" w:rsidRDefault="000A231C" w:rsidP="00444BF6">
            <w:pPr>
              <w:jc w:val="center"/>
              <w:rPr>
                <w:rFonts w:ascii="Times New Roman" w:hAnsi="Times New Roman"/>
                <w:sz w:val="24"/>
                <w:szCs w:val="24"/>
                <w:lang w:val="nl-NL"/>
              </w:rPr>
            </w:pPr>
            <w:r w:rsidRPr="00845946">
              <w:rPr>
                <w:rFonts w:ascii="Times New Roman" w:hAnsi="Times New Roman"/>
                <w:sz w:val="24"/>
                <w:szCs w:val="24"/>
                <w:lang w:val="nl-NL"/>
              </w:rPr>
              <w:t>Cử nhân</w:t>
            </w:r>
          </w:p>
        </w:tc>
        <w:tc>
          <w:tcPr>
            <w:tcW w:w="6300" w:type="dxa"/>
            <w:tcBorders>
              <w:top w:val="nil"/>
              <w:left w:val="nil"/>
              <w:bottom w:val="single" w:sz="4" w:space="0" w:color="auto"/>
              <w:right w:val="single" w:sz="4" w:space="0" w:color="auto"/>
            </w:tcBorders>
            <w:shd w:val="clear" w:color="auto" w:fill="auto"/>
            <w:vAlign w:val="bottom"/>
            <w:hideMark/>
          </w:tcPr>
          <w:p w14:paraId="67F73A49" w14:textId="77777777" w:rsidR="00FC5AAA"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09/2011-12/2011: Nhân viên phân tích tài chính – Công ty CP Đầu tư Long Quân.</w:t>
            </w:r>
            <w:r w:rsidRPr="00845946">
              <w:rPr>
                <w:rFonts w:ascii="Times New Roman" w:hAnsi="Times New Roman"/>
                <w:sz w:val="24"/>
                <w:szCs w:val="24"/>
                <w:lang w:val="nl-NL"/>
              </w:rPr>
              <w:br/>
              <w:t>Từ 01/2012-01/2020: Nhân viên phân tích đầu tư - Công ty CP Quản lý quỹ Đầu tư chứng khoán Việt Long.</w:t>
            </w:r>
            <w:r w:rsidRPr="00845946">
              <w:rPr>
                <w:rFonts w:ascii="Times New Roman" w:hAnsi="Times New Roman"/>
                <w:sz w:val="24"/>
                <w:szCs w:val="24"/>
                <w:lang w:val="nl-NL"/>
              </w:rPr>
              <w:br/>
              <w:t xml:space="preserve">Từ 02/2020 – 09/2020: Phó Giám đốc Tài chính – Kế hoạch Tổng Công ty Bến Thành TNHH MTV </w:t>
            </w:r>
          </w:p>
          <w:p w14:paraId="18509E3D" w14:textId="00F37C5E" w:rsidR="00202172" w:rsidRPr="00845946" w:rsidRDefault="00D032C7" w:rsidP="00FC5AAA">
            <w:pPr>
              <w:spacing w:after="0"/>
              <w:rPr>
                <w:rFonts w:ascii="Times New Roman" w:hAnsi="Times New Roman"/>
                <w:sz w:val="24"/>
                <w:szCs w:val="24"/>
                <w:lang w:val="nl-NL"/>
              </w:rPr>
            </w:pPr>
            <w:r w:rsidRPr="00845946">
              <w:rPr>
                <w:rFonts w:ascii="Times New Roman" w:hAnsi="Times New Roman"/>
                <w:sz w:val="24"/>
                <w:szCs w:val="24"/>
                <w:lang w:val="nl-NL"/>
              </w:rPr>
              <w:t>Từ 09/2020 đến nay: Giám sát</w:t>
            </w:r>
            <w:r w:rsidR="0026726B" w:rsidRPr="00845946">
              <w:rPr>
                <w:rFonts w:ascii="Times New Roman" w:hAnsi="Times New Roman"/>
                <w:sz w:val="24"/>
                <w:szCs w:val="24"/>
                <w:lang w:val="nl-NL"/>
              </w:rPr>
              <w:t xml:space="preserve"> cấp </w:t>
            </w:r>
            <w:r w:rsidR="00174E8C" w:rsidRPr="00845946">
              <w:rPr>
                <w:rFonts w:ascii="Times New Roman" w:hAnsi="Times New Roman"/>
                <w:sz w:val="24"/>
                <w:szCs w:val="24"/>
                <w:lang w:val="nl-NL"/>
              </w:rPr>
              <w:t>cao</w:t>
            </w:r>
            <w:r w:rsidRPr="00845946">
              <w:rPr>
                <w:rFonts w:ascii="Times New Roman" w:hAnsi="Times New Roman"/>
                <w:sz w:val="24"/>
                <w:szCs w:val="24"/>
                <w:lang w:val="nl-NL"/>
              </w:rPr>
              <w:t xml:space="preserve"> - Công ty TNHH MTV Quản lý Quỹ Chubb Life.</w:t>
            </w:r>
          </w:p>
        </w:tc>
      </w:tr>
      <w:bookmarkEnd w:id="4"/>
    </w:tbl>
    <w:tbl>
      <w:tblPr>
        <w:tblStyle w:val="TableGrid"/>
        <w:tblW w:w="0" w:type="auto"/>
        <w:tblLook w:val="04A0" w:firstRow="1" w:lastRow="0" w:firstColumn="1" w:lastColumn="0" w:noHBand="0" w:noVBand="1"/>
      </w:tblPr>
      <w:tblGrid>
        <w:gridCol w:w="4943"/>
        <w:gridCol w:w="4957"/>
      </w:tblGrid>
      <w:tr w:rsidR="00150086" w:rsidRPr="00845946" w14:paraId="3BDA13B7" w14:textId="77777777" w:rsidTr="00E15901">
        <w:trPr>
          <w:trHeight w:val="1700"/>
        </w:trPr>
        <w:tc>
          <w:tcPr>
            <w:tcW w:w="5027" w:type="dxa"/>
            <w:tcBorders>
              <w:top w:val="nil"/>
              <w:left w:val="nil"/>
              <w:bottom w:val="nil"/>
              <w:right w:val="nil"/>
            </w:tcBorders>
          </w:tcPr>
          <w:p w14:paraId="2EE1DD06" w14:textId="77777777" w:rsidR="00150086" w:rsidRPr="0084594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14:paraId="29E907AC" w14:textId="77777777" w:rsidR="000C3D77" w:rsidRPr="00845946" w:rsidRDefault="000C3D77" w:rsidP="00E15901">
            <w:pPr>
              <w:jc w:val="center"/>
              <w:rPr>
                <w:rFonts w:ascii="Times New Roman" w:hAnsi="Times New Roman"/>
                <w:b/>
                <w:sz w:val="24"/>
                <w:szCs w:val="24"/>
                <w:lang w:val="nl-NL"/>
              </w:rPr>
            </w:pPr>
          </w:p>
          <w:p w14:paraId="6BD818D0" w14:textId="77777777" w:rsidR="00150086" w:rsidRPr="00845946" w:rsidRDefault="00E15901" w:rsidP="00E15901">
            <w:pPr>
              <w:jc w:val="center"/>
              <w:rPr>
                <w:rFonts w:ascii="Times New Roman" w:hAnsi="Times New Roman"/>
                <w:b/>
                <w:sz w:val="24"/>
                <w:szCs w:val="24"/>
                <w:lang w:val="nl-NL"/>
              </w:rPr>
            </w:pPr>
            <w:r w:rsidRPr="00845946">
              <w:rPr>
                <w:rFonts w:ascii="Times New Roman" w:hAnsi="Times New Roman"/>
                <w:b/>
                <w:sz w:val="24"/>
                <w:szCs w:val="24"/>
                <w:lang w:val="nl-NL"/>
              </w:rPr>
              <w:t>ĐẠI DIỆN CÔNG TY QLQ CHUBB LIFE</w:t>
            </w:r>
          </w:p>
          <w:p w14:paraId="0A34B036" w14:textId="020F97EB" w:rsidR="002B3684" w:rsidRPr="00845946" w:rsidRDefault="000F44DE" w:rsidP="00893024">
            <w:pPr>
              <w:jc w:val="center"/>
              <w:rPr>
                <w:rFonts w:ascii="Times New Roman" w:hAnsi="Times New Roman"/>
                <w:b/>
                <w:sz w:val="24"/>
                <w:szCs w:val="24"/>
                <w:lang w:val="nl-NL"/>
              </w:rPr>
            </w:pPr>
            <w:r w:rsidRPr="00845946">
              <w:rPr>
                <w:rFonts w:ascii="Times New Roman" w:hAnsi="Times New Roman"/>
                <w:b/>
                <w:sz w:val="24"/>
                <w:szCs w:val="24"/>
                <w:lang w:val="nl-NL"/>
              </w:rPr>
              <w:t>Chủ tịch Công ty</w:t>
            </w:r>
          </w:p>
          <w:p w14:paraId="2258C729" w14:textId="77777777" w:rsidR="002B3684" w:rsidRDefault="002B3684" w:rsidP="007A0A23">
            <w:pPr>
              <w:rPr>
                <w:rFonts w:ascii="Times New Roman" w:hAnsi="Times New Roman"/>
                <w:b/>
                <w:sz w:val="24"/>
                <w:szCs w:val="24"/>
                <w:lang w:val="nl-NL"/>
              </w:rPr>
            </w:pPr>
          </w:p>
          <w:p w14:paraId="6CD2AD75" w14:textId="77777777" w:rsidR="00845946" w:rsidRDefault="00845946" w:rsidP="007A0A23">
            <w:pPr>
              <w:rPr>
                <w:rFonts w:ascii="Times New Roman" w:hAnsi="Times New Roman"/>
                <w:b/>
                <w:sz w:val="24"/>
                <w:szCs w:val="24"/>
                <w:lang w:val="nl-NL"/>
              </w:rPr>
            </w:pPr>
          </w:p>
          <w:p w14:paraId="1D8F04F5" w14:textId="77777777" w:rsidR="00893024" w:rsidRPr="00845946" w:rsidRDefault="00893024" w:rsidP="007A0A23">
            <w:pPr>
              <w:rPr>
                <w:rFonts w:ascii="Times New Roman" w:hAnsi="Times New Roman"/>
                <w:b/>
                <w:sz w:val="24"/>
                <w:szCs w:val="24"/>
                <w:lang w:val="nl-NL"/>
              </w:rPr>
            </w:pPr>
          </w:p>
          <w:p w14:paraId="42DD2492" w14:textId="77777777" w:rsidR="002B3684" w:rsidRPr="00845946" w:rsidRDefault="002B3684" w:rsidP="007A0A23">
            <w:pPr>
              <w:rPr>
                <w:rFonts w:ascii="Times New Roman" w:hAnsi="Times New Roman"/>
                <w:b/>
                <w:sz w:val="24"/>
                <w:szCs w:val="24"/>
                <w:lang w:val="nl-NL"/>
              </w:rPr>
            </w:pPr>
          </w:p>
          <w:p w14:paraId="38D0C31D" w14:textId="787353E8" w:rsidR="00E15901" w:rsidRPr="00845946" w:rsidRDefault="00174E8C" w:rsidP="004D11B4">
            <w:pPr>
              <w:jc w:val="center"/>
              <w:rPr>
                <w:rFonts w:ascii="Times New Roman" w:hAnsi="Times New Roman"/>
                <w:sz w:val="24"/>
                <w:szCs w:val="24"/>
                <w:lang w:val="nl-NL"/>
              </w:rPr>
            </w:pPr>
            <w:r w:rsidRPr="00845946">
              <w:rPr>
                <w:rFonts w:ascii="Times New Roman" w:hAnsi="Times New Roman"/>
                <w:b/>
                <w:sz w:val="24"/>
                <w:szCs w:val="24"/>
                <w:lang w:val="nl-NL"/>
              </w:rPr>
              <w:t>Nguyễn Hồng Sơn</w:t>
            </w:r>
          </w:p>
        </w:tc>
      </w:tr>
    </w:tbl>
    <w:p w14:paraId="383327B3" w14:textId="77777777" w:rsidR="005F0B26" w:rsidRPr="00845946" w:rsidRDefault="005F0B26" w:rsidP="00893024">
      <w:pPr>
        <w:jc w:val="both"/>
        <w:rPr>
          <w:rFonts w:ascii="Times New Roman" w:hAnsi="Times New Roman"/>
          <w:sz w:val="24"/>
          <w:szCs w:val="24"/>
          <w:lang w:val="nl-NL"/>
        </w:rPr>
      </w:pPr>
    </w:p>
    <w:sectPr w:rsidR="005F0B26" w:rsidRPr="00845946" w:rsidSect="00893024">
      <w:headerReference w:type="even" r:id="rId13"/>
      <w:headerReference w:type="default" r:id="rId14"/>
      <w:footerReference w:type="even" r:id="rId15"/>
      <w:footerReference w:type="default" r:id="rId16"/>
      <w:headerReference w:type="first" r:id="rId17"/>
      <w:footerReference w:type="first" r:id="rId18"/>
      <w:pgSz w:w="12240" w:h="15840"/>
      <w:pgMar w:top="630" w:right="900" w:bottom="36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CED8" w14:textId="77777777" w:rsidR="00AF0080" w:rsidRDefault="00AF0080" w:rsidP="00621E6D">
      <w:pPr>
        <w:spacing w:after="0" w:line="240" w:lineRule="auto"/>
      </w:pPr>
      <w:r>
        <w:separator/>
      </w:r>
    </w:p>
  </w:endnote>
  <w:endnote w:type="continuationSeparator" w:id="0">
    <w:p w14:paraId="7236D639" w14:textId="77777777" w:rsidR="00AF0080" w:rsidRDefault="00AF0080"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0A6E" w14:textId="77777777" w:rsidR="00AF0080" w:rsidRDefault="00AF0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53624"/>
      <w:docPartObj>
        <w:docPartGallery w:val="Page Numbers (Bottom of Page)"/>
        <w:docPartUnique/>
      </w:docPartObj>
    </w:sdtPr>
    <w:sdtEndPr>
      <w:rPr>
        <w:noProof/>
      </w:rPr>
    </w:sdtEndPr>
    <w:sdtContent>
      <w:p w14:paraId="0CF239F1" w14:textId="77777777" w:rsidR="00AF0080" w:rsidRDefault="00AF008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3A59370" w14:textId="77777777" w:rsidR="00AF0080" w:rsidRDefault="00AF0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199B" w14:textId="77777777" w:rsidR="00AF0080" w:rsidRDefault="00AF0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CEE9" w14:textId="77777777" w:rsidR="00AF0080" w:rsidRDefault="00AF0080" w:rsidP="00621E6D">
      <w:pPr>
        <w:spacing w:after="0" w:line="240" w:lineRule="auto"/>
      </w:pPr>
      <w:r>
        <w:separator/>
      </w:r>
    </w:p>
  </w:footnote>
  <w:footnote w:type="continuationSeparator" w:id="0">
    <w:p w14:paraId="7D126308" w14:textId="77777777" w:rsidR="00AF0080" w:rsidRDefault="00AF0080"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DFEF" w14:textId="77777777" w:rsidR="00AF0080" w:rsidRDefault="00AF0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8D5B" w14:textId="77777777" w:rsidR="00AF0080" w:rsidRDefault="00AF0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8EE6" w14:textId="77777777" w:rsidR="00AF0080" w:rsidRDefault="00AF0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1B949BB"/>
    <w:multiLevelType w:val="hybridMultilevel"/>
    <w:tmpl w:val="7B1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80223"/>
    <w:multiLevelType w:val="hybridMultilevel"/>
    <w:tmpl w:val="6456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0A53AB4"/>
    <w:multiLevelType w:val="hybridMultilevel"/>
    <w:tmpl w:val="8760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25726A8"/>
    <w:multiLevelType w:val="hybridMultilevel"/>
    <w:tmpl w:val="86BA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E83330"/>
    <w:multiLevelType w:val="hybridMultilevel"/>
    <w:tmpl w:val="CE38E9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B540DE8"/>
    <w:multiLevelType w:val="hybridMultilevel"/>
    <w:tmpl w:val="5330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855A9B"/>
    <w:multiLevelType w:val="hybridMultilevel"/>
    <w:tmpl w:val="8152AE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16"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749A0128"/>
    <w:multiLevelType w:val="hybridMultilevel"/>
    <w:tmpl w:val="966C595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60571C8"/>
    <w:multiLevelType w:val="hybridMultilevel"/>
    <w:tmpl w:val="433E2138"/>
    <w:lvl w:ilvl="0" w:tplc="BB785E3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F151E48"/>
    <w:multiLevelType w:val="hybridMultilevel"/>
    <w:tmpl w:val="EF6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242675">
    <w:abstractNumId w:val="7"/>
  </w:num>
  <w:num w:numId="2" w16cid:durableId="736634912">
    <w:abstractNumId w:val="11"/>
  </w:num>
  <w:num w:numId="3" w16cid:durableId="1145468667">
    <w:abstractNumId w:val="6"/>
  </w:num>
  <w:num w:numId="4" w16cid:durableId="741680657">
    <w:abstractNumId w:val="4"/>
  </w:num>
  <w:num w:numId="5" w16cid:durableId="1737313541">
    <w:abstractNumId w:val="1"/>
  </w:num>
  <w:num w:numId="6" w16cid:durableId="558369754">
    <w:abstractNumId w:val="8"/>
  </w:num>
  <w:num w:numId="7" w16cid:durableId="3071703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04687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1562060">
    <w:abstractNumId w:val="19"/>
  </w:num>
  <w:num w:numId="10" w16cid:durableId="2057199301">
    <w:abstractNumId w:val="15"/>
  </w:num>
  <w:num w:numId="11" w16cid:durableId="1043479870">
    <w:abstractNumId w:val="0"/>
  </w:num>
  <w:num w:numId="12" w16cid:durableId="559482682">
    <w:abstractNumId w:val="14"/>
  </w:num>
  <w:num w:numId="13" w16cid:durableId="274752514">
    <w:abstractNumId w:val="18"/>
  </w:num>
  <w:num w:numId="14" w16cid:durableId="1595673047">
    <w:abstractNumId w:val="12"/>
  </w:num>
  <w:num w:numId="15" w16cid:durableId="1438788929">
    <w:abstractNumId w:val="20"/>
  </w:num>
  <w:num w:numId="16" w16cid:durableId="1363823575">
    <w:abstractNumId w:val="2"/>
  </w:num>
  <w:num w:numId="17" w16cid:durableId="1668941327">
    <w:abstractNumId w:val="3"/>
  </w:num>
  <w:num w:numId="18" w16cid:durableId="1332295709">
    <w:abstractNumId w:val="21"/>
  </w:num>
  <w:num w:numId="19" w16cid:durableId="524558299">
    <w:abstractNumId w:val="16"/>
  </w:num>
  <w:num w:numId="20" w16cid:durableId="1130129711">
    <w:abstractNumId w:val="10"/>
  </w:num>
  <w:num w:numId="21" w16cid:durableId="1659455357">
    <w:abstractNumId w:val="13"/>
  </w:num>
  <w:num w:numId="22" w16cid:durableId="1605189229">
    <w:abstractNumId w:val="9"/>
  </w:num>
  <w:num w:numId="23" w16cid:durableId="1781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468"/>
    <w:rsid w:val="00002E9D"/>
    <w:rsid w:val="00005875"/>
    <w:rsid w:val="0000760F"/>
    <w:rsid w:val="0000792D"/>
    <w:rsid w:val="00010261"/>
    <w:rsid w:val="0001162F"/>
    <w:rsid w:val="000157FC"/>
    <w:rsid w:val="00020B1A"/>
    <w:rsid w:val="00026369"/>
    <w:rsid w:val="0002715B"/>
    <w:rsid w:val="00027D85"/>
    <w:rsid w:val="0003114E"/>
    <w:rsid w:val="0004070C"/>
    <w:rsid w:val="00040FFF"/>
    <w:rsid w:val="00041612"/>
    <w:rsid w:val="00042CBD"/>
    <w:rsid w:val="00045DF3"/>
    <w:rsid w:val="00047792"/>
    <w:rsid w:val="00050A6F"/>
    <w:rsid w:val="00051133"/>
    <w:rsid w:val="0006173F"/>
    <w:rsid w:val="00062E94"/>
    <w:rsid w:val="00070777"/>
    <w:rsid w:val="000710EE"/>
    <w:rsid w:val="000735A3"/>
    <w:rsid w:val="00075853"/>
    <w:rsid w:val="000769A6"/>
    <w:rsid w:val="00077FEE"/>
    <w:rsid w:val="00081721"/>
    <w:rsid w:val="000820B6"/>
    <w:rsid w:val="000820BA"/>
    <w:rsid w:val="00086113"/>
    <w:rsid w:val="0009242D"/>
    <w:rsid w:val="00093EA6"/>
    <w:rsid w:val="000A1367"/>
    <w:rsid w:val="000A231C"/>
    <w:rsid w:val="000A2E23"/>
    <w:rsid w:val="000A71FA"/>
    <w:rsid w:val="000B09F7"/>
    <w:rsid w:val="000B1520"/>
    <w:rsid w:val="000C3D77"/>
    <w:rsid w:val="000C4080"/>
    <w:rsid w:val="000D3844"/>
    <w:rsid w:val="000D49A1"/>
    <w:rsid w:val="000D5E12"/>
    <w:rsid w:val="000E01F1"/>
    <w:rsid w:val="000E0608"/>
    <w:rsid w:val="000E3736"/>
    <w:rsid w:val="000E3955"/>
    <w:rsid w:val="000E4B2B"/>
    <w:rsid w:val="000E7ED9"/>
    <w:rsid w:val="000F3682"/>
    <w:rsid w:val="000F44DE"/>
    <w:rsid w:val="000F4B4C"/>
    <w:rsid w:val="00105616"/>
    <w:rsid w:val="00110403"/>
    <w:rsid w:val="00117CF9"/>
    <w:rsid w:val="0012281A"/>
    <w:rsid w:val="0012287F"/>
    <w:rsid w:val="00134BD1"/>
    <w:rsid w:val="00142DBD"/>
    <w:rsid w:val="00146593"/>
    <w:rsid w:val="00150086"/>
    <w:rsid w:val="00152097"/>
    <w:rsid w:val="00153944"/>
    <w:rsid w:val="00162A21"/>
    <w:rsid w:val="001672F9"/>
    <w:rsid w:val="0017175C"/>
    <w:rsid w:val="001724E2"/>
    <w:rsid w:val="00173F1B"/>
    <w:rsid w:val="00174E8C"/>
    <w:rsid w:val="001752CF"/>
    <w:rsid w:val="00186307"/>
    <w:rsid w:val="00190F95"/>
    <w:rsid w:val="00191B65"/>
    <w:rsid w:val="001929F3"/>
    <w:rsid w:val="001950F7"/>
    <w:rsid w:val="001A5984"/>
    <w:rsid w:val="001B0A91"/>
    <w:rsid w:val="001B0D7B"/>
    <w:rsid w:val="001B0DD1"/>
    <w:rsid w:val="001C1FBF"/>
    <w:rsid w:val="001C4468"/>
    <w:rsid w:val="001C5245"/>
    <w:rsid w:val="001C5CDE"/>
    <w:rsid w:val="001C68EF"/>
    <w:rsid w:val="001C6980"/>
    <w:rsid w:val="001D4521"/>
    <w:rsid w:val="001D508C"/>
    <w:rsid w:val="001E511A"/>
    <w:rsid w:val="001E60C9"/>
    <w:rsid w:val="001F1E38"/>
    <w:rsid w:val="001F3B0D"/>
    <w:rsid w:val="001F4A0D"/>
    <w:rsid w:val="001F4CC2"/>
    <w:rsid w:val="00200BB4"/>
    <w:rsid w:val="00202172"/>
    <w:rsid w:val="002041B3"/>
    <w:rsid w:val="00210639"/>
    <w:rsid w:val="00210D1A"/>
    <w:rsid w:val="00211A04"/>
    <w:rsid w:val="00215E36"/>
    <w:rsid w:val="00227DC9"/>
    <w:rsid w:val="00227F9D"/>
    <w:rsid w:val="002339E4"/>
    <w:rsid w:val="00234F74"/>
    <w:rsid w:val="0023615B"/>
    <w:rsid w:val="00237688"/>
    <w:rsid w:val="00244FFB"/>
    <w:rsid w:val="002455BF"/>
    <w:rsid w:val="0024670A"/>
    <w:rsid w:val="00250CB9"/>
    <w:rsid w:val="00253744"/>
    <w:rsid w:val="0025507D"/>
    <w:rsid w:val="00255737"/>
    <w:rsid w:val="002618AF"/>
    <w:rsid w:val="00265912"/>
    <w:rsid w:val="00265A74"/>
    <w:rsid w:val="0026726B"/>
    <w:rsid w:val="00276FF6"/>
    <w:rsid w:val="00282584"/>
    <w:rsid w:val="00282639"/>
    <w:rsid w:val="00287AF8"/>
    <w:rsid w:val="002905F1"/>
    <w:rsid w:val="002977FF"/>
    <w:rsid w:val="002A7BA4"/>
    <w:rsid w:val="002B187E"/>
    <w:rsid w:val="002B3684"/>
    <w:rsid w:val="002B40F3"/>
    <w:rsid w:val="002B57F3"/>
    <w:rsid w:val="002B787B"/>
    <w:rsid w:val="002C20E9"/>
    <w:rsid w:val="002C5193"/>
    <w:rsid w:val="002C6230"/>
    <w:rsid w:val="002D42A2"/>
    <w:rsid w:val="002D4620"/>
    <w:rsid w:val="002D492D"/>
    <w:rsid w:val="002D54C8"/>
    <w:rsid w:val="002D6606"/>
    <w:rsid w:val="002E503E"/>
    <w:rsid w:val="002F09D5"/>
    <w:rsid w:val="002F139D"/>
    <w:rsid w:val="002F1A2E"/>
    <w:rsid w:val="002F6367"/>
    <w:rsid w:val="002F6FB5"/>
    <w:rsid w:val="003001EE"/>
    <w:rsid w:val="0030198D"/>
    <w:rsid w:val="00305AB9"/>
    <w:rsid w:val="003063B2"/>
    <w:rsid w:val="00307271"/>
    <w:rsid w:val="00312040"/>
    <w:rsid w:val="00321C3D"/>
    <w:rsid w:val="00326421"/>
    <w:rsid w:val="003271F8"/>
    <w:rsid w:val="00332909"/>
    <w:rsid w:val="00332DC8"/>
    <w:rsid w:val="0034115C"/>
    <w:rsid w:val="003426F4"/>
    <w:rsid w:val="003464D6"/>
    <w:rsid w:val="003510B0"/>
    <w:rsid w:val="00357840"/>
    <w:rsid w:val="00363061"/>
    <w:rsid w:val="0037324A"/>
    <w:rsid w:val="0037624C"/>
    <w:rsid w:val="00382AD3"/>
    <w:rsid w:val="0038459F"/>
    <w:rsid w:val="00385214"/>
    <w:rsid w:val="00387807"/>
    <w:rsid w:val="003A2BDE"/>
    <w:rsid w:val="003A408C"/>
    <w:rsid w:val="003A426C"/>
    <w:rsid w:val="003A4957"/>
    <w:rsid w:val="003A70A6"/>
    <w:rsid w:val="003C2D8C"/>
    <w:rsid w:val="003D65DF"/>
    <w:rsid w:val="003D7C0D"/>
    <w:rsid w:val="003E0DEE"/>
    <w:rsid w:val="003E1BCB"/>
    <w:rsid w:val="003E47A2"/>
    <w:rsid w:val="003E4AD7"/>
    <w:rsid w:val="003F1AFC"/>
    <w:rsid w:val="003F1FA0"/>
    <w:rsid w:val="003F393D"/>
    <w:rsid w:val="003F7F46"/>
    <w:rsid w:val="004050F5"/>
    <w:rsid w:val="00406622"/>
    <w:rsid w:val="004115A2"/>
    <w:rsid w:val="004122D4"/>
    <w:rsid w:val="00413B4D"/>
    <w:rsid w:val="00417E92"/>
    <w:rsid w:val="004231A9"/>
    <w:rsid w:val="00426C3F"/>
    <w:rsid w:val="004275CE"/>
    <w:rsid w:val="00427868"/>
    <w:rsid w:val="00430277"/>
    <w:rsid w:val="0043281B"/>
    <w:rsid w:val="004336D0"/>
    <w:rsid w:val="0043581D"/>
    <w:rsid w:val="00436680"/>
    <w:rsid w:val="00444BF6"/>
    <w:rsid w:val="00444FDF"/>
    <w:rsid w:val="00445F8E"/>
    <w:rsid w:val="0045028F"/>
    <w:rsid w:val="00454E48"/>
    <w:rsid w:val="00460550"/>
    <w:rsid w:val="00461ED9"/>
    <w:rsid w:val="00462F4B"/>
    <w:rsid w:val="004637B7"/>
    <w:rsid w:val="00466083"/>
    <w:rsid w:val="004777E3"/>
    <w:rsid w:val="0048042C"/>
    <w:rsid w:val="00482437"/>
    <w:rsid w:val="0048576D"/>
    <w:rsid w:val="00486F0E"/>
    <w:rsid w:val="00497BB9"/>
    <w:rsid w:val="00497DBF"/>
    <w:rsid w:val="004A2B94"/>
    <w:rsid w:val="004A3762"/>
    <w:rsid w:val="004A43EC"/>
    <w:rsid w:val="004A5AA7"/>
    <w:rsid w:val="004B07B4"/>
    <w:rsid w:val="004B1A67"/>
    <w:rsid w:val="004B4036"/>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24184"/>
    <w:rsid w:val="00530319"/>
    <w:rsid w:val="00530A42"/>
    <w:rsid w:val="005426DE"/>
    <w:rsid w:val="00547008"/>
    <w:rsid w:val="005526F1"/>
    <w:rsid w:val="005539C8"/>
    <w:rsid w:val="005579D4"/>
    <w:rsid w:val="00557AE0"/>
    <w:rsid w:val="00560EC0"/>
    <w:rsid w:val="0056426D"/>
    <w:rsid w:val="00565475"/>
    <w:rsid w:val="005676E2"/>
    <w:rsid w:val="005700FF"/>
    <w:rsid w:val="00571CA9"/>
    <w:rsid w:val="00577F49"/>
    <w:rsid w:val="00577FA8"/>
    <w:rsid w:val="0058004F"/>
    <w:rsid w:val="005843B3"/>
    <w:rsid w:val="005877F8"/>
    <w:rsid w:val="005878EA"/>
    <w:rsid w:val="005944D9"/>
    <w:rsid w:val="005A11A2"/>
    <w:rsid w:val="005A1F40"/>
    <w:rsid w:val="005A3A09"/>
    <w:rsid w:val="005A3D85"/>
    <w:rsid w:val="005A6155"/>
    <w:rsid w:val="005A7362"/>
    <w:rsid w:val="005B079D"/>
    <w:rsid w:val="005B2BDA"/>
    <w:rsid w:val="005B3F8C"/>
    <w:rsid w:val="005B4551"/>
    <w:rsid w:val="005C4036"/>
    <w:rsid w:val="005C766A"/>
    <w:rsid w:val="005D0313"/>
    <w:rsid w:val="005D3BEC"/>
    <w:rsid w:val="005E2992"/>
    <w:rsid w:val="005E35AC"/>
    <w:rsid w:val="005E577E"/>
    <w:rsid w:val="005E6DD7"/>
    <w:rsid w:val="005F0B26"/>
    <w:rsid w:val="005F58BD"/>
    <w:rsid w:val="00605309"/>
    <w:rsid w:val="006103C2"/>
    <w:rsid w:val="006117A5"/>
    <w:rsid w:val="00621E6D"/>
    <w:rsid w:val="00623046"/>
    <w:rsid w:val="00624F03"/>
    <w:rsid w:val="00625935"/>
    <w:rsid w:val="006334E3"/>
    <w:rsid w:val="00636709"/>
    <w:rsid w:val="006377D3"/>
    <w:rsid w:val="00643099"/>
    <w:rsid w:val="00651A19"/>
    <w:rsid w:val="00652C06"/>
    <w:rsid w:val="0065494C"/>
    <w:rsid w:val="00655CE1"/>
    <w:rsid w:val="00660D25"/>
    <w:rsid w:val="0067496B"/>
    <w:rsid w:val="00682EA2"/>
    <w:rsid w:val="00683750"/>
    <w:rsid w:val="00683B11"/>
    <w:rsid w:val="00683E09"/>
    <w:rsid w:val="00685F5A"/>
    <w:rsid w:val="00686487"/>
    <w:rsid w:val="00687A29"/>
    <w:rsid w:val="00693430"/>
    <w:rsid w:val="00697342"/>
    <w:rsid w:val="00697B7E"/>
    <w:rsid w:val="006A40CC"/>
    <w:rsid w:val="006A45A0"/>
    <w:rsid w:val="006A6312"/>
    <w:rsid w:val="006B3050"/>
    <w:rsid w:val="006B5AA7"/>
    <w:rsid w:val="006B6149"/>
    <w:rsid w:val="006C2A4E"/>
    <w:rsid w:val="006C65A3"/>
    <w:rsid w:val="006D079C"/>
    <w:rsid w:val="006D3F57"/>
    <w:rsid w:val="006E26E5"/>
    <w:rsid w:val="006E3CFF"/>
    <w:rsid w:val="006E5472"/>
    <w:rsid w:val="006E7196"/>
    <w:rsid w:val="006F77D6"/>
    <w:rsid w:val="0070318A"/>
    <w:rsid w:val="00704BC3"/>
    <w:rsid w:val="0070640D"/>
    <w:rsid w:val="00712D7D"/>
    <w:rsid w:val="00716B2D"/>
    <w:rsid w:val="00727607"/>
    <w:rsid w:val="00730E8A"/>
    <w:rsid w:val="0074088D"/>
    <w:rsid w:val="00741A4A"/>
    <w:rsid w:val="0074515D"/>
    <w:rsid w:val="00765898"/>
    <w:rsid w:val="0076774F"/>
    <w:rsid w:val="00773164"/>
    <w:rsid w:val="007732FC"/>
    <w:rsid w:val="00774C82"/>
    <w:rsid w:val="0077578C"/>
    <w:rsid w:val="00777DCC"/>
    <w:rsid w:val="00783896"/>
    <w:rsid w:val="00785B67"/>
    <w:rsid w:val="00785B96"/>
    <w:rsid w:val="00787301"/>
    <w:rsid w:val="00797216"/>
    <w:rsid w:val="007A0A23"/>
    <w:rsid w:val="007A17AC"/>
    <w:rsid w:val="007A5BE4"/>
    <w:rsid w:val="007A5D74"/>
    <w:rsid w:val="007A6EFD"/>
    <w:rsid w:val="007B0090"/>
    <w:rsid w:val="007B261B"/>
    <w:rsid w:val="007C2E9E"/>
    <w:rsid w:val="007C3A53"/>
    <w:rsid w:val="007D1DB0"/>
    <w:rsid w:val="007D6CE8"/>
    <w:rsid w:val="007E0B50"/>
    <w:rsid w:val="007E12B4"/>
    <w:rsid w:val="007E57EF"/>
    <w:rsid w:val="007E693D"/>
    <w:rsid w:val="007E6E78"/>
    <w:rsid w:val="007E6F5B"/>
    <w:rsid w:val="007E6FEE"/>
    <w:rsid w:val="007F3703"/>
    <w:rsid w:val="008052ED"/>
    <w:rsid w:val="00813E8D"/>
    <w:rsid w:val="008321C8"/>
    <w:rsid w:val="00833CD6"/>
    <w:rsid w:val="00837006"/>
    <w:rsid w:val="00841CF8"/>
    <w:rsid w:val="008444BA"/>
    <w:rsid w:val="00845573"/>
    <w:rsid w:val="00845946"/>
    <w:rsid w:val="00846481"/>
    <w:rsid w:val="00847786"/>
    <w:rsid w:val="008506DF"/>
    <w:rsid w:val="008575D7"/>
    <w:rsid w:val="00861D99"/>
    <w:rsid w:val="00864080"/>
    <w:rsid w:val="008650FA"/>
    <w:rsid w:val="00870BC4"/>
    <w:rsid w:val="00871D78"/>
    <w:rsid w:val="008759BF"/>
    <w:rsid w:val="008850AC"/>
    <w:rsid w:val="00893024"/>
    <w:rsid w:val="008971A6"/>
    <w:rsid w:val="008978F2"/>
    <w:rsid w:val="008A1716"/>
    <w:rsid w:val="008A2792"/>
    <w:rsid w:val="008A4832"/>
    <w:rsid w:val="008A4BAD"/>
    <w:rsid w:val="008B22D1"/>
    <w:rsid w:val="008B7453"/>
    <w:rsid w:val="008B78E4"/>
    <w:rsid w:val="008C0AC7"/>
    <w:rsid w:val="008C4FA3"/>
    <w:rsid w:val="008D0026"/>
    <w:rsid w:val="008D6682"/>
    <w:rsid w:val="008E0B75"/>
    <w:rsid w:val="008E250F"/>
    <w:rsid w:val="008E3939"/>
    <w:rsid w:val="008F1B52"/>
    <w:rsid w:val="008F285B"/>
    <w:rsid w:val="008F48C6"/>
    <w:rsid w:val="009033D7"/>
    <w:rsid w:val="00907CE6"/>
    <w:rsid w:val="009203CB"/>
    <w:rsid w:val="00920E4F"/>
    <w:rsid w:val="00925163"/>
    <w:rsid w:val="009271D9"/>
    <w:rsid w:val="009408B0"/>
    <w:rsid w:val="00940CBC"/>
    <w:rsid w:val="00947C56"/>
    <w:rsid w:val="009535E9"/>
    <w:rsid w:val="009648AF"/>
    <w:rsid w:val="00964A58"/>
    <w:rsid w:val="00966CCA"/>
    <w:rsid w:val="009671DB"/>
    <w:rsid w:val="00967897"/>
    <w:rsid w:val="0097267A"/>
    <w:rsid w:val="00980853"/>
    <w:rsid w:val="009860B3"/>
    <w:rsid w:val="00990F15"/>
    <w:rsid w:val="00991BED"/>
    <w:rsid w:val="009959A1"/>
    <w:rsid w:val="009A1490"/>
    <w:rsid w:val="009A353C"/>
    <w:rsid w:val="009A4558"/>
    <w:rsid w:val="009A7470"/>
    <w:rsid w:val="009B0E7F"/>
    <w:rsid w:val="009B3D6D"/>
    <w:rsid w:val="009B5719"/>
    <w:rsid w:val="009B6D55"/>
    <w:rsid w:val="009C0EF7"/>
    <w:rsid w:val="009C24DB"/>
    <w:rsid w:val="009C342F"/>
    <w:rsid w:val="009C5C88"/>
    <w:rsid w:val="009E1ED4"/>
    <w:rsid w:val="009E3A60"/>
    <w:rsid w:val="009E50ED"/>
    <w:rsid w:val="009F0B2B"/>
    <w:rsid w:val="009F251C"/>
    <w:rsid w:val="009F4AB6"/>
    <w:rsid w:val="00A02690"/>
    <w:rsid w:val="00A06FBD"/>
    <w:rsid w:val="00A1471B"/>
    <w:rsid w:val="00A16895"/>
    <w:rsid w:val="00A20189"/>
    <w:rsid w:val="00A20256"/>
    <w:rsid w:val="00A220CA"/>
    <w:rsid w:val="00A22977"/>
    <w:rsid w:val="00A27AF7"/>
    <w:rsid w:val="00A32FB4"/>
    <w:rsid w:val="00A44C3C"/>
    <w:rsid w:val="00A462A3"/>
    <w:rsid w:val="00A46DC4"/>
    <w:rsid w:val="00A631FF"/>
    <w:rsid w:val="00A65D37"/>
    <w:rsid w:val="00A666C4"/>
    <w:rsid w:val="00A67095"/>
    <w:rsid w:val="00A72171"/>
    <w:rsid w:val="00A75631"/>
    <w:rsid w:val="00A7782D"/>
    <w:rsid w:val="00A81C20"/>
    <w:rsid w:val="00A85A22"/>
    <w:rsid w:val="00A86A2B"/>
    <w:rsid w:val="00A9075F"/>
    <w:rsid w:val="00A926B4"/>
    <w:rsid w:val="00A92B40"/>
    <w:rsid w:val="00A94E19"/>
    <w:rsid w:val="00A962C0"/>
    <w:rsid w:val="00AA4A7F"/>
    <w:rsid w:val="00AA4AF1"/>
    <w:rsid w:val="00AA4C6A"/>
    <w:rsid w:val="00AB0E9A"/>
    <w:rsid w:val="00AB3B53"/>
    <w:rsid w:val="00AB629C"/>
    <w:rsid w:val="00AB6431"/>
    <w:rsid w:val="00AB6DCF"/>
    <w:rsid w:val="00AC26AE"/>
    <w:rsid w:val="00AC3F03"/>
    <w:rsid w:val="00AC6473"/>
    <w:rsid w:val="00AD50FE"/>
    <w:rsid w:val="00AD5D01"/>
    <w:rsid w:val="00AE0433"/>
    <w:rsid w:val="00AE1160"/>
    <w:rsid w:val="00AE2EB4"/>
    <w:rsid w:val="00AE3D2A"/>
    <w:rsid w:val="00AF0080"/>
    <w:rsid w:val="00B00858"/>
    <w:rsid w:val="00B10A55"/>
    <w:rsid w:val="00B13170"/>
    <w:rsid w:val="00B14C08"/>
    <w:rsid w:val="00B25E57"/>
    <w:rsid w:val="00B32608"/>
    <w:rsid w:val="00B3750F"/>
    <w:rsid w:val="00B40151"/>
    <w:rsid w:val="00B53B5E"/>
    <w:rsid w:val="00B57D9B"/>
    <w:rsid w:val="00B63D9B"/>
    <w:rsid w:val="00B7015F"/>
    <w:rsid w:val="00B80B17"/>
    <w:rsid w:val="00B8133E"/>
    <w:rsid w:val="00B84DD0"/>
    <w:rsid w:val="00B85125"/>
    <w:rsid w:val="00B94E4D"/>
    <w:rsid w:val="00B953F5"/>
    <w:rsid w:val="00B978B2"/>
    <w:rsid w:val="00BA4FB3"/>
    <w:rsid w:val="00BB27E1"/>
    <w:rsid w:val="00BC34A7"/>
    <w:rsid w:val="00BC5D71"/>
    <w:rsid w:val="00BD0161"/>
    <w:rsid w:val="00BD2872"/>
    <w:rsid w:val="00BD584D"/>
    <w:rsid w:val="00BD670B"/>
    <w:rsid w:val="00BE0D4A"/>
    <w:rsid w:val="00BE2769"/>
    <w:rsid w:val="00BF6CD7"/>
    <w:rsid w:val="00C0195A"/>
    <w:rsid w:val="00C02401"/>
    <w:rsid w:val="00C06888"/>
    <w:rsid w:val="00C10644"/>
    <w:rsid w:val="00C10822"/>
    <w:rsid w:val="00C14EF5"/>
    <w:rsid w:val="00C15853"/>
    <w:rsid w:val="00C17D8E"/>
    <w:rsid w:val="00C220A0"/>
    <w:rsid w:val="00C23979"/>
    <w:rsid w:val="00C272AB"/>
    <w:rsid w:val="00C30443"/>
    <w:rsid w:val="00C31871"/>
    <w:rsid w:val="00C35526"/>
    <w:rsid w:val="00C36875"/>
    <w:rsid w:val="00C40ACD"/>
    <w:rsid w:val="00C40CA8"/>
    <w:rsid w:val="00C44997"/>
    <w:rsid w:val="00C46EC0"/>
    <w:rsid w:val="00C50925"/>
    <w:rsid w:val="00C61777"/>
    <w:rsid w:val="00C62A28"/>
    <w:rsid w:val="00C64243"/>
    <w:rsid w:val="00C676CB"/>
    <w:rsid w:val="00C703B2"/>
    <w:rsid w:val="00C7252B"/>
    <w:rsid w:val="00C8028F"/>
    <w:rsid w:val="00C804B5"/>
    <w:rsid w:val="00C805A1"/>
    <w:rsid w:val="00C8278D"/>
    <w:rsid w:val="00C85239"/>
    <w:rsid w:val="00C8682D"/>
    <w:rsid w:val="00C904C9"/>
    <w:rsid w:val="00CA0354"/>
    <w:rsid w:val="00CA1215"/>
    <w:rsid w:val="00CA45A9"/>
    <w:rsid w:val="00CB2B53"/>
    <w:rsid w:val="00CB4886"/>
    <w:rsid w:val="00CB4E70"/>
    <w:rsid w:val="00CC17B3"/>
    <w:rsid w:val="00CC6890"/>
    <w:rsid w:val="00CC754B"/>
    <w:rsid w:val="00CD1E45"/>
    <w:rsid w:val="00CD3913"/>
    <w:rsid w:val="00CD46F4"/>
    <w:rsid w:val="00CD5D53"/>
    <w:rsid w:val="00CD7389"/>
    <w:rsid w:val="00CE2F8B"/>
    <w:rsid w:val="00CE63DC"/>
    <w:rsid w:val="00CE747A"/>
    <w:rsid w:val="00CE76CB"/>
    <w:rsid w:val="00CF3330"/>
    <w:rsid w:val="00CF5875"/>
    <w:rsid w:val="00CF750A"/>
    <w:rsid w:val="00D01875"/>
    <w:rsid w:val="00D032C7"/>
    <w:rsid w:val="00D034B8"/>
    <w:rsid w:val="00D0386E"/>
    <w:rsid w:val="00D04E16"/>
    <w:rsid w:val="00D06993"/>
    <w:rsid w:val="00D151FB"/>
    <w:rsid w:val="00D2461C"/>
    <w:rsid w:val="00D32AA9"/>
    <w:rsid w:val="00D333FE"/>
    <w:rsid w:val="00D35C0A"/>
    <w:rsid w:val="00D375D1"/>
    <w:rsid w:val="00D41C74"/>
    <w:rsid w:val="00D506DC"/>
    <w:rsid w:val="00D51B72"/>
    <w:rsid w:val="00D52507"/>
    <w:rsid w:val="00D544CC"/>
    <w:rsid w:val="00D568D3"/>
    <w:rsid w:val="00D57D78"/>
    <w:rsid w:val="00D60E31"/>
    <w:rsid w:val="00D61065"/>
    <w:rsid w:val="00D6273E"/>
    <w:rsid w:val="00D64737"/>
    <w:rsid w:val="00D66B9B"/>
    <w:rsid w:val="00D672F8"/>
    <w:rsid w:val="00D73A31"/>
    <w:rsid w:val="00D75079"/>
    <w:rsid w:val="00D75CED"/>
    <w:rsid w:val="00D86A2D"/>
    <w:rsid w:val="00D873D0"/>
    <w:rsid w:val="00D92B1C"/>
    <w:rsid w:val="00D92FBA"/>
    <w:rsid w:val="00DA597D"/>
    <w:rsid w:val="00DB113E"/>
    <w:rsid w:val="00DB1211"/>
    <w:rsid w:val="00DB4336"/>
    <w:rsid w:val="00DB7A1F"/>
    <w:rsid w:val="00DC0D58"/>
    <w:rsid w:val="00DC1195"/>
    <w:rsid w:val="00DC1836"/>
    <w:rsid w:val="00DC1ADC"/>
    <w:rsid w:val="00DC27A2"/>
    <w:rsid w:val="00DC48D0"/>
    <w:rsid w:val="00DD002F"/>
    <w:rsid w:val="00DD0266"/>
    <w:rsid w:val="00DD3934"/>
    <w:rsid w:val="00DD465D"/>
    <w:rsid w:val="00DD5549"/>
    <w:rsid w:val="00DE2C29"/>
    <w:rsid w:val="00DE2CF5"/>
    <w:rsid w:val="00DE503B"/>
    <w:rsid w:val="00DE5A22"/>
    <w:rsid w:val="00DE6EBB"/>
    <w:rsid w:val="00DF08BC"/>
    <w:rsid w:val="00E0020F"/>
    <w:rsid w:val="00E01115"/>
    <w:rsid w:val="00E03D82"/>
    <w:rsid w:val="00E05828"/>
    <w:rsid w:val="00E05E12"/>
    <w:rsid w:val="00E0737C"/>
    <w:rsid w:val="00E13B6E"/>
    <w:rsid w:val="00E15901"/>
    <w:rsid w:val="00E16377"/>
    <w:rsid w:val="00E16A0D"/>
    <w:rsid w:val="00E2498B"/>
    <w:rsid w:val="00E25CCB"/>
    <w:rsid w:val="00E2674C"/>
    <w:rsid w:val="00E27DDB"/>
    <w:rsid w:val="00E31237"/>
    <w:rsid w:val="00E34E75"/>
    <w:rsid w:val="00E41C34"/>
    <w:rsid w:val="00E44384"/>
    <w:rsid w:val="00E46772"/>
    <w:rsid w:val="00E47DAE"/>
    <w:rsid w:val="00E521DF"/>
    <w:rsid w:val="00E54280"/>
    <w:rsid w:val="00E668DD"/>
    <w:rsid w:val="00E70E0B"/>
    <w:rsid w:val="00E8252E"/>
    <w:rsid w:val="00E82988"/>
    <w:rsid w:val="00E93BC5"/>
    <w:rsid w:val="00EA1E3D"/>
    <w:rsid w:val="00EA2990"/>
    <w:rsid w:val="00EA3A3A"/>
    <w:rsid w:val="00EA5751"/>
    <w:rsid w:val="00EB1A5A"/>
    <w:rsid w:val="00EB3B26"/>
    <w:rsid w:val="00EB7D41"/>
    <w:rsid w:val="00EC0BD5"/>
    <w:rsid w:val="00EC3E69"/>
    <w:rsid w:val="00EC617C"/>
    <w:rsid w:val="00ED2EC6"/>
    <w:rsid w:val="00ED7937"/>
    <w:rsid w:val="00EE1167"/>
    <w:rsid w:val="00EE3F73"/>
    <w:rsid w:val="00EE75A6"/>
    <w:rsid w:val="00EF077C"/>
    <w:rsid w:val="00EF17F5"/>
    <w:rsid w:val="00EF3D73"/>
    <w:rsid w:val="00F00CB6"/>
    <w:rsid w:val="00F03C28"/>
    <w:rsid w:val="00F03EB1"/>
    <w:rsid w:val="00F101F4"/>
    <w:rsid w:val="00F103FE"/>
    <w:rsid w:val="00F134A7"/>
    <w:rsid w:val="00F147F3"/>
    <w:rsid w:val="00F14D5B"/>
    <w:rsid w:val="00F2683A"/>
    <w:rsid w:val="00F3286F"/>
    <w:rsid w:val="00F36437"/>
    <w:rsid w:val="00F4320B"/>
    <w:rsid w:val="00F50B89"/>
    <w:rsid w:val="00F50FB9"/>
    <w:rsid w:val="00F549BA"/>
    <w:rsid w:val="00F555AB"/>
    <w:rsid w:val="00F62198"/>
    <w:rsid w:val="00F63837"/>
    <w:rsid w:val="00F71E06"/>
    <w:rsid w:val="00F725CA"/>
    <w:rsid w:val="00F75DB6"/>
    <w:rsid w:val="00F76336"/>
    <w:rsid w:val="00F773DA"/>
    <w:rsid w:val="00F77408"/>
    <w:rsid w:val="00F77CDE"/>
    <w:rsid w:val="00F84032"/>
    <w:rsid w:val="00F962E7"/>
    <w:rsid w:val="00FA3054"/>
    <w:rsid w:val="00FA33F0"/>
    <w:rsid w:val="00FB4AE1"/>
    <w:rsid w:val="00FB5884"/>
    <w:rsid w:val="00FB61DD"/>
    <w:rsid w:val="00FC51DA"/>
    <w:rsid w:val="00FC5AAA"/>
    <w:rsid w:val="00FD15FC"/>
    <w:rsid w:val="00FD3A99"/>
    <w:rsid w:val="00FE25F0"/>
    <w:rsid w:val="00FE2E33"/>
    <w:rsid w:val="00FE3C65"/>
    <w:rsid w:val="00FE42DF"/>
    <w:rsid w:val="00FF0364"/>
    <w:rsid w:val="00FF0C62"/>
    <w:rsid w:val="00FF2DDA"/>
    <w:rsid w:val="00FF3A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5BEA2503"/>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 w:type="paragraph" w:customStyle="1" w:styleId="Default">
    <w:name w:val="Default"/>
    <w:rsid w:val="00B978B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840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44021127">
      <w:bodyDiv w:val="1"/>
      <w:marLeft w:val="0"/>
      <w:marRight w:val="0"/>
      <w:marTop w:val="0"/>
      <w:marBottom w:val="0"/>
      <w:divBdr>
        <w:top w:val="none" w:sz="0" w:space="0" w:color="auto"/>
        <w:left w:val="none" w:sz="0" w:space="0" w:color="auto"/>
        <w:bottom w:val="none" w:sz="0" w:space="0" w:color="auto"/>
        <w:right w:val="none" w:sz="0" w:space="0" w:color="auto"/>
      </w:divBdr>
    </w:div>
    <w:div w:id="545142073">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790703838">
      <w:bodyDiv w:val="1"/>
      <w:marLeft w:val="0"/>
      <w:marRight w:val="0"/>
      <w:marTop w:val="0"/>
      <w:marBottom w:val="0"/>
      <w:divBdr>
        <w:top w:val="none" w:sz="0" w:space="0" w:color="auto"/>
        <w:left w:val="none" w:sz="0" w:space="0" w:color="auto"/>
        <w:bottom w:val="none" w:sz="0" w:space="0" w:color="auto"/>
        <w:right w:val="none" w:sz="0" w:space="0" w:color="auto"/>
      </w:divBdr>
    </w:div>
    <w:div w:id="848253094">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206984278">
      <w:bodyDiv w:val="1"/>
      <w:marLeft w:val="0"/>
      <w:marRight w:val="0"/>
      <w:marTop w:val="0"/>
      <w:marBottom w:val="0"/>
      <w:divBdr>
        <w:top w:val="none" w:sz="0" w:space="0" w:color="auto"/>
        <w:left w:val="none" w:sz="0" w:space="0" w:color="auto"/>
        <w:bottom w:val="none" w:sz="0" w:space="0" w:color="auto"/>
        <w:right w:val="none" w:sz="0" w:space="0" w:color="auto"/>
      </w:divBdr>
    </w:div>
    <w:div w:id="1437746917">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 w:id="212310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4%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NAV'!$AO$2:$BA$2</c:f>
              <c:strCache>
                <c:ptCount val="13"/>
                <c:pt idx="0">
                  <c:v>Tuần 40</c:v>
                </c:pt>
                <c:pt idx="1">
                  <c:v>Tuần 41</c:v>
                </c:pt>
                <c:pt idx="2">
                  <c:v>Tuần 42</c:v>
                </c:pt>
                <c:pt idx="3">
                  <c:v>Tuần 43</c:v>
                </c:pt>
                <c:pt idx="4">
                  <c:v>Tuần 44</c:v>
                </c:pt>
                <c:pt idx="5">
                  <c:v>Tuần 45</c:v>
                </c:pt>
                <c:pt idx="6">
                  <c:v>Tuần 46</c:v>
                </c:pt>
                <c:pt idx="7">
                  <c:v>Tuần 47</c:v>
                </c:pt>
                <c:pt idx="8">
                  <c:v>Tuần 48</c:v>
                </c:pt>
                <c:pt idx="9">
                  <c:v>Tuần 49</c:v>
                </c:pt>
                <c:pt idx="10">
                  <c:v>Tuần 50</c:v>
                </c:pt>
                <c:pt idx="11">
                  <c:v>Tuần 51</c:v>
                </c:pt>
                <c:pt idx="12">
                  <c:v>Tuần 52</c:v>
                </c:pt>
              </c:strCache>
            </c:strRef>
          </c:cat>
          <c:val>
            <c:numRef>
              <c:f>'Chart NAV'!$AO$3:$BA$3</c:f>
              <c:numCache>
                <c:formatCode>_(* #,##0_);_(* \(#,##0\);_(* "-"??_);_(@_)</c:formatCode>
                <c:ptCount val="13"/>
                <c:pt idx="0">
                  <c:v>12962.93</c:v>
                </c:pt>
                <c:pt idx="1">
                  <c:v>12976.53</c:v>
                </c:pt>
                <c:pt idx="2">
                  <c:v>12996.94</c:v>
                </c:pt>
                <c:pt idx="3">
                  <c:v>13010.66</c:v>
                </c:pt>
                <c:pt idx="4">
                  <c:v>13024.37</c:v>
                </c:pt>
                <c:pt idx="5">
                  <c:v>13038.03</c:v>
                </c:pt>
                <c:pt idx="6">
                  <c:v>13051.67</c:v>
                </c:pt>
                <c:pt idx="7">
                  <c:v>13065.31</c:v>
                </c:pt>
                <c:pt idx="8">
                  <c:v>13083.2</c:v>
                </c:pt>
                <c:pt idx="9">
                  <c:v>13092.67</c:v>
                </c:pt>
                <c:pt idx="10">
                  <c:v>13110.14</c:v>
                </c:pt>
                <c:pt idx="11">
                  <c:v>13123.34</c:v>
                </c:pt>
                <c:pt idx="12">
                  <c:v>13129.75</c:v>
                </c:pt>
              </c:numCache>
            </c:numRef>
          </c:val>
          <c:smooth val="0"/>
          <c:extLst>
            <c:ext xmlns:c16="http://schemas.microsoft.com/office/drawing/2014/chart" uri="{C3380CC4-5D6E-409C-BE32-E72D297353CC}">
              <c16:uniqueId val="{00000000-D0C5-4722-8144-869203FAEEDA}"/>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0"/>
        <c:lblAlgn val="ctr"/>
        <c:lblOffset val="100"/>
        <c:tickLblSkip val="1"/>
        <c:tickMarkSkip val="2"/>
        <c:noMultiLvlLbl val="0"/>
      </c:catAx>
      <c:valAx>
        <c:axId val="967316232"/>
        <c:scaling>
          <c:orientation val="minMax"/>
        </c:scaling>
        <c:delete val="0"/>
        <c:axPos val="l"/>
        <c:numFmt formatCode="_(* #,##0_);_(* \(#,##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044tPHFi6uqWDeMaHZTOnrXKVhjUPqtV/ABsPR+LwKw=</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Kdtm3Vs8XrH8YbI+WMNxtUHtuKee0cgq1UHCyrjltF8=</DigestValue>
    </Reference>
  </SignedInfo>
  <SignatureValue>DsuaNzZNVvlM77jj/fEC365LUkA2rSEO0uflwrxUBjSfVrt+7fS6aPWx/cGDtgqEhAdArHvb7Zfa
4L8lWx6BYDI66nzCE6C+NYQHURYFsjQb30Hw5DNBeZp5MNSWN8Mu+KKS0PCJtI+iLbRF12q4RQc7
bdMEho9G0rm2ZRGFxqvrZboVdrmS388ZDYsmPIkf5OGJJvUXTsr2J/9ix6UgU3C/9EiqphlA2PiL
q1YSHVJAI/JHE7i5/Y3PtccxSikE31+dSydZ7wHwWljqBxMBkxRwaN5z1x5slYLcJe0ZQvdWGX9Y
8mEEbhf/ADL95nY5FbXL/xF2amr9OmzulT7VsQ==</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/38FlgvLA7KX1pjFsnxruitunpQ+hw5JUCxx/QWwEbg=</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ppZ5HUq8brO4lLeDt0XQnHBpQ0YxNqYLsmJaWRwIY3E=</DigestValue>
      </Reference>
      <Reference URI="/word/charts/chart1.xml?ContentType=application/vnd.openxmlformats-officedocument.drawingml.chart+xml">
        <DigestMethod Algorithm="http://www.w3.org/2001/04/xmlenc#sha256"/>
        <DigestValue>QBjr5LHZ3Z0wwcVKcfBf1YY8Cv5hoF4pVjzHYUpLl6Q=</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8AUSMABVC3wmy2iiSD3Ga6X5Q1CFSIO/d0ROJNvx5jY=</DigestValue>
      </Reference>
      <Reference URI="/word/document.xml?ContentType=application/vnd.openxmlformats-officedocument.wordprocessingml.document.main+xml">
        <DigestMethod Algorithm="http://www.w3.org/2001/04/xmlenc#sha256"/>
        <DigestValue>P53Bt5Np55gyWe1J3DJVsIILiK/FJ/VrXlCVIEi1mXg=</DigestValue>
      </Reference>
      <Reference URI="/word/endnotes.xml?ContentType=application/vnd.openxmlformats-officedocument.wordprocessingml.endnotes+xml">
        <DigestMethod Algorithm="http://www.w3.org/2001/04/xmlenc#sha256"/>
        <DigestValue>dLupjhErkLffrx7xnqQ5nJols+M4tsjXPzS+FeTcZ7w=</DigestValue>
      </Reference>
      <Reference URI="/word/fontTable.xml?ContentType=application/vnd.openxmlformats-officedocument.wordprocessingml.fontTable+xml">
        <DigestMethod Algorithm="http://www.w3.org/2001/04/xmlenc#sha256"/>
        <DigestValue>ehCawtdpn58yt64xSLtfpTeuH5I4vQY/xfkc9oBmw10=</DigestValue>
      </Reference>
      <Reference URI="/word/footer1.xml?ContentType=application/vnd.openxmlformats-officedocument.wordprocessingml.footer+xml">
        <DigestMethod Algorithm="http://www.w3.org/2001/04/xmlenc#sha256"/>
        <DigestValue>isOusJh9OL9nAwPGlIeaHUt2tY/dE+2lDzC9NDOUjKo=</DigestValue>
      </Reference>
      <Reference URI="/word/footer2.xml?ContentType=application/vnd.openxmlformats-officedocument.wordprocessingml.footer+xml">
        <DigestMethod Algorithm="http://www.w3.org/2001/04/xmlenc#sha256"/>
        <DigestValue>NsUepqzkVL5o7YyGrhaMoqdBs6DsbTPKU2opCBWsN2M=</DigestValue>
      </Reference>
      <Reference URI="/word/footer3.xml?ContentType=application/vnd.openxmlformats-officedocument.wordprocessingml.footer+xml">
        <DigestMethod Algorithm="http://www.w3.org/2001/04/xmlenc#sha256"/>
        <DigestValue>JXR7Ox8YonoGJDcGsszJqkamu77r02So5IMWV62keAA=</DigestValue>
      </Reference>
      <Reference URI="/word/footnotes.xml?ContentType=application/vnd.openxmlformats-officedocument.wordprocessingml.footnotes+xml">
        <DigestMethod Algorithm="http://www.w3.org/2001/04/xmlenc#sha256"/>
        <DigestValue>DGysmU5f+skyrh8lai9zXG2RctGIZD5FsvYCrkqOhL8=</DigestValue>
      </Reference>
      <Reference URI="/word/header1.xml?ContentType=application/vnd.openxmlformats-officedocument.wordprocessingml.header+xml">
        <DigestMethod Algorithm="http://www.w3.org/2001/04/xmlenc#sha256"/>
        <DigestValue>dDY4GKgzNpSPnXk5XHoMA9ZPykxyROzhr/1InvOmgEc=</DigestValue>
      </Reference>
      <Reference URI="/word/header2.xml?ContentType=application/vnd.openxmlformats-officedocument.wordprocessingml.header+xml">
        <DigestMethod Algorithm="http://www.w3.org/2001/04/xmlenc#sha256"/>
        <DigestValue>apSKwbS3tTw4mE7sJJLJR2atxvzSWN++XpMLiNModYU=</DigestValue>
      </Reference>
      <Reference URI="/word/header3.xml?ContentType=application/vnd.openxmlformats-officedocument.wordprocessingml.header+xml">
        <DigestMethod Algorithm="http://www.w3.org/2001/04/xmlenc#sha256"/>
        <DigestValue>fVOHB1Xd7f8o8L4333J8GbJASUlVnn3zjs2R13sfFaE=</DigestValue>
      </Reference>
      <Reference URI="/word/media/image1.png?ContentType=image/png">
        <DigestMethod Algorithm="http://www.w3.org/2001/04/xmlenc#sha256"/>
        <DigestValue>kNUKnY38zZg+KN2M4tdj09JHV2WDZj6QutUy867mo7s=</DigestValue>
      </Reference>
      <Reference URI="/word/media/image2.png?ContentType=image/png">
        <DigestMethod Algorithm="http://www.w3.org/2001/04/xmlenc#sha256"/>
        <DigestValue>UJPa00IX3m/6pN7IXLuTGjOQh6nnsPutsA3P63nLNyE=</DigestValue>
      </Reference>
      <Reference URI="/word/media/image3.png?ContentType=image/png">
        <DigestMethod Algorithm="http://www.w3.org/2001/04/xmlenc#sha256"/>
        <DigestValue>xgLtHpicv06WWTH8zIPYd2QTSs+utK5SlB7tRIbpLCc=</DigestValue>
      </Reference>
      <Reference URI="/word/media/image4.png?ContentType=image/png">
        <DigestMethod Algorithm="http://www.w3.org/2001/04/xmlenc#sha256"/>
        <DigestValue>D2jC5A3sUQbGAN6LMPcZ3QsKQ5iLmUy7NApQJV+Rt4s=</DigestValue>
      </Reference>
      <Reference URI="/word/numbering.xml?ContentType=application/vnd.openxmlformats-officedocument.wordprocessingml.numbering+xml">
        <DigestMethod Algorithm="http://www.w3.org/2001/04/xmlenc#sha256"/>
        <DigestValue>ES7kFPaP12PbJFJ+yAD1VOhQpKWffPLTgYYFb2kUKLg=</DigestValue>
      </Reference>
      <Reference URI="/word/settings.xml?ContentType=application/vnd.openxmlformats-officedocument.wordprocessingml.settings+xml">
        <DigestMethod Algorithm="http://www.w3.org/2001/04/xmlenc#sha256"/>
        <DigestValue>KhebIqI8/UUWsXaiYWu6DHy61fFql1TM7Pc17txa2FA=</DigestValue>
      </Reference>
      <Reference URI="/word/styles.xml?ContentType=application/vnd.openxmlformats-officedocument.wordprocessingml.styles+xml">
        <DigestMethod Algorithm="http://www.w3.org/2001/04/xmlenc#sha256"/>
        <DigestValue>wzmy35N03YuJJe+dM0ojoyrMsKGhur0Ugs4BMFyhtv8=</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hHl7w34fQ2pBs15b2tFcu54SVRbkyspo7jCjMFJysIs=</DigestValue>
      </Reference>
    </Manifest>
    <SignatureProperties>
      <SignatureProperty Id="idSignatureTime" Target="#idPackageSignature">
        <mdssi:SignatureTime xmlns:mdssi="http://schemas.openxmlformats.org/package/2006/digital-signature">
          <mdssi:Format>YYYY-MM-DDThh:mm:ssTZD</mdssi:Format>
          <mdssi:Value>2025-01-20T02:06:19Z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2025-01-20T02:06:19Z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EncapsulatedX509Certificate>MIIG/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F020-E274-4FB6-803A-9B205899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13</Pages>
  <Words>3659</Words>
  <Characters>20857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Nguyen, Thi Bich Ngoc</cp:lastModifiedBy>
  <cp:revision>83</cp:revision>
  <cp:lastPrinted>2022-01-19T10:21:00Z</cp:lastPrinted>
  <dcterms:created xsi:type="dcterms:W3CDTF">2022-04-18T03:50:00Z</dcterms:created>
  <dcterms:modified xsi:type="dcterms:W3CDTF">2025-01-20T02:02:00Z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