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Default Extension="psdsxs" ContentType="application/vnd.openxmlformats-package.digital-signature-xmlsignature+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proofErr w:type="spellStart"/>
            <w:r w:rsidR="003E6DCF" w:rsidRPr="00CF584C">
              <w:rPr>
                <w:rFonts w:ascii="Times New Roman" w:eastAsia="Times New Roman" w:hAnsi="Times New Roman" w:cs="Times New Roman"/>
                <w:b/>
                <w:bCs/>
                <w:szCs w:val="20"/>
                <w:lang w:eastAsia="en-GB"/>
              </w:rPr>
              <w:t>Đầu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tư</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Trái</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phiếu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Mở</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rộng</w:t>
            </w:r>
            <w:proofErr w:type="spellEnd"/>
            <w:r w:rsidR="003E6DCF" w:rsidRPr="00CF584C">
              <w:rPr>
                <w:rFonts w:ascii="Times New Roman" w:eastAsia="Times New Roman" w:hAnsi="Times New Roman" w:cs="Times New Roman"/>
                <w:b/>
                <w:bCs/>
                <w:szCs w:val="20"/>
                <w:lang w:eastAsia="en-GB"/>
              </w:rPr>
              <w:t xml:space="preserve"> Chubb</w:t>
            </w:r>
            <w:r w:rsidR="007D1035" w:rsidRPr="00CF584C">
              <w:rPr>
                <w:rFonts w:ascii="Times New Roman" w:eastAsia="Times New Roman" w:hAnsi="Times New Roman" w:cs="Times New Roman"/>
                <w:b/>
                <w:bCs/>
                <w:szCs w:val="20"/>
                <w:lang w:eastAsia="en-GB"/>
              </w:rPr>
              <w:t xml:space="preserve"> (“</w:t>
            </w:r>
            <w:proofErr w:type="spellStart"/>
            <w:r w:rsidRPr="00CF584C">
              <w:rPr>
                <w:rFonts w:ascii="Times New Roman" w:eastAsia="Times New Roman" w:hAnsi="Times New Roman" w:cs="Times New Roman"/>
                <w:b/>
                <w:bCs/>
                <w:szCs w:val="20"/>
                <w:lang w:eastAsia="en-GB"/>
              </w:rPr>
              <w:t>Quỹ</w:t>
            </w:r>
            <w:proofErr w:type="spellEnd"/>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7D94B751" w:rsidR="00876E8F" w:rsidRPr="00CF584C" w:rsidRDefault="00E81C35" w:rsidP="00C65D61">
      <w:pPr>
        <w:spacing w:before="120" w:afterLines="60" w:after="144" w:line="240" w:lineRule="auto"/>
        <w:jc w:val="center"/>
        <w:rPr>
          <w:rFonts w:ascii="Times New Roman" w:hAnsi="Times New Roman" w:cs="Times New Roman"/>
          <w:b/>
          <w:lang w:val="vi-VN"/>
        </w:rPr>
      </w:pPr>
      <w:r w:rsidRPr="00CF584C">
        <w:rPr>
          <w:rFonts w:ascii="Times New Roman" w:hAnsi="Times New Roman" w:cs="Times New Roman"/>
          <w:b/>
        </w:rPr>
        <w:t>Q</w:t>
      </w:r>
      <w:r w:rsidR="002D63A6" w:rsidRPr="00CF584C">
        <w:rPr>
          <w:rFonts w:ascii="Times New Roman" w:hAnsi="Times New Roman" w:cs="Times New Roman"/>
          <w:b/>
        </w:rPr>
        <w:t>uý</w:t>
      </w:r>
      <w:r w:rsidRPr="00CF584C">
        <w:rPr>
          <w:rFonts w:ascii="Times New Roman" w:hAnsi="Times New Roman" w:cs="Times New Roman"/>
          <w:b/>
        </w:rPr>
        <w:t xml:space="preserve"> </w:t>
      </w:r>
      <w:r w:rsidR="00E336FA">
        <w:rPr>
          <w:rFonts w:ascii="Times New Roman" w:hAnsi="Times New Roman" w:cs="Times New Roman"/>
          <w:b/>
        </w:rPr>
        <w:t>II</w:t>
      </w:r>
      <w:r w:rsidR="00A06326" w:rsidRPr="00CF584C">
        <w:rPr>
          <w:rFonts w:ascii="Times New Roman" w:hAnsi="Times New Roman" w:cs="Times New Roman"/>
          <w:b/>
        </w:rPr>
        <w:t xml:space="preserve"> năm</w:t>
      </w:r>
      <w:r w:rsidRPr="00CF584C">
        <w:rPr>
          <w:rFonts w:ascii="Times New Roman" w:hAnsi="Times New Roman" w:cs="Times New Roman"/>
          <w:b/>
        </w:rPr>
        <w:t xml:space="preserve"> 20</w:t>
      </w:r>
      <w:r w:rsidR="00010ABC" w:rsidRPr="00CF584C">
        <w:rPr>
          <w:rFonts w:ascii="Times New Roman" w:hAnsi="Times New Roman" w:cs="Times New Roman"/>
          <w:b/>
        </w:rPr>
        <w:t>2</w:t>
      </w:r>
      <w:r w:rsidR="00096D6D">
        <w:rPr>
          <w:rFonts w:ascii="Times New Roman" w:hAnsi="Times New Roman" w:cs="Times New Roman"/>
          <w:b/>
        </w:rPr>
        <w:t>3</w:t>
      </w:r>
    </w:p>
    <w:p w14:paraId="450E6AC3" w14:textId="77777777" w:rsidR="00876E8F" w:rsidRPr="00CF584C" w:rsidRDefault="00E34A50" w:rsidP="00051CF4">
      <w:pPr>
        <w:pStyle w:val="ListParagraph"/>
        <w:numPr>
          <w:ilvl w:val="0"/>
          <w:numId w:val="3"/>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051CF4">
      <w:pPr>
        <w:pStyle w:val="ListParagraph"/>
        <w:numPr>
          <w:ilvl w:val="1"/>
          <w:numId w:val="4"/>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C70CF2" w:rsidRPr="00CF584C">
        <w:rPr>
          <w:rFonts w:ascii="Times New Roman" w:hAnsi="Times New Roman" w:cs="Times New Roman"/>
          <w:sz w:val="20"/>
          <w:szCs w:val="20"/>
        </w:rPr>
        <w:t xml:space="preserve">lần đầu </w:t>
      </w:r>
      <w:r w:rsidR="00885CA6" w:rsidRPr="00CF584C">
        <w:rPr>
          <w:rFonts w:ascii="Times New Roman" w:hAnsi="Times New Roman" w:cs="Times New Roman"/>
          <w:sz w:val="20"/>
          <w:szCs w:val="20"/>
          <w:lang w:val="vi-VN"/>
        </w:rPr>
        <w:t xml:space="preserve">ra công chúng từ </w:t>
      </w:r>
      <w:r w:rsidR="00E83C97" w:rsidRPr="00CF584C">
        <w:rPr>
          <w:rFonts w:ascii="Times New Roman" w:hAnsi="Times New Roman" w:cs="Times New Roman"/>
          <w:sz w:val="20"/>
          <w:szCs w:val="20"/>
        </w:rPr>
        <w:t>ngày 22 tháng 11 năm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r w:rsidR="00E83C97" w:rsidRPr="00CF584C">
        <w:rPr>
          <w:rFonts w:ascii="Times New Roman" w:hAnsi="Times New Roman" w:cs="Times New Roman"/>
          <w:sz w:val="20"/>
          <w:szCs w:val="20"/>
        </w:rPr>
        <w:t>ngày 08 tháng 01 năm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051CF4">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Lô K, </w:t>
      </w:r>
      <w:proofErr w:type="spellStart"/>
      <w:r w:rsidRPr="00CF584C">
        <w:rPr>
          <w:rFonts w:ascii="Times New Roman" w:hAnsi="Times New Roman" w:cs="Times New Roman"/>
          <w:sz w:val="20"/>
          <w:szCs w:val="20"/>
        </w:rPr>
        <w:t>Tầng</w:t>
      </w:r>
      <w:proofErr w:type="spellEnd"/>
      <w:r w:rsidRPr="00CF584C">
        <w:rPr>
          <w:rFonts w:ascii="Times New Roman" w:hAnsi="Times New Roman" w:cs="Times New Roman"/>
          <w:sz w:val="20"/>
          <w:szCs w:val="20"/>
        </w:rPr>
        <w:t xml:space="preserve"> 8, </w:t>
      </w:r>
      <w:proofErr w:type="spellStart"/>
      <w:r w:rsidRPr="00CF584C">
        <w:rPr>
          <w:rFonts w:ascii="Times New Roman" w:hAnsi="Times New Roman" w:cs="Times New Roman"/>
          <w:sz w:val="20"/>
          <w:szCs w:val="20"/>
        </w:rPr>
        <w:t>Tòa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Sun Wah Tower, 115 </w:t>
      </w:r>
      <w:proofErr w:type="spellStart"/>
      <w:r w:rsidRPr="00CF584C">
        <w:rPr>
          <w:rFonts w:ascii="Times New Roman" w:hAnsi="Times New Roman" w:cs="Times New Roman"/>
          <w:sz w:val="20"/>
          <w:szCs w:val="20"/>
        </w:rPr>
        <w:t>Nguyễn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Huệ</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Quận</w:t>
      </w:r>
      <w:proofErr w:type="spellEnd"/>
      <w:r w:rsidRPr="00CF584C">
        <w:rPr>
          <w:rFonts w:ascii="Times New Roman" w:hAnsi="Times New Roman" w:cs="Times New Roman"/>
          <w:sz w:val="20"/>
          <w:szCs w:val="20"/>
        </w:rPr>
        <w:t xml:space="preserve"> 1, Tp. HCM, </w:t>
      </w:r>
      <w:proofErr w:type="spellStart"/>
      <w:r w:rsidRPr="00CF584C">
        <w:rPr>
          <w:rFonts w:ascii="Times New Roman" w:hAnsi="Times New Roman" w:cs="Times New Roman"/>
          <w:sz w:val="20"/>
          <w:szCs w:val="20"/>
        </w:rPr>
        <w:t>Việt</w:t>
      </w:r>
      <w:proofErr w:type="spellEnd"/>
      <w:r w:rsidRPr="00CF584C">
        <w:rPr>
          <w:rFonts w:ascii="Times New Roman" w:hAnsi="Times New Roman" w:cs="Times New Roman"/>
          <w:sz w:val="20"/>
          <w:szCs w:val="20"/>
        </w:rPr>
        <w:t xml:space="preserve"> Nam</w:t>
      </w:r>
      <w:r w:rsidR="004405F5" w:rsidRPr="00CF584C">
        <w:rPr>
          <w:rFonts w:ascii="Times New Roman" w:hAnsi="Times New Roman" w:cs="Times New Roman"/>
          <w:sz w:val="20"/>
          <w:szCs w:val="20"/>
          <w:lang w:val="vi-VN"/>
        </w:rPr>
        <w:t>.</w:t>
      </w:r>
    </w:p>
    <w:p w14:paraId="43C6E7AC" w14:textId="77777777" w:rsidR="00B71FF1" w:rsidRPr="00CF584C" w:rsidRDefault="00E34A50" w:rsidP="00051CF4">
      <w:pPr>
        <w:pStyle w:val="ListParagraph"/>
        <w:numPr>
          <w:ilvl w:val="1"/>
          <w:numId w:val="4"/>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051CF4">
      <w:pPr>
        <w:pStyle w:val="ListParagraph"/>
        <w:numPr>
          <w:ilvl w:val="0"/>
          <w:numId w:val="5"/>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3F355E64"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9C61B2" w:rsidRPr="009C61B2">
        <w:rPr>
          <w:rFonts w:ascii="Times New Roman" w:hAnsi="Times New Roman" w:cs="Times New Roman"/>
          <w:sz w:val="20"/>
          <w:szCs w:val="20"/>
          <w:lang w:val="vi-VN"/>
        </w:rPr>
        <w:t>100</w:t>
      </w:r>
      <w:r w:rsidR="009C61B2">
        <w:rPr>
          <w:rFonts w:ascii="Times New Roman" w:hAnsi="Times New Roman" w:cs="Times New Roman"/>
          <w:sz w:val="20"/>
          <w:szCs w:val="20"/>
        </w:rPr>
        <w:t>.</w:t>
      </w:r>
      <w:r w:rsidR="009C61B2" w:rsidRPr="009C61B2">
        <w:rPr>
          <w:rFonts w:ascii="Times New Roman" w:hAnsi="Times New Roman" w:cs="Times New Roman"/>
          <w:sz w:val="20"/>
          <w:szCs w:val="20"/>
          <w:lang w:val="vi-VN"/>
        </w:rPr>
        <w:t>02</w:t>
      </w:r>
      <w:r w:rsidR="005B32A3">
        <w:rPr>
          <w:rFonts w:ascii="Times New Roman" w:hAnsi="Times New Roman" w:cs="Times New Roman"/>
          <w:sz w:val="20"/>
          <w:szCs w:val="20"/>
        </w:rPr>
        <w:t>1</w:t>
      </w:r>
      <w:r w:rsidR="009C61B2">
        <w:rPr>
          <w:rFonts w:ascii="Times New Roman" w:hAnsi="Times New Roman" w:cs="Times New Roman"/>
          <w:sz w:val="20"/>
          <w:szCs w:val="20"/>
        </w:rPr>
        <w:t>.</w:t>
      </w:r>
      <w:r w:rsidR="009C61B2" w:rsidRPr="009C61B2">
        <w:rPr>
          <w:rFonts w:ascii="Times New Roman" w:hAnsi="Times New Roman" w:cs="Times New Roman"/>
          <w:sz w:val="20"/>
          <w:szCs w:val="20"/>
          <w:lang w:val="vi-VN"/>
        </w:rPr>
        <w:t>190</w:t>
      </w:r>
      <w:r w:rsidR="009C61B2">
        <w:rPr>
          <w:rFonts w:ascii="Times New Roman" w:hAnsi="Times New Roman" w:cs="Times New Roman"/>
          <w:sz w:val="20"/>
          <w:szCs w:val="20"/>
        </w:rPr>
        <w:t>.</w:t>
      </w:r>
      <w:r w:rsidR="009C61B2" w:rsidRPr="009C61B2">
        <w:rPr>
          <w:rFonts w:ascii="Times New Roman" w:hAnsi="Times New Roman" w:cs="Times New Roman"/>
          <w:sz w:val="20"/>
          <w:szCs w:val="20"/>
          <w:lang w:val="vi-VN"/>
        </w:rPr>
        <w:t>800</w:t>
      </w:r>
      <w:r w:rsidR="00B4116B">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trị</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tài</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sản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ròng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xác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vào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F64FC9" w:rsidRPr="00CF584C">
        <w:rPr>
          <w:rFonts w:ascii="Times New Roman" w:hAnsi="Times New Roman" w:cs="Times New Roman"/>
          <w:sz w:val="20"/>
          <w:szCs w:val="20"/>
        </w:rPr>
        <w:t>u</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giá</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trùng</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vào</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w:t>
      </w:r>
      <w:r w:rsidRPr="00CF584C">
        <w:rPr>
          <w:rFonts w:ascii="Times New Roman" w:hAnsi="Times New Roman" w:cs="Times New Roman"/>
          <w:sz w:val="20"/>
          <w:szCs w:val="20"/>
        </w:rPr>
        <w:t>ghỉ</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lễ</w:t>
      </w:r>
      <w:proofErr w:type="spellEnd"/>
      <w:r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thì</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ịnh</w:t>
      </w:r>
      <w:proofErr w:type="spellEnd"/>
      <w:r w:rsidRPr="00CF584C">
        <w:rPr>
          <w:rFonts w:ascii="Times New Roman" w:hAnsi="Times New Roman" w:cs="Times New Roman"/>
          <w:sz w:val="20"/>
          <w:szCs w:val="20"/>
        </w:rPr>
        <w:t xml:space="preserve"> giá đó sẽ được </w:t>
      </w:r>
      <w:proofErr w:type="spellStart"/>
      <w:r w:rsidRPr="00CF584C">
        <w:rPr>
          <w:rFonts w:ascii="Times New Roman" w:hAnsi="Times New Roman" w:cs="Times New Roman"/>
          <w:sz w:val="20"/>
          <w:szCs w:val="20"/>
        </w:rPr>
        <w:t>chuyể</w:t>
      </w:r>
      <w:r w:rsidR="00F64FC9" w:rsidRPr="00CF584C">
        <w:rPr>
          <w:rFonts w:ascii="Times New Roman" w:hAnsi="Times New Roman" w:cs="Times New Roman"/>
          <w:sz w:val="20"/>
          <w:szCs w:val="20"/>
        </w:rPr>
        <w:t>n</w:t>
      </w:r>
      <w:proofErr w:type="spellEnd"/>
      <w:r w:rsidR="00F64FC9" w:rsidRPr="00CF584C">
        <w:rPr>
          <w:rFonts w:ascii="Times New Roman" w:hAnsi="Times New Roman" w:cs="Times New Roman"/>
          <w:sz w:val="20"/>
          <w:szCs w:val="20"/>
        </w:rPr>
        <w:t xml:space="preserve"> sang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Làm</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w:t>
      </w:r>
      <w:r w:rsidRPr="00CF584C">
        <w:rPr>
          <w:rFonts w:ascii="Times New Roman" w:hAnsi="Times New Roman" w:cs="Times New Roman"/>
          <w:sz w:val="20"/>
          <w:szCs w:val="20"/>
        </w:rPr>
        <w:t>iệc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tiếp</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thông</w:t>
      </w:r>
      <w:proofErr w:type="spellEnd"/>
      <w:r w:rsidRPr="00CF584C">
        <w:rPr>
          <w:rFonts w:ascii="Times New Roman" w:hAnsi="Times New Roman" w:cs="Times New Roman"/>
          <w:sz w:val="20"/>
          <w:szCs w:val="20"/>
        </w:rPr>
        <w:t xml:space="preserve"> báo củ</w:t>
      </w:r>
      <w:r w:rsidR="002D1708" w:rsidRPr="00CF584C">
        <w:rPr>
          <w:rFonts w:ascii="Times New Roman" w:hAnsi="Times New Roman" w:cs="Times New Roman"/>
          <w:sz w:val="20"/>
          <w:szCs w:val="20"/>
        </w:rPr>
        <w:t>a Chubb Life FMC.</w:t>
      </w:r>
    </w:p>
    <w:p w14:paraId="0C50BAC3" w14:textId="77777777" w:rsidR="00876E8F" w:rsidRPr="00CF584C" w:rsidRDefault="00F64FC9"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Tần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suất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w:t>
      </w:r>
      <w:r w:rsidR="005C13EA" w:rsidRPr="00CF584C">
        <w:rPr>
          <w:rFonts w:ascii="Times New Roman" w:hAnsi="Times New Roman" w:cs="Times New Roman"/>
          <w:sz w:val="20"/>
          <w:szCs w:val="20"/>
        </w:rPr>
        <w:t>n</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vào</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ngày</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t</w:t>
      </w:r>
      <w:r w:rsidRPr="00CF584C">
        <w:rPr>
          <w:rFonts w:ascii="Times New Roman" w:hAnsi="Times New Roman" w:cs="Times New Roman"/>
          <w:sz w:val="20"/>
          <w:szCs w:val="20"/>
        </w:rPr>
        <w:t>hứ</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Giao </w:t>
      </w:r>
      <w:proofErr w:type="spellStart"/>
      <w:r w:rsidR="00E83C97" w:rsidRPr="00CF584C">
        <w:rPr>
          <w:rFonts w:ascii="Times New Roman" w:hAnsi="Times New Roman" w:cs="Times New Roman"/>
          <w:sz w:val="20"/>
          <w:szCs w:val="20"/>
        </w:rPr>
        <w:t>dịch</w:t>
      </w:r>
      <w:proofErr w:type="spellEnd"/>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Đầu</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có</w:t>
      </w:r>
      <w:proofErr w:type="spellEnd"/>
      <w:r w:rsidRPr="00CF584C">
        <w:rPr>
          <w:rFonts w:ascii="Times New Roman" w:hAnsi="Times New Roman" w:cs="Times New Roman"/>
          <w:sz w:val="20"/>
          <w:szCs w:val="20"/>
        </w:rPr>
        <w:t xml:space="preserve"> thể mua, </w:t>
      </w:r>
      <w:proofErr w:type="spellStart"/>
      <w:r w:rsidRPr="00CF584C">
        <w:rPr>
          <w:rFonts w:ascii="Times New Roman" w:hAnsi="Times New Roman" w:cs="Times New Roman"/>
          <w:sz w:val="20"/>
          <w:szCs w:val="20"/>
        </w:rPr>
        <w:t>bán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đổi</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hoặc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nhượng</w:t>
      </w:r>
      <w:proofErr w:type="spellEnd"/>
      <w:r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Chứng</w:t>
      </w:r>
      <w:proofErr w:type="spellEnd"/>
      <w:r w:rsidR="008F3333"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chỉ</w:t>
      </w:r>
      <w:proofErr w:type="spellEnd"/>
      <w:r w:rsidR="008F333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vào</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w:t>
      </w:r>
      <w:r w:rsidRPr="00CF584C">
        <w:rPr>
          <w:rFonts w:ascii="Times New Roman" w:hAnsi="Times New Roman" w:cs="Times New Roman"/>
          <w:sz w:val="20"/>
          <w:szCs w:val="20"/>
        </w:rPr>
        <w:t>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T</w:t>
      </w:r>
      <w:r w:rsidRPr="00CF584C">
        <w:rPr>
          <w:rFonts w:ascii="Times New Roman" w:hAnsi="Times New Roman" w:cs="Times New Roman"/>
          <w:sz w:val="20"/>
          <w:szCs w:val="20"/>
        </w:rPr>
        <w: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hàng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đó</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là</w:t>
      </w:r>
      <w:proofErr w:type="spellEnd"/>
      <w:r w:rsidR="00A87636" w:rsidRPr="00CF584C">
        <w:rPr>
          <w:rFonts w:ascii="Times New Roman" w:hAnsi="Times New Roman" w:cs="Times New Roman"/>
          <w:sz w:val="20"/>
          <w:szCs w:val="20"/>
        </w:rPr>
        <w:t xml:space="preserve"> Ngày L</w:t>
      </w:r>
      <w:r w:rsidRPr="00CF584C">
        <w:rPr>
          <w:rFonts w:ascii="Times New Roman" w:hAnsi="Times New Roman" w:cs="Times New Roman"/>
          <w:sz w:val="20"/>
          <w:szCs w:val="20"/>
        </w:rPr>
        <w:t xml:space="preserve">àm việc. </w:t>
      </w:r>
      <w:proofErr w:type="spellStart"/>
      <w:r w:rsidR="007875D5" w:rsidRPr="00CF584C">
        <w:rPr>
          <w:rFonts w:ascii="Times New Roman" w:hAnsi="Times New Roman" w:cs="Times New Roman"/>
          <w:sz w:val="20"/>
          <w:szCs w:val="20"/>
        </w:rPr>
        <w:t>Nếu</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không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phải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thì</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tiếp</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theo.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007875D5" w:rsidRPr="00CF584C">
        <w:rPr>
          <w:rFonts w:ascii="Times New Roman" w:hAnsi="Times New Roman" w:cs="Times New Roman"/>
          <w:sz w:val="20"/>
          <w:szCs w:val="20"/>
        </w:rPr>
        <w:t>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w:t>
      </w:r>
      <w:r w:rsidR="00E83C97" w:rsidRPr="00CF584C">
        <w:rPr>
          <w:rFonts w:ascii="Times New Roman" w:hAnsi="Times New Roman" w:cs="Times New Roman"/>
          <w:sz w:val="20"/>
          <w:szCs w:val="20"/>
        </w:rPr>
        <w:t>p</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theo</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đó</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 xml:space="preserve">a, </w:t>
      </w:r>
      <w:proofErr w:type="spellStart"/>
      <w:r w:rsidR="00E83C97" w:rsidRPr="00CF584C">
        <w:rPr>
          <w:rFonts w:ascii="Times New Roman" w:hAnsi="Times New Roman" w:cs="Times New Roman"/>
          <w:sz w:val="20"/>
          <w:szCs w:val="20"/>
        </w:rPr>
        <w:t>thì</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w:t>
      </w:r>
      <w:r w:rsidR="007875D5" w:rsidRPr="00CF584C">
        <w:rPr>
          <w:rFonts w:ascii="Times New Roman" w:hAnsi="Times New Roman" w:cs="Times New Roman"/>
          <w:sz w:val="20"/>
          <w:szCs w:val="20"/>
        </w:rPr>
        <w:t xml:space="preserve">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w:t>
      </w:r>
      <w:r w:rsidR="007875D5" w:rsidRPr="00CF584C">
        <w:rPr>
          <w:rFonts w:ascii="Times New Roman" w:hAnsi="Times New Roman" w:cs="Times New Roman"/>
          <w:sz w:val="20"/>
          <w:szCs w:val="20"/>
        </w:rPr>
        <w: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tuần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đó</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thay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đổi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do </w:t>
      </w:r>
      <w:proofErr w:type="spellStart"/>
      <w:r w:rsidR="007875D5" w:rsidRPr="00CF584C">
        <w:rPr>
          <w:rFonts w:ascii="Times New Roman" w:hAnsi="Times New Roman" w:cs="Times New Roman"/>
          <w:sz w:val="20"/>
          <w:szCs w:val="20"/>
        </w:rPr>
        <w:t>nghỉ</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lễ</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trước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cho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các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điểm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nhận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lệnh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trên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trang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tin </w:t>
      </w:r>
      <w:proofErr w:type="spellStart"/>
      <w:r w:rsidR="007875D5" w:rsidRPr="00CF584C">
        <w:rPr>
          <w:rFonts w:ascii="Times New Roman" w:hAnsi="Times New Roman" w:cs="Times New Roman"/>
          <w:sz w:val="20"/>
          <w:szCs w:val="20"/>
        </w:rPr>
        <w:t>điện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tử</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Chubb Life FMC.</w:t>
      </w:r>
    </w:p>
    <w:p w14:paraId="3B12F1FD" w14:textId="77777777" w:rsidR="004624CD" w:rsidRPr="00CF584C" w:rsidRDefault="000D2E10" w:rsidP="00051CF4">
      <w:pPr>
        <w:pStyle w:val="ListParagraph"/>
        <w:numPr>
          <w:ilvl w:val="0"/>
          <w:numId w:val="5"/>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w:t>
      </w:r>
    </w:p>
    <w:p w14:paraId="5B131F8D"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proofErr w:type="spellStart"/>
      <w:r w:rsidR="00E83C97" w:rsidRPr="00CF584C">
        <w:rPr>
          <w:rFonts w:ascii="Times New Roman" w:eastAsia="Times New Roman" w:hAnsi="Times New Roman" w:cs="Times New Roman"/>
          <w:b/>
          <w:bCs/>
          <w:color w:val="000000"/>
          <w:sz w:val="20"/>
          <w:szCs w:val="20"/>
        </w:rPr>
        <w:t>oạt</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động</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cho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và</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giao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dịch</w:t>
      </w:r>
      <w:proofErr w:type="spellEnd"/>
      <w:r w:rsidR="00E83C97" w:rsidRPr="00CF584C">
        <w:rPr>
          <w:rFonts w:ascii="Times New Roman" w:eastAsia="Times New Roman" w:hAnsi="Times New Roman" w:cs="Times New Roman"/>
          <w:b/>
          <w:bCs/>
          <w:color w:val="000000"/>
          <w:sz w:val="20"/>
          <w:szCs w:val="20"/>
        </w:rPr>
        <w:t xml:space="preserve"> ký </w:t>
      </w:r>
      <w:r w:rsidR="00E2424B" w:rsidRPr="00CF584C">
        <w:rPr>
          <w:rFonts w:ascii="Times New Roman" w:eastAsia="Times New Roman" w:hAnsi="Times New Roman" w:cs="Times New Roman"/>
          <w:b/>
          <w:bCs/>
          <w:color w:val="000000"/>
          <w:sz w:val="20"/>
          <w:szCs w:val="20"/>
        </w:rPr>
        <w:t>Quỹ</w:t>
      </w:r>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lastRenderedPageBreak/>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Quỹ</w:t>
      </w:r>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051CF4">
      <w:pPr>
        <w:pStyle w:val="ListParagraph"/>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Thông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w:t>
      </w:r>
      <w:r w:rsidR="00433D37" w:rsidRPr="00CF584C">
        <w:rPr>
          <w:rFonts w:ascii="Times New Roman" w:eastAsia="Times New Roman" w:hAnsi="Times New Roman" w:cs="Times New Roman" w:hint="cs"/>
          <w:sz w:val="20"/>
          <w:szCs w:val="20"/>
        </w:rPr>
        <w:t>ư</w:t>
      </w:r>
      <w:proofErr w:type="spellEnd"/>
      <w:r w:rsidR="00433D37" w:rsidRPr="00CF584C">
        <w:rPr>
          <w:rFonts w:ascii="Times New Roman" w:eastAsia="Times New Roman" w:hAnsi="Times New Roman" w:cs="Times New Roman"/>
          <w:sz w:val="20"/>
          <w:szCs w:val="20"/>
        </w:rPr>
        <w:t xml:space="preserve"> 181/2015/TT-BTC do </w:t>
      </w:r>
      <w:proofErr w:type="spellStart"/>
      <w:r w:rsidR="00433D37" w:rsidRPr="00CF584C">
        <w:rPr>
          <w:rFonts w:ascii="Times New Roman" w:eastAsia="Times New Roman" w:hAnsi="Times New Roman" w:cs="Times New Roman"/>
          <w:sz w:val="20"/>
          <w:szCs w:val="20"/>
        </w:rPr>
        <w:t>Bộ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Tài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chính</w:t>
      </w:r>
      <w:proofErr w:type="spellEnd"/>
      <w:r w:rsidR="00433D37" w:rsidRPr="00CF584C">
        <w:rPr>
          <w:rFonts w:ascii="Times New Roman" w:eastAsia="Times New Roman" w:hAnsi="Times New Roman" w:cs="Times New Roman"/>
          <w:sz w:val="20"/>
          <w:szCs w:val="20"/>
        </w:rPr>
        <w:t xml:space="preserve"> ban </w:t>
      </w:r>
      <w:proofErr w:type="spellStart"/>
      <w:r w:rsidR="00433D37" w:rsidRPr="00CF584C">
        <w:rPr>
          <w:rFonts w:ascii="Times New Roman" w:eastAsia="Times New Roman" w:hAnsi="Times New Roman" w:cs="Times New Roman"/>
          <w:sz w:val="20"/>
          <w:szCs w:val="20"/>
        </w:rPr>
        <w:t>hành</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ngày</w:t>
      </w:r>
      <w:proofErr w:type="spellEnd"/>
      <w:r w:rsidR="00433D37" w:rsidRPr="00CF584C">
        <w:rPr>
          <w:rFonts w:ascii="Times New Roman" w:eastAsia="Times New Roman" w:hAnsi="Times New Roman" w:cs="Times New Roman"/>
          <w:sz w:val="20"/>
          <w:szCs w:val="20"/>
        </w:rPr>
        <w:t xml:space="preserve"> 13 </w:t>
      </w:r>
      <w:proofErr w:type="spellStart"/>
      <w:r w:rsidR="00433D37" w:rsidRPr="00CF584C">
        <w:rPr>
          <w:rFonts w:ascii="Times New Roman" w:eastAsia="Times New Roman" w:hAnsi="Times New Roman" w:cs="Times New Roman"/>
          <w:sz w:val="20"/>
          <w:szCs w:val="20"/>
        </w:rPr>
        <w:t>tháng</w:t>
      </w:r>
      <w:proofErr w:type="spellEnd"/>
      <w:r w:rsidR="00433D37" w:rsidRPr="00CF584C">
        <w:rPr>
          <w:rFonts w:ascii="Times New Roman" w:eastAsia="Times New Roman" w:hAnsi="Times New Roman" w:cs="Times New Roman"/>
          <w:sz w:val="20"/>
          <w:szCs w:val="20"/>
        </w:rPr>
        <w:t xml:space="preserve"> 11 </w:t>
      </w:r>
      <w:proofErr w:type="spellStart"/>
      <w:r w:rsidR="00433D37" w:rsidRPr="00CF584C">
        <w:rPr>
          <w:rFonts w:ascii="Times New Roman" w:eastAsia="Times New Roman" w:hAnsi="Times New Roman" w:cs="Times New Roman"/>
          <w:sz w:val="20"/>
          <w:szCs w:val="20"/>
        </w:rPr>
        <w:t>năm</w:t>
      </w:r>
      <w:proofErr w:type="spellEnd"/>
      <w:r w:rsidR="00433D37" w:rsidRPr="00CF584C">
        <w:rPr>
          <w:rFonts w:ascii="Times New Roman" w:eastAsia="Times New Roman" w:hAnsi="Times New Roman" w:cs="Times New Roman"/>
          <w:sz w:val="20"/>
          <w:szCs w:val="20"/>
        </w:rPr>
        <w:t xml:space="preserve"> 2015 </w:t>
      </w:r>
      <w:proofErr w:type="spellStart"/>
      <w:r w:rsidR="00433D37" w:rsidRPr="00CF584C">
        <w:rPr>
          <w:rFonts w:ascii="Times New Roman" w:eastAsia="Times New Roman" w:hAnsi="Times New Roman" w:cs="Times New Roman"/>
          <w:sz w:val="20"/>
          <w:szCs w:val="20"/>
        </w:rPr>
        <w:t>về</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kế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toán</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áp</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dụng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đối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với</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ETF </w:t>
      </w:r>
      <w:proofErr w:type="spellStart"/>
      <w:r w:rsidR="00433D37" w:rsidRPr="00CF584C">
        <w:rPr>
          <w:rFonts w:ascii="Times New Roman" w:eastAsia="Times New Roman" w:hAnsi="Times New Roman" w:cs="Times New Roman"/>
          <w:sz w:val="20"/>
          <w:szCs w:val="20"/>
        </w:rPr>
        <w:t>và</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mở</w:t>
      </w:r>
      <w:proofErr w:type="spellEnd"/>
      <w:r w:rsidR="00B12D4A">
        <w:rPr>
          <w:rFonts w:ascii="Times New Roman" w:eastAsia="Times New Roman" w:hAnsi="Times New Roman" w:cs="Times New Roman"/>
          <w:sz w:val="20"/>
          <w:szCs w:val="20"/>
        </w:rPr>
        <w:t xml:space="preserve"> (“</w:t>
      </w:r>
      <w:proofErr w:type="spellStart"/>
      <w:r w:rsidR="00B12D4A" w:rsidRPr="00CF584C">
        <w:rPr>
          <w:rFonts w:ascii="Times New Roman" w:eastAsia="Times New Roman" w:hAnsi="Times New Roman" w:cs="Times New Roman"/>
          <w:sz w:val="20"/>
          <w:szCs w:val="20"/>
        </w:rPr>
        <w:t>Thông</w:t>
      </w:r>
      <w:proofErr w:type="spellEnd"/>
      <w:r w:rsidR="00B12D4A" w:rsidRPr="00CF584C">
        <w:rPr>
          <w:rFonts w:ascii="Times New Roman" w:eastAsia="Times New Roman" w:hAnsi="Times New Roman" w:cs="Times New Roman"/>
          <w:sz w:val="20"/>
          <w:szCs w:val="20"/>
        </w:rPr>
        <w:t xml:space="preserve"> </w:t>
      </w:r>
      <w:proofErr w:type="spellStart"/>
      <w:r w:rsidR="00B12D4A" w:rsidRPr="00CF584C">
        <w:rPr>
          <w:rFonts w:ascii="Times New Roman" w:eastAsia="Times New Roman" w:hAnsi="Times New Roman" w:cs="Times New Roman"/>
          <w:sz w:val="20"/>
          <w:szCs w:val="20"/>
        </w:rPr>
        <w:t>t</w:t>
      </w:r>
      <w:r w:rsidR="00B12D4A" w:rsidRPr="00CF584C">
        <w:rPr>
          <w:rFonts w:ascii="Times New Roman" w:eastAsia="Times New Roman" w:hAnsi="Times New Roman" w:cs="Times New Roman" w:hint="cs"/>
          <w:sz w:val="20"/>
          <w:szCs w:val="20"/>
        </w:rPr>
        <w:t>ư</w:t>
      </w:r>
      <w:proofErr w:type="spellEnd"/>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proofErr w:type="spellStart"/>
      <w:r w:rsidR="002D0CCD" w:rsidRPr="00A25BF1">
        <w:rPr>
          <w:rFonts w:ascii="Times New Roman" w:eastAsia="Times New Roman" w:hAnsi="Times New Roman" w:cs="Times New Roman"/>
          <w:bCs/>
          <w:sz w:val="20"/>
          <w:szCs w:val="20"/>
          <w:lang w:eastAsia="en-GB"/>
        </w:rPr>
        <w:t>Thông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sô</w:t>
      </w:r>
      <w:proofErr w:type="spellEnd"/>
      <w:r w:rsidR="002D0CCD" w:rsidRPr="00A25BF1">
        <w:rPr>
          <w:rFonts w:ascii="Times New Roman" w:eastAsia="Times New Roman" w:hAnsi="Times New Roman" w:cs="Times New Roman"/>
          <w:bCs/>
          <w:sz w:val="20"/>
          <w:szCs w:val="20"/>
          <w:lang w:eastAsia="en-GB"/>
        </w:rPr>
        <w:t xml:space="preserve">́ 98/2020/TT-BTC </w:t>
      </w:r>
      <w:proofErr w:type="spellStart"/>
      <w:r w:rsidR="002D0CCD" w:rsidRPr="00A25BF1">
        <w:rPr>
          <w:rFonts w:ascii="Times New Roman" w:eastAsia="Times New Roman" w:hAnsi="Times New Roman" w:cs="Times New Roman"/>
          <w:bCs/>
          <w:sz w:val="20"/>
          <w:szCs w:val="20"/>
          <w:lang w:eastAsia="en-GB"/>
        </w:rPr>
        <w:t>ngày</w:t>
      </w:r>
      <w:proofErr w:type="spellEnd"/>
      <w:r w:rsidR="002D0CCD" w:rsidRPr="00A25BF1">
        <w:rPr>
          <w:rFonts w:ascii="Times New Roman" w:eastAsia="Times New Roman" w:hAnsi="Times New Roman" w:cs="Times New Roman"/>
          <w:bCs/>
          <w:sz w:val="20"/>
          <w:szCs w:val="20"/>
          <w:lang w:eastAsia="en-GB"/>
        </w:rPr>
        <w:t xml:space="preserve"> 16 </w:t>
      </w:r>
      <w:proofErr w:type="spellStart"/>
      <w:r w:rsidR="002D0CCD" w:rsidRPr="00A25BF1">
        <w:rPr>
          <w:rFonts w:ascii="Times New Roman" w:eastAsia="Times New Roman" w:hAnsi="Times New Roman" w:cs="Times New Roman"/>
          <w:bCs/>
          <w:sz w:val="20"/>
          <w:szCs w:val="20"/>
          <w:lang w:eastAsia="en-GB"/>
        </w:rPr>
        <w:t>tháng</w:t>
      </w:r>
      <w:proofErr w:type="spellEnd"/>
      <w:r w:rsidR="002D0CCD" w:rsidRPr="00A25BF1">
        <w:rPr>
          <w:rFonts w:ascii="Times New Roman" w:eastAsia="Times New Roman" w:hAnsi="Times New Roman" w:cs="Times New Roman"/>
          <w:bCs/>
          <w:sz w:val="20"/>
          <w:szCs w:val="20"/>
          <w:lang w:eastAsia="en-GB"/>
        </w:rPr>
        <w:t xml:space="preserve"> 11 </w:t>
      </w:r>
      <w:proofErr w:type="spellStart"/>
      <w:r w:rsidR="002D0CCD" w:rsidRPr="00A25BF1">
        <w:rPr>
          <w:rFonts w:ascii="Times New Roman" w:eastAsia="Times New Roman" w:hAnsi="Times New Roman" w:cs="Times New Roman"/>
          <w:bCs/>
          <w:sz w:val="20"/>
          <w:szCs w:val="20"/>
          <w:lang w:eastAsia="en-GB"/>
        </w:rPr>
        <w:t>năm</w:t>
      </w:r>
      <w:proofErr w:type="spellEnd"/>
      <w:r w:rsidR="002D0CCD" w:rsidRPr="00A25BF1">
        <w:rPr>
          <w:rFonts w:ascii="Times New Roman" w:eastAsia="Times New Roman" w:hAnsi="Times New Roman" w:cs="Times New Roman"/>
          <w:bCs/>
          <w:sz w:val="20"/>
          <w:szCs w:val="20"/>
          <w:lang w:eastAsia="en-GB"/>
        </w:rPr>
        <w:t xml:space="preserve"> 2020 </w:t>
      </w:r>
      <w:proofErr w:type="spellStart"/>
      <w:r w:rsidR="002D0CCD" w:rsidRPr="00A25BF1">
        <w:rPr>
          <w:rFonts w:ascii="Times New Roman" w:eastAsia="Times New Roman" w:hAnsi="Times New Roman" w:cs="Times New Roman"/>
          <w:bCs/>
          <w:sz w:val="20"/>
          <w:szCs w:val="20"/>
          <w:lang w:eastAsia="en-GB"/>
        </w:rPr>
        <w:t>của</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trưởng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về</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hướng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dẫn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hoạt</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động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quản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quỹ</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đầu</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chứng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khoán</w:t>
      </w:r>
      <w:proofErr w:type="spellEnd"/>
      <w:r w:rsidR="00B12D4A">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Thông</w:t>
      </w:r>
      <w:proofErr w:type="spellEnd"/>
      <w:r w:rsidR="00B12D4A" w:rsidRPr="00A25BF1">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tư</w:t>
      </w:r>
      <w:proofErr w:type="spellEnd"/>
      <w:r w:rsidR="00B12D4A" w:rsidRPr="00A25BF1">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sô</w:t>
      </w:r>
      <w:proofErr w:type="spellEnd"/>
      <w:r w:rsidR="00B12D4A" w:rsidRPr="00A25BF1">
        <w:rPr>
          <w:rFonts w:ascii="Times New Roman" w:eastAsia="Times New Roman" w:hAnsi="Times New Roman" w:cs="Times New Roman"/>
          <w:bCs/>
          <w:sz w:val="20"/>
          <w:szCs w:val="20"/>
          <w:lang w:eastAsia="en-GB"/>
        </w:rPr>
        <w:t>́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định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pháp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có</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liên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quan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đến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việc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lập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trình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bày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051CF4">
      <w:pPr>
        <w:pStyle w:val="ListParagraph"/>
        <w:keepNext/>
        <w:keepLines/>
        <w:numPr>
          <w:ilvl w:val="0"/>
          <w:numId w:val="6"/>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051CF4">
      <w:pPr>
        <w:pStyle w:val="ListParagraph"/>
        <w:keepNext/>
        <w:keepLines/>
        <w:numPr>
          <w:ilvl w:val="1"/>
          <w:numId w:val="7"/>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051CF4">
      <w:pPr>
        <w:pStyle w:val="ListParagraph"/>
        <w:keepNext/>
        <w:keepLines/>
        <w:numPr>
          <w:ilvl w:val="1"/>
          <w:numId w:val="7"/>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051CF4">
      <w:pPr>
        <w:pStyle w:val="ListParagraph"/>
        <w:keepNext/>
        <w:keepLines/>
        <w:numPr>
          <w:ilvl w:val="1"/>
          <w:numId w:val="9"/>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lastRenderedPageBreak/>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proofErr w:type="spellStart"/>
      <w:r w:rsidR="00454A63" w:rsidRPr="00CF584C">
        <w:rPr>
          <w:rFonts w:ascii="Times New Roman" w:hAnsi="Times New Roman" w:cs="Times New Roman"/>
          <w:sz w:val="20"/>
          <w:szCs w:val="20"/>
        </w:rPr>
        <w:t>xin</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xem</w:t>
      </w:r>
      <w:proofErr w:type="spellEnd"/>
      <w:r w:rsidR="00454A63" w:rsidRPr="00CF584C">
        <w:rPr>
          <w:rFonts w:ascii="Times New Roman" w:hAnsi="Times New Roman" w:cs="Times New Roman"/>
          <w:sz w:val="20"/>
          <w:szCs w:val="20"/>
        </w:rPr>
        <w:t xml:space="preserve"> chi </w:t>
      </w:r>
      <w:proofErr w:type="spellStart"/>
      <w:r w:rsidR="00454A63" w:rsidRPr="00CF584C">
        <w:rPr>
          <w:rFonts w:ascii="Times New Roman" w:hAnsi="Times New Roman" w:cs="Times New Roman"/>
          <w:sz w:val="20"/>
          <w:szCs w:val="20"/>
        </w:rPr>
        <w:t>tiết</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tại</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Điều</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lệ</w:t>
      </w:r>
      <w:proofErr w:type="spellEnd"/>
      <w:r w:rsidR="00454A6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w:t>
      </w:r>
      <w:proofErr w:type="spellStart"/>
      <w:r w:rsidR="000F1310" w:rsidRPr="00CF584C">
        <w:rPr>
          <w:rFonts w:ascii="Times New Roman" w:hAnsi="Times New Roman" w:cs="Times New Roman"/>
          <w:sz w:val="20"/>
          <w:szCs w:val="20"/>
        </w:rPr>
        <w:t>S</w:t>
      </w:r>
      <w:r w:rsidR="00454A63" w:rsidRPr="00CF584C">
        <w:rPr>
          <w:rFonts w:ascii="Times New Roman" w:hAnsi="Times New Roman" w:cs="Times New Roman"/>
          <w:sz w:val="20"/>
          <w:szCs w:val="20"/>
        </w:rPr>
        <w:t>ổ</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tay</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định</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giá</w:t>
      </w:r>
      <w:proofErr w:type="spellEnd"/>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khác</w:t>
      </w:r>
      <w:r w:rsidR="00454A63" w:rsidRPr="00CF584C">
        <w:rPr>
          <w:rFonts w:ascii="Times New Roman" w:hAnsi="Times New Roman" w:cs="Times New Roman"/>
          <w:sz w:val="20"/>
          <w:szCs w:val="20"/>
        </w:rPr>
        <w:t>.</w:t>
      </w:r>
    </w:p>
    <w:p w14:paraId="6DA893A8" w14:textId="77777777" w:rsidR="00B71FF1" w:rsidRPr="00CF584C" w:rsidRDefault="00E34A50" w:rsidP="00051CF4">
      <w:pPr>
        <w:pStyle w:val="ListParagraph"/>
        <w:numPr>
          <w:ilvl w:val="1"/>
          <w:numId w:val="9"/>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051CF4">
      <w:pPr>
        <w:pStyle w:val="ListParagraph"/>
        <w:numPr>
          <w:ilvl w:val="1"/>
          <w:numId w:val="7"/>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lãi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chứng</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chỉ</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tiền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gửi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có</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thể</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chuyển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proofErr w:type="spellEnd"/>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r w:rsidR="0005184E" w:rsidRPr="00CF584C">
        <w:rPr>
          <w:rFonts w:ascii="Times New Roman" w:eastAsia="Times New Roman" w:hAnsi="Times New Roman" w:cs="Times New Roman"/>
          <w:bCs/>
          <w:color w:val="000000" w:themeColor="text1"/>
          <w:sz w:val="20"/>
          <w:szCs w:val="20"/>
          <w:lang w:eastAsia="en-GB"/>
        </w:rPr>
        <w:t xml:space="preserve">xuống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051CF4">
      <w:pPr>
        <w:pStyle w:val="ListParagraph"/>
        <w:numPr>
          <w:ilvl w:val="2"/>
          <w:numId w:val="10"/>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lastRenderedPageBreak/>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39B9815B" w:rsidR="0063339C" w:rsidRPr="00CF584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ab/>
      </w:r>
    </w:p>
    <w:p w14:paraId="7413544C"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lastRenderedPageBreak/>
        <w:t xml:space="preserve">Theo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hiện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Việt</w:t>
      </w:r>
      <w:proofErr w:type="spellEnd"/>
      <w:r w:rsidRPr="00CF584C">
        <w:rPr>
          <w:rFonts w:ascii="Times New Roman" w:eastAsia="Times New Roman" w:hAnsi="Times New Roman" w:cs="Times New Roman"/>
          <w:bCs/>
          <w:sz w:val="20"/>
          <w:szCs w:val="20"/>
          <w:lang w:eastAsia="en-GB"/>
        </w:rPr>
        <w:t xml:space="preserve"> Nam,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thuộc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tượng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nhiệm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trừ</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trả</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cổ</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tức</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cho</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Nhà</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đầu</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tư</w:t>
      </w:r>
      <w:proofErr w:type="spellEnd"/>
      <w:r w:rsidRPr="00CF584C">
        <w:rPr>
          <w:rFonts w:ascii="Times New Roman" w:eastAsia="Times New Roman" w:hAnsi="Times New Roman" w:cs="Times New Roman"/>
          <w:b/>
          <w:bCs/>
          <w:sz w:val="20"/>
          <w:szCs w:val="20"/>
          <w:lang w:eastAsia="en-GB"/>
        </w:rPr>
        <w:t xml:space="preserve">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Khi Quỹ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18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96/2015/TT-BTC ngày 22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111/2013/TT-BTC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2013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92/2015/TT-BTC ngày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 xml:space="preserve">do </w:t>
      </w:r>
      <w:proofErr w:type="spellStart"/>
      <w:r w:rsidRPr="00CF584C">
        <w:rPr>
          <w:rFonts w:ascii="Times New Roman" w:eastAsia="Times New Roman" w:hAnsi="Times New Roman" w:cs="Times New Roman"/>
          <w:bCs/>
          <w:color w:val="000000" w:themeColor="text1"/>
          <w:sz w:val="20"/>
          <w:szCs w:val="20"/>
          <w:lang w:eastAsia="en-GB"/>
        </w:rPr>
        <w:t>Bộ</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Tài</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chính</w:t>
      </w:r>
      <w:proofErr w:type="spellEnd"/>
      <w:r w:rsidRPr="00CF584C">
        <w:rPr>
          <w:rFonts w:ascii="Times New Roman" w:eastAsia="Times New Roman" w:hAnsi="Times New Roman" w:cs="Times New Roman"/>
          <w:bCs/>
          <w:color w:val="000000" w:themeColor="text1"/>
          <w:sz w:val="20"/>
          <w:szCs w:val="20"/>
          <w:lang w:eastAsia="en-GB"/>
        </w:rPr>
        <w:t xml:space="preserve"> ban </w:t>
      </w:r>
      <w:proofErr w:type="spellStart"/>
      <w:r w:rsidRPr="00CF584C">
        <w:rPr>
          <w:rFonts w:ascii="Times New Roman" w:eastAsia="Times New Roman" w:hAnsi="Times New Roman" w:cs="Times New Roman"/>
          <w:bCs/>
          <w:color w:val="000000" w:themeColor="text1"/>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10945/BTC-TCT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19 tháng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2010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Cục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về</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cổ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Theo </w:t>
      </w:r>
      <w:proofErr w:type="spellStart"/>
      <w:r w:rsidRPr="00CF584C">
        <w:rPr>
          <w:rFonts w:ascii="Times New Roman" w:eastAsia="Times New Roman" w:hAnsi="Times New Roman" w:cs="Times New Roman"/>
          <w:bCs/>
          <w:sz w:val="20"/>
          <w:szCs w:val="20"/>
          <w:lang w:eastAsia="en-GB"/>
        </w:rPr>
        <w:t>đo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biệt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hoặc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cần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20%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nghiệp</w:t>
      </w:r>
      <w:proofErr w:type="spellEnd"/>
      <w:r w:rsidRPr="00CF584C">
        <w:rPr>
          <w:rFonts w:ascii="Times New Roman" w:eastAsia="Times New Roman" w:hAnsi="Times New Roman" w:cs="Times New Roman"/>
          <w:bCs/>
          <w:sz w:val="20"/>
          <w:szCs w:val="20"/>
          <w:lang w:eastAsia="en-GB"/>
        </w:rPr>
        <w:t xml:space="preserve"> ở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thuộc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luật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hành</w:t>
      </w:r>
      <w:proofErr w:type="spellEnd"/>
      <w:r w:rsidRPr="00CF584C">
        <w:rPr>
          <w:rFonts w:ascii="Times New Roman" w:eastAsia="Times New Roman" w:hAnsi="Times New Roman" w:cs="Times New Roman"/>
          <w:bCs/>
          <w:sz w:val="20"/>
          <w:szCs w:val="20"/>
          <w:lang w:eastAsia="en-GB"/>
        </w:rPr>
        <w:t xml:space="preserve">). Khi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bằng</w:t>
      </w:r>
      <w:proofErr w:type="spellEnd"/>
      <w:r w:rsidRPr="00CF584C">
        <w:rPr>
          <w:rFonts w:ascii="Times New Roman" w:eastAsia="Times New Roman" w:hAnsi="Times New Roman" w:cs="Times New Roman"/>
          <w:bCs/>
          <w:sz w:val="20"/>
          <w:szCs w:val="20"/>
          <w:lang w:eastAsia="en-GB"/>
        </w:rPr>
        <w:t xml:space="preserve"> 5%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mua</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lại</w:t>
      </w:r>
      <w:proofErr w:type="spellEnd"/>
      <w:r w:rsidRPr="00CF584C">
        <w:rPr>
          <w:rFonts w:ascii="Times New Roman" w:eastAsia="Times New Roman" w:hAnsi="Times New Roman" w:cs="Times New Roman"/>
          <w:b/>
          <w:bCs/>
          <w:sz w:val="20"/>
          <w:szCs w:val="20"/>
          <w:lang w:eastAsia="en-GB"/>
        </w:rPr>
        <w:t xml:space="preserve"> </w:t>
      </w:r>
      <w:proofErr w:type="spellStart"/>
      <w:r w:rsidR="008F3333" w:rsidRPr="00CF584C">
        <w:rPr>
          <w:rFonts w:ascii="Times New Roman" w:eastAsia="Times New Roman" w:hAnsi="Times New Roman" w:cs="Times New Roman"/>
          <w:b/>
          <w:bCs/>
          <w:sz w:val="20"/>
          <w:szCs w:val="20"/>
          <w:lang w:eastAsia="en-GB"/>
        </w:rPr>
        <w:t>Chứng</w:t>
      </w:r>
      <w:proofErr w:type="spellEnd"/>
      <w:r w:rsidR="008F3333" w:rsidRPr="00CF584C">
        <w:rPr>
          <w:rFonts w:ascii="Times New Roman" w:eastAsia="Times New Roman" w:hAnsi="Times New Roman" w:cs="Times New Roman"/>
          <w:b/>
          <w:bCs/>
          <w:sz w:val="20"/>
          <w:szCs w:val="20"/>
          <w:lang w:eastAsia="en-GB"/>
        </w:rPr>
        <w:t xml:space="preserve"> chỉ </w:t>
      </w:r>
      <w:r w:rsidR="00E2424B" w:rsidRPr="00CF584C">
        <w:rPr>
          <w:rFonts w:ascii="Times New Roman" w:eastAsia="Times New Roman" w:hAnsi="Times New Roman" w:cs="Times New Roman"/>
          <w:b/>
          <w:bCs/>
          <w:sz w:val="20"/>
          <w:szCs w:val="20"/>
          <w:lang w:eastAsia="en-GB"/>
        </w:rPr>
        <w:t>Quỹ</w:t>
      </w:r>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nghĩa</w:t>
      </w:r>
      <w:proofErr w:type="spellEnd"/>
      <w:r w:rsidRPr="00CF584C">
        <w:rPr>
          <w:rFonts w:ascii="Times New Roman" w:eastAsia="Times New Roman" w:hAnsi="Times New Roman" w:cs="Times New Roman"/>
          <w:bCs/>
          <w:sz w:val="20"/>
          <w:szCs w:val="20"/>
          <w:lang w:eastAsia="en-GB"/>
        </w:rPr>
        <w:t xml:space="preserve"> vụ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Quỹ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loại</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đổi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bổ</w:t>
      </w:r>
      <w:proofErr w:type="spellEnd"/>
      <w:r w:rsidR="00D3484A" w:rsidRPr="00CF584C">
        <w:rPr>
          <w:rFonts w:ascii="Times New Roman" w:eastAsia="Times New Roman" w:hAnsi="Times New Roman" w:cs="Times New Roman"/>
          <w:bCs/>
          <w:sz w:val="20"/>
          <w:szCs w:val="20"/>
          <w:lang w:eastAsia="en-GB"/>
        </w:rPr>
        <w:t xml:space="preserve"> sung </w:t>
      </w:r>
      <w:proofErr w:type="spellStart"/>
      <w:r w:rsidR="00D3484A" w:rsidRPr="00CF584C">
        <w:rPr>
          <w:rFonts w:ascii="Times New Roman" w:eastAsia="Times New Roman" w:hAnsi="Times New Roman" w:cs="Times New Roman"/>
          <w:bCs/>
          <w:sz w:val="20"/>
          <w:szCs w:val="20"/>
          <w:lang w:eastAsia="en-GB"/>
        </w:rPr>
        <w:t>bởi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Thông</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tư</w:t>
      </w:r>
      <w:proofErr w:type="spellEnd"/>
      <w:r w:rsidR="00D3484A" w:rsidRPr="00CF584C">
        <w:rPr>
          <w:rFonts w:ascii="Times New Roman" w:eastAsia="Times New Roman" w:hAnsi="Times New Roman" w:cs="Times New Roman"/>
          <w:bCs/>
          <w:sz w:val="20"/>
          <w:szCs w:val="20"/>
          <w:lang w:eastAsia="en-GB"/>
        </w:rPr>
        <w:t xml:space="preserve">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và</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Thông</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25/2018/TT-BTC </w:t>
      </w:r>
      <w:proofErr w:type="spellStart"/>
      <w:r w:rsidR="00D4268C" w:rsidRPr="00CF584C">
        <w:rPr>
          <w:rFonts w:ascii="Times New Roman" w:eastAsia="Times New Roman" w:hAnsi="Times New Roman" w:cs="Times New Roman"/>
          <w:bCs/>
          <w:color w:val="000000" w:themeColor="text1"/>
          <w:sz w:val="20"/>
          <w:szCs w:val="20"/>
          <w:lang w:eastAsia="en-GB"/>
        </w:rPr>
        <w:t>ngày</w:t>
      </w:r>
      <w:proofErr w:type="spellEnd"/>
      <w:r w:rsidR="00D4268C" w:rsidRPr="00CF584C">
        <w:rPr>
          <w:rFonts w:ascii="Times New Roman" w:eastAsia="Times New Roman" w:hAnsi="Times New Roman" w:cs="Times New Roman"/>
          <w:bCs/>
          <w:color w:val="000000" w:themeColor="text1"/>
          <w:sz w:val="20"/>
          <w:szCs w:val="20"/>
          <w:lang w:eastAsia="en-GB"/>
        </w:rPr>
        <w:t xml:space="preserve"> 16/3/2018 (“</w:t>
      </w:r>
      <w:proofErr w:type="spellStart"/>
      <w:r w:rsidR="00D4268C" w:rsidRPr="00CF584C">
        <w:rPr>
          <w:rFonts w:ascii="Times New Roman" w:eastAsia="Times New Roman" w:hAnsi="Times New Roman" w:cs="Times New Roman"/>
          <w:bCs/>
          <w:color w:val="000000" w:themeColor="text1"/>
          <w:sz w:val="20"/>
          <w:szCs w:val="20"/>
          <w:lang w:eastAsia="en-GB"/>
        </w:rPr>
        <w:t>Thông</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103/2014/TT-BTC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do </w:t>
      </w:r>
      <w:proofErr w:type="spellStart"/>
      <w:r w:rsidRPr="00CF584C">
        <w:rPr>
          <w:rFonts w:ascii="Times New Roman" w:eastAsia="Times New Roman" w:hAnsi="Times New Roman" w:cs="Times New Roman"/>
          <w:bCs/>
          <w:sz w:val="20"/>
          <w:szCs w:val="20"/>
          <w:lang w:eastAsia="en-GB"/>
        </w:rPr>
        <w:t>Bộ</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ban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dụng</w:t>
      </w:r>
      <w:proofErr w:type="spellEnd"/>
      <w:r w:rsidRPr="00CF584C">
        <w:rPr>
          <w:rFonts w:ascii="Times New Roman" w:eastAsia="Times New Roman" w:hAnsi="Times New Roman" w:cs="Times New Roman"/>
          <w:bCs/>
          <w:sz w:val="20"/>
          <w:szCs w:val="20"/>
          <w:lang w:eastAsia="en-GB"/>
        </w:rPr>
        <w:t xml:space="preserve"> là 0,1%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trị </w:t>
      </w:r>
      <w:proofErr w:type="spellStart"/>
      <w:r w:rsidRPr="00CF584C">
        <w:rPr>
          <w:rFonts w:ascii="Times New Roman" w:eastAsia="Times New Roman" w:hAnsi="Times New Roman" w:cs="Times New Roman"/>
          <w:bCs/>
          <w:sz w:val="20"/>
          <w:szCs w:val="20"/>
          <w:lang w:eastAsia="en-GB"/>
        </w:rPr>
        <w:t>chuyển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sẽ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này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Nhà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w:t>
      </w:r>
    </w:p>
    <w:p w14:paraId="0E03E81D"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bằng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cách</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lượng</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giao</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dịch</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gần</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nhất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trước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lẻ</w:t>
      </w:r>
      <w:proofErr w:type="spellEnd"/>
      <w:r w:rsidRPr="00CF584C">
        <w:rPr>
          <w:rFonts w:ascii="Times New Roman" w:eastAsia="Times New Roman" w:hAnsi="Times New Roman" w:cs="Times New Roman"/>
          <w:bCs/>
          <w:sz w:val="20"/>
          <w:szCs w:val="20"/>
          <w:lang w:eastAsia="en-GB"/>
        </w:rPr>
        <w:t xml:space="preserve"> ở </w:t>
      </w:r>
      <w:proofErr w:type="spellStart"/>
      <w:r w:rsidRPr="00CF584C">
        <w:rPr>
          <w:rFonts w:ascii="Times New Roman" w:eastAsia="Times New Roman" w:hAnsi="Times New Roman" w:cs="Times New Roman"/>
          <w:bCs/>
          <w:sz w:val="20"/>
          <w:szCs w:val="20"/>
          <w:lang w:eastAsia="en-GB"/>
        </w:rPr>
        <w:t>dạng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được</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làm</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tròn</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lấy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đến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phẩy</w:t>
      </w:r>
      <w:proofErr w:type="spellEnd"/>
      <w:r w:rsidRPr="00CF584C">
        <w:rPr>
          <w:rFonts w:ascii="Times New Roman" w:eastAsia="Times New Roman" w:hAnsi="Times New Roman" w:cs="Times New Roman"/>
          <w:bCs/>
          <w:sz w:val="20"/>
          <w:szCs w:val="20"/>
          <w:lang w:eastAsia="en-GB"/>
        </w:rPr>
        <w:t>.</w:t>
      </w:r>
    </w:p>
    <w:p w14:paraId="249BE665" w14:textId="77777777" w:rsidR="00950A13" w:rsidRPr="00CF584C" w:rsidRDefault="000D2E1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rPr>
      </w:pPr>
      <w:proofErr w:type="spellStart"/>
      <w:r w:rsidRPr="00CF584C">
        <w:rPr>
          <w:rFonts w:ascii="Times New Roman" w:hAnsi="Times New Roman" w:cs="Times New Roman"/>
          <w:b/>
          <w:sz w:val="20"/>
          <w:szCs w:val="20"/>
        </w:rPr>
        <w:t>Báo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cáo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bộ</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phận</w:t>
      </w:r>
      <w:proofErr w:type="spellEnd"/>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Quỹ</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hoạt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động</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nh</w:t>
      </w:r>
      <w:r w:rsidR="000D2E10" w:rsidRPr="00CF584C">
        <w:rPr>
          <w:rFonts w:ascii="Times New Roman" w:hAnsi="Times New Roman" w:cs="Times New Roman" w:hint="eastAsia"/>
          <w:sz w:val="20"/>
          <w:szCs w:val="20"/>
        </w:rPr>
        <w:t>ư</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một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bộ</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phận</w:t>
      </w:r>
      <w:proofErr w:type="spellEnd"/>
      <w:r w:rsidR="000D2E10" w:rsidRPr="00CF584C">
        <w:rPr>
          <w:rFonts w:ascii="Times New Roman" w:hAnsi="Times New Roman" w:cs="Times New Roman"/>
          <w:sz w:val="20"/>
          <w:szCs w:val="20"/>
        </w:rPr>
        <w:t>.</w:t>
      </w:r>
    </w:p>
    <w:p w14:paraId="0BEC6076" w14:textId="77777777" w:rsidR="00950A13" w:rsidRPr="00CF584C" w:rsidRDefault="00810C70" w:rsidP="00051CF4">
      <w:pPr>
        <w:pStyle w:val="ListParagraph"/>
        <w:numPr>
          <w:ilvl w:val="1"/>
          <w:numId w:val="7"/>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proofErr w:type="spellStart"/>
      <w:r w:rsidRPr="00CF584C">
        <w:rPr>
          <w:rFonts w:ascii="Times New Roman" w:hAnsi="Times New Roman" w:cs="Times New Roman"/>
          <w:b/>
          <w:sz w:val="20"/>
          <w:szCs w:val="20"/>
        </w:rPr>
        <w:t>Các</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liên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quan</w:t>
      </w:r>
      <w:proofErr w:type="spellEnd"/>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hay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qua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nhiều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w:t>
      </w:r>
      <w:r w:rsidR="0041039F" w:rsidRPr="00CF584C">
        <w:rPr>
          <w:rFonts w:ascii="Times New Roman" w:eastAsia="Times New Roman" w:hAnsi="Times New Roman" w:cs="Times New Roman"/>
          <w:bCs/>
          <w:sz w:val="20"/>
          <w:szCs w:val="20"/>
          <w:lang w:eastAsia="en-GB"/>
        </w:rPr>
        <w:t>c</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cùng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chung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nắm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ảnh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hưởng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kể</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chủ</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chốt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mật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cũng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coi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xem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xét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từng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chỉ</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pháp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đó</w:t>
      </w:r>
      <w:proofErr w:type="spellEnd"/>
      <w:r w:rsidRPr="00CF584C">
        <w:rPr>
          <w:rFonts w:ascii="Times New Roman" w:eastAsia="Times New Roman" w:hAnsi="Times New Roman" w:cs="Times New Roman"/>
          <w:bCs/>
          <w:sz w:val="20"/>
          <w:szCs w:val="20"/>
          <w:lang w:eastAsia="en-GB"/>
        </w:rPr>
        <w:t>.</w:t>
      </w:r>
    </w:p>
    <w:p w14:paraId="07BA1743" w14:textId="77777777" w:rsidR="002418AC" w:rsidRPr="00CF584C" w:rsidRDefault="002418AC"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Số</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dư</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bằng</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không</w:t>
      </w:r>
      <w:proofErr w:type="spellEnd"/>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5ED0A0D" w14:textId="0257A0C9" w:rsidR="00876E8F" w:rsidRDefault="00E34A50"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Thông tin bổ sung cho các báo cáo tài chính</w:t>
      </w:r>
    </w:p>
    <w:p w14:paraId="30484710" w14:textId="2938416D" w:rsidR="00051CF4" w:rsidRDefault="00051CF4" w:rsidP="00051CF4">
      <w:pPr>
        <w:pStyle w:val="ListParagraph"/>
        <w:spacing w:before="120" w:after="120"/>
        <w:ind w:left="0"/>
        <w:contextualSpacing w:val="0"/>
        <w:jc w:val="both"/>
        <w:rPr>
          <w:rFonts w:ascii="Times New Roman" w:hAnsi="Times New Roman" w:cs="Times New Roman"/>
          <w:bCs/>
          <w:sz w:val="20"/>
          <w:szCs w:val="20"/>
          <w:lang w:val="vi-VN"/>
        </w:rPr>
      </w:pPr>
      <w:r w:rsidRPr="00051CF4">
        <w:rPr>
          <w:rFonts w:ascii="Times New Roman" w:hAnsi="Times New Roman" w:cs="Times New Roman"/>
          <w:bCs/>
          <w:sz w:val="20"/>
          <w:szCs w:val="20"/>
          <w:lang w:val="vi-VN"/>
        </w:rPr>
        <w:t>Phần thuyết minh này được trình bày theo phụ lục đính kèm.</w:t>
      </w:r>
    </w:p>
    <w:bookmarkStart w:id="0" w:name="_MON_1751093383"/>
    <w:bookmarkEnd w:id="0"/>
    <w:p w14:paraId="6E32B86E" w14:textId="4ADEB85E" w:rsidR="00E702F2" w:rsidRDefault="006D23FB" w:rsidP="00051CF4">
      <w:pPr>
        <w:pStyle w:val="ListParagraph"/>
        <w:spacing w:before="120" w:after="120"/>
        <w:ind w:left="0"/>
        <w:contextualSpacing w:val="0"/>
        <w:jc w:val="both"/>
        <w:rPr>
          <w:rFonts w:ascii="Times New Roman" w:hAnsi="Times New Roman" w:cs="Times New Roman"/>
          <w:bCs/>
          <w:sz w:val="20"/>
          <w:szCs w:val="20"/>
          <w:lang w:val="vi-VN"/>
        </w:rPr>
      </w:pPr>
      <w:r>
        <w:rPr>
          <w:rFonts w:ascii="Times New Roman" w:hAnsi="Times New Roman" w:cs="Times New Roman"/>
          <w:bCs/>
          <w:sz w:val="20"/>
          <w:szCs w:val="20"/>
          <w:lang w:val="vi-VN"/>
        </w:rPr>
        <w:object w:dxaOrig="1541" w:dyaOrig="998" w14:anchorId="7954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Excel.Sheet.12" ShapeID="_x0000_i1025" DrawAspect="Icon" ObjectID="_1751195395" r:id="rId9"/>
        </w:object>
      </w:r>
    </w:p>
    <w:p w14:paraId="05392995" w14:textId="70A3F98C" w:rsidR="00051CF4" w:rsidRPr="00051CF4" w:rsidRDefault="00051CF4"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Phải trả dịch vụ quản lý Quỹ mở</w:t>
      </w:r>
    </w:p>
    <w:p w14:paraId="51A792C0" w14:textId="6CD6C69B" w:rsidR="00876E8F" w:rsidRPr="00051CF4" w:rsidRDefault="003158BA" w:rsidP="00051CF4">
      <w:pPr>
        <w:pStyle w:val="ListParagraph"/>
        <w:numPr>
          <w:ilvl w:val="1"/>
          <w:numId w:val="11"/>
        </w:numPr>
        <w:spacing w:beforeLines="60" w:before="144" w:afterLines="60" w:after="144"/>
        <w:jc w:val="both"/>
        <w:outlineLvl w:val="0"/>
        <w:rPr>
          <w:rFonts w:ascii="Times New Roman" w:hAnsi="Times New Roman" w:cs="Times New Roman"/>
          <w:b/>
          <w:sz w:val="20"/>
          <w:szCs w:val="20"/>
          <w:lang w:val="vi-VN"/>
        </w:rPr>
      </w:pPr>
      <w:r w:rsidRPr="00051CF4">
        <w:rPr>
          <w:rFonts w:ascii="Times New Roman" w:hAnsi="Times New Roman" w:cs="Times New Roman"/>
          <w:b/>
          <w:bCs/>
          <w:sz w:val="20"/>
          <w:szCs w:val="20"/>
          <w:lang w:val="vi-VN"/>
        </w:rPr>
        <w:t xml:space="preserve">Giá dịch vụ </w:t>
      </w:r>
      <w:r w:rsidR="000463FC" w:rsidRPr="00051CF4">
        <w:rPr>
          <w:rFonts w:ascii="Times New Roman" w:hAnsi="Times New Roman" w:cs="Times New Roman"/>
          <w:b/>
          <w:bCs/>
          <w:sz w:val="20"/>
          <w:szCs w:val="20"/>
        </w:rPr>
        <w:t>Q</w:t>
      </w:r>
      <w:r w:rsidRPr="00051CF4">
        <w:rPr>
          <w:rFonts w:ascii="Times New Roman" w:hAnsi="Times New Roman" w:cs="Times New Roman"/>
          <w:b/>
          <w:bCs/>
          <w:sz w:val="20"/>
          <w:szCs w:val="20"/>
          <w:lang w:val="vi-VN"/>
        </w:rPr>
        <w:t xml:space="preserve">uản lý </w:t>
      </w:r>
      <w:r w:rsidR="00E2424B" w:rsidRPr="00051CF4">
        <w:rPr>
          <w:rFonts w:ascii="Times New Roman" w:hAnsi="Times New Roman" w:cs="Times New Roman"/>
          <w:b/>
          <w:bCs/>
          <w:sz w:val="20"/>
          <w:szCs w:val="20"/>
        </w:rPr>
        <w:t>Quỹ</w:t>
      </w:r>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tính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trên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tổng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trị</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tài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sản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ròng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chưa</w:t>
      </w:r>
      <w:proofErr w:type="spellEnd"/>
      <w:r w:rsidR="00C3595A">
        <w:rPr>
          <w:rFonts w:ascii="Times New Roman" w:eastAsia="Times New Roman" w:hAnsi="Times New Roman" w:cs="Times New Roman"/>
          <w:bCs/>
          <w:sz w:val="20"/>
          <w:szCs w:val="20"/>
          <w:lang w:eastAsia="en-GB"/>
        </w:rPr>
        <w:t xml:space="preserve"> bao </w:t>
      </w:r>
      <w:proofErr w:type="spellStart"/>
      <w:r w:rsidR="00C3595A">
        <w:rPr>
          <w:rFonts w:ascii="Times New Roman" w:eastAsia="Times New Roman" w:hAnsi="Times New Roman" w:cs="Times New Roman"/>
          <w:bCs/>
          <w:sz w:val="20"/>
          <w:szCs w:val="20"/>
          <w:lang w:eastAsia="en-GB"/>
        </w:rPr>
        <w:t>gồm</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Thuế</w:t>
      </w:r>
      <w:proofErr w:type="spellEnd"/>
      <w:r w:rsidR="00C3595A">
        <w:rPr>
          <w:rFonts w:ascii="Times New Roman" w:eastAsia="Times New Roman" w:hAnsi="Times New Roman" w:cs="Times New Roman"/>
          <w:bCs/>
          <w:sz w:val="20"/>
          <w:szCs w:val="20"/>
          <w:lang w:eastAsia="en-GB"/>
        </w:rPr>
        <w:t xml:space="preserve"> GTGT, </w:t>
      </w:r>
      <w:proofErr w:type="spellStart"/>
      <w:r w:rsidR="00C3595A">
        <w:rPr>
          <w:rFonts w:ascii="Times New Roman" w:eastAsia="Times New Roman" w:hAnsi="Times New Roman" w:cs="Times New Roman"/>
          <w:bCs/>
          <w:sz w:val="20"/>
          <w:szCs w:val="20"/>
          <w:lang w:eastAsia="en-GB"/>
        </w:rPr>
        <w:t>được</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ghi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nhận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chi </w:t>
      </w:r>
      <w:proofErr w:type="spellStart"/>
      <w:r w:rsidR="00C3595A">
        <w:rPr>
          <w:rFonts w:ascii="Times New Roman" w:eastAsia="Times New Roman" w:hAnsi="Times New Roman" w:cs="Times New Roman"/>
          <w:bCs/>
          <w:sz w:val="20"/>
          <w:szCs w:val="20"/>
          <w:lang w:eastAsia="en-GB"/>
        </w:rPr>
        <w:t>phí</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hoạt</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động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
    <w:p w14:paraId="6B347520" w14:textId="050C99C7" w:rsidR="00876E8F" w:rsidRPr="00051CF4" w:rsidRDefault="00051CF4" w:rsidP="00051CF4">
      <w:pPr>
        <w:pStyle w:val="ListParagraph"/>
        <w:spacing w:beforeLines="60" w:before="144" w:afterLines="60" w:after="144"/>
        <w:ind w:left="0"/>
        <w:contextualSpacing w:val="0"/>
        <w:jc w:val="both"/>
        <w:outlineLvl w:val="0"/>
        <w:rPr>
          <w:rFonts w:ascii="Times New Roman" w:hAnsi="Times New Roman" w:cs="Times New Roman"/>
          <w:b/>
          <w:sz w:val="20"/>
          <w:szCs w:val="20"/>
        </w:rPr>
      </w:pPr>
      <w:r>
        <w:rPr>
          <w:rFonts w:ascii="Times New Roman" w:hAnsi="Times New Roman" w:cs="Times New Roman"/>
          <w:b/>
          <w:sz w:val="20"/>
          <w:szCs w:val="20"/>
        </w:rPr>
        <w:t xml:space="preserve">6.2 </w:t>
      </w:r>
      <w:r w:rsidR="00C439B9" w:rsidRPr="00CF584C">
        <w:rPr>
          <w:rFonts w:ascii="Times New Roman" w:hAnsi="Times New Roman" w:cs="Times New Roman"/>
          <w:b/>
          <w:sz w:val="20"/>
          <w:szCs w:val="20"/>
          <w:lang w:val="vi-VN"/>
        </w:rPr>
        <w:t xml:space="preserve">Giá dịch vụ </w:t>
      </w:r>
      <w:proofErr w:type="spellStart"/>
      <w:r w:rsidR="00C439B9" w:rsidRPr="00CF584C">
        <w:rPr>
          <w:rFonts w:ascii="Times New Roman" w:hAnsi="Times New Roman" w:cs="Times New Roman"/>
          <w:b/>
          <w:sz w:val="20"/>
          <w:szCs w:val="20"/>
        </w:rPr>
        <w:t>Giám</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sát</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và</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Lưu</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ký</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tài</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sản</w:t>
      </w:r>
      <w:proofErr w:type="spellEnd"/>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03%)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16.000.000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05%)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11.500.000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w:t>
      </w:r>
      <w:r w:rsidR="00E83C97" w:rsidRPr="00CF584C">
        <w:rPr>
          <w:rFonts w:ascii="Times New Roman" w:hAnsi="Times New Roman" w:cs="Times New Roman"/>
          <w:color w:val="000000"/>
          <w:sz w:val="20"/>
          <w:szCs w:val="20"/>
        </w:rPr>
        <w:t>t</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tháng</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phí</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giao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
    <w:p w14:paraId="063EC8CE" w14:textId="4722A4A4" w:rsidR="00876E8F" w:rsidRPr="00051CF4" w:rsidRDefault="00C439B9" w:rsidP="00051CF4">
      <w:pPr>
        <w:pStyle w:val="ListParagraph"/>
        <w:numPr>
          <w:ilvl w:val="1"/>
          <w:numId w:val="12"/>
        </w:numPr>
        <w:spacing w:beforeLines="60" w:before="144" w:afterLines="60" w:after="144"/>
        <w:jc w:val="both"/>
        <w:outlineLvl w:val="0"/>
        <w:rPr>
          <w:rFonts w:ascii="Times New Roman" w:hAnsi="Times New Roman" w:cs="Times New Roman"/>
          <w:b/>
          <w:sz w:val="20"/>
          <w:szCs w:val="20"/>
          <w:lang w:val="vi-VN"/>
        </w:rPr>
      </w:pPr>
      <w:r w:rsidRPr="00051CF4">
        <w:rPr>
          <w:rFonts w:ascii="Times New Roman" w:hAnsi="Times New Roman" w:cs="Times New Roman"/>
          <w:b/>
          <w:sz w:val="20"/>
          <w:szCs w:val="20"/>
        </w:rPr>
        <w:t>Giá</w:t>
      </w:r>
      <w:r w:rsidR="003158BA" w:rsidRPr="00051CF4">
        <w:rPr>
          <w:rFonts w:ascii="Times New Roman" w:hAnsi="Times New Roman" w:cs="Times New Roman"/>
          <w:b/>
          <w:sz w:val="20"/>
          <w:szCs w:val="20"/>
          <w:lang w:val="vi-VN"/>
        </w:rPr>
        <w:t xml:space="preserve"> dịch vụ </w:t>
      </w:r>
      <w:r w:rsidRPr="00051CF4">
        <w:rPr>
          <w:rFonts w:ascii="Times New Roman" w:hAnsi="Times New Roman" w:cs="Times New Roman"/>
          <w:b/>
          <w:sz w:val="20"/>
          <w:szCs w:val="20"/>
        </w:rPr>
        <w:t>Q</w:t>
      </w:r>
      <w:r w:rsidR="003158BA" w:rsidRPr="00051CF4">
        <w:rPr>
          <w:rFonts w:ascii="Times New Roman" w:hAnsi="Times New Roman" w:cs="Times New Roman"/>
          <w:b/>
          <w:sz w:val="20"/>
          <w:szCs w:val="20"/>
          <w:lang w:val="vi-VN"/>
        </w:rPr>
        <w:t xml:space="preserve">uản trị </w:t>
      </w:r>
      <w:r w:rsidR="00E2424B" w:rsidRPr="00051CF4">
        <w:rPr>
          <w:rFonts w:ascii="Times New Roman" w:hAnsi="Times New Roman" w:cs="Times New Roman"/>
          <w:b/>
          <w:sz w:val="20"/>
          <w:szCs w:val="20"/>
        </w:rPr>
        <w:t>Quỹ</w:t>
      </w:r>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w:t>
      </w:r>
      <w:r w:rsidR="00671972" w:rsidRPr="00CF584C">
        <w:rPr>
          <w:rFonts w:ascii="Times New Roman" w:eastAsia="Times New Roman" w:hAnsi="Times New Roman" w:cs="Times New Roman"/>
          <w:bCs/>
          <w:sz w:val="20"/>
          <w:szCs w:val="20"/>
          <w:lang w:eastAsia="en-GB"/>
        </w:rPr>
        <w:t>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phẩy</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không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bốn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phần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trăm</w:t>
      </w:r>
      <w:proofErr w:type="spellEnd"/>
      <w:r w:rsidR="00671972" w:rsidRPr="00CF584C">
        <w:rPr>
          <w:rFonts w:ascii="Times New Roman" w:eastAsia="Times New Roman" w:hAnsi="Times New Roman" w:cs="Times New Roman"/>
          <w:bCs/>
          <w:sz w:val="20"/>
          <w:szCs w:val="20"/>
          <w:lang w:eastAsia="en-GB"/>
        </w:rPr>
        <w:t xml:space="preserve"> (0,</w:t>
      </w:r>
      <w:r w:rsidRPr="00CF584C">
        <w:rPr>
          <w:rFonts w:ascii="Times New Roman" w:eastAsia="Times New Roman" w:hAnsi="Times New Roman" w:cs="Times New Roman"/>
          <w:bCs/>
          <w:sz w:val="20"/>
          <w:szCs w:val="20"/>
          <w:lang w:eastAsia="en-GB"/>
        </w:rPr>
        <w:t>04%) (</w:t>
      </w:r>
      <w:proofErr w:type="spellStart"/>
      <w:r w:rsidRPr="00CF584C">
        <w:rPr>
          <w:rFonts w:ascii="Times New Roman" w:eastAsia="Times New Roman" w:hAnsi="Times New Roman" w:cs="Times New Roman"/>
          <w:bCs/>
          <w:sz w:val="20"/>
          <w:szCs w:val="20"/>
          <w:lang w:eastAsia="en-GB"/>
        </w:rPr>
        <w:t>bốn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NAV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26.500.000 VNĐ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triệu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đồng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chưa</w:t>
      </w:r>
      <w:proofErr w:type="spellEnd"/>
      <w:r w:rsidRPr="00CF584C">
        <w:rPr>
          <w:rFonts w:ascii="Times New Roman" w:eastAsia="Times New Roman" w:hAnsi="Times New Roman" w:cs="Times New Roman"/>
          <w:bCs/>
          <w:sz w:val="20"/>
          <w:szCs w:val="20"/>
          <w:lang w:eastAsia="en-GB"/>
        </w:rPr>
        <w:t xml:space="preserve"> bao </w:t>
      </w:r>
      <w:proofErr w:type="spellStart"/>
      <w:r w:rsidRPr="00CF584C">
        <w:rPr>
          <w:rFonts w:ascii="Times New Roman" w:eastAsia="Times New Roman" w:hAnsi="Times New Roman" w:cs="Times New Roman"/>
          <w:bCs/>
          <w:sz w:val="20"/>
          <w:szCs w:val="20"/>
          <w:lang w:eastAsia="en-GB"/>
        </w:rPr>
        <w:t>gồm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GTGT.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cộng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dồn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cấp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w:t>
      </w:r>
    </w:p>
    <w:p w14:paraId="3FFA8166" w14:textId="38696595" w:rsidR="00B71FF1" w:rsidRPr="00CF584C" w:rsidRDefault="00A948E8" w:rsidP="00051CF4">
      <w:pPr>
        <w:pStyle w:val="ListParagraph"/>
        <w:numPr>
          <w:ilvl w:val="0"/>
          <w:numId w:val="1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Bà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Đỗ</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Thị</w:t>
            </w:r>
            <w:proofErr w:type="spellEnd"/>
            <w:r w:rsidRPr="00CF584C">
              <w:rPr>
                <w:rFonts w:ascii="Times New Roman" w:hAnsi="Times New Roman" w:cs="Times New Roman"/>
                <w:b/>
                <w:sz w:val="20"/>
                <w:szCs w:val="20"/>
              </w:rPr>
              <w:t xml:space="preserve"> Thu </w:t>
            </w:r>
            <w:proofErr w:type="spellStart"/>
            <w:r w:rsidRPr="00CF584C">
              <w:rPr>
                <w:rFonts w:ascii="Times New Roman" w:hAnsi="Times New Roman" w:cs="Times New Roman"/>
                <w:b/>
                <w:sz w:val="20"/>
                <w:szCs w:val="20"/>
              </w:rPr>
              <w:t>Nguyệt</w:t>
            </w:r>
            <w:proofErr w:type="spellEnd"/>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77777777" w:rsidR="00600F52" w:rsidRPr="00CF584C" w:rsidRDefault="00C73169" w:rsidP="008E0D5E">
            <w:pPr>
              <w:tabs>
                <w:tab w:val="center" w:pos="4320"/>
              </w:tabs>
              <w:spacing w:after="0"/>
              <w:jc w:val="center"/>
              <w:rPr>
                <w:rFonts w:ascii="Times New Roman" w:hAnsi="Times New Roman" w:cs="Times New Roman"/>
                <w:b/>
                <w:sz w:val="20"/>
                <w:szCs w:val="20"/>
              </w:rPr>
            </w:pPr>
            <w:proofErr w:type="spellStart"/>
            <w:r w:rsidRPr="00CF584C">
              <w:rPr>
                <w:rFonts w:ascii="Times New Roman" w:hAnsi="Times New Roman" w:cs="Times New Roman"/>
                <w:b/>
                <w:sz w:val="20"/>
                <w:szCs w:val="20"/>
              </w:rPr>
              <w:t>Ông</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Bùi</w:t>
            </w:r>
            <w:proofErr w:type="spellEnd"/>
            <w:r w:rsidRPr="00CF584C">
              <w:rPr>
                <w:rFonts w:ascii="Times New Roman" w:hAnsi="Times New Roman" w:cs="Times New Roman"/>
                <w:b/>
                <w:sz w:val="20"/>
                <w:szCs w:val="20"/>
              </w:rPr>
              <w:t xml:space="preserve"> Thanh </w:t>
            </w:r>
            <w:proofErr w:type="spellStart"/>
            <w:r w:rsidRPr="00CF584C">
              <w:rPr>
                <w:rFonts w:ascii="Times New Roman" w:hAnsi="Times New Roman" w:cs="Times New Roman"/>
                <w:b/>
                <w:sz w:val="20"/>
                <w:szCs w:val="20"/>
              </w:rPr>
              <w:t>Hiệp</w:t>
            </w:r>
            <w:proofErr w:type="spellEnd"/>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proofErr w:type="spellStart"/>
            <w:r w:rsidRPr="00CF584C">
              <w:rPr>
                <w:rFonts w:ascii="Times New Roman" w:hAnsi="Times New Roman" w:cs="Times New Roman"/>
                <w:i/>
                <w:sz w:val="20"/>
                <w:szCs w:val="20"/>
              </w:rPr>
              <w:t>Kế</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Toán</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Trưởng</w:t>
            </w:r>
            <w:proofErr w:type="spellEnd"/>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3D99F161" w:rsidR="00950A13" w:rsidRPr="00715B9A" w:rsidRDefault="00C73169" w:rsidP="008E0D5E">
            <w:pPr>
              <w:tabs>
                <w:tab w:val="center" w:pos="4320"/>
              </w:tabs>
              <w:spacing w:after="0"/>
              <w:jc w:val="center"/>
              <w:rPr>
                <w:rFonts w:ascii="Times New Roman" w:hAnsi="Times New Roman" w:cs="Times New Roman"/>
                <w:i/>
                <w:sz w:val="20"/>
                <w:szCs w:val="20"/>
              </w:rPr>
            </w:pPr>
            <w:proofErr w:type="spellStart"/>
            <w:r w:rsidRPr="00CF584C">
              <w:rPr>
                <w:rFonts w:ascii="Times New Roman" w:hAnsi="Times New Roman" w:cs="Times New Roman"/>
                <w:i/>
                <w:sz w:val="20"/>
                <w:szCs w:val="20"/>
              </w:rPr>
              <w:t>Chủ</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tịch</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Công</w:t>
            </w:r>
            <w:proofErr w:type="spellEnd"/>
            <w:r w:rsidRPr="00CF584C">
              <w:rPr>
                <w:rFonts w:ascii="Times New Roman" w:hAnsi="Times New Roman" w:cs="Times New Roman"/>
                <w:i/>
                <w:sz w:val="20"/>
                <w:szCs w:val="20"/>
              </w:rPr>
              <w:t xml:space="preserve">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headerReference w:type="default" r:id="rId10"/>
      <w:footerReference w:type="default" r:id="rId11"/>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9A87" w14:textId="77777777" w:rsidR="00257F54" w:rsidRDefault="00257F54" w:rsidP="002169ED">
      <w:pPr>
        <w:spacing w:after="0" w:line="240" w:lineRule="auto"/>
      </w:pPr>
      <w:r>
        <w:separator/>
      </w:r>
    </w:p>
  </w:endnote>
  <w:endnote w:type="continuationSeparator" w:id="0">
    <w:p w14:paraId="2E07750E" w14:textId="77777777" w:rsidR="00257F54" w:rsidRDefault="00257F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1FE0" w14:textId="77777777" w:rsidR="00257F54" w:rsidRDefault="00257F54" w:rsidP="002169ED">
      <w:pPr>
        <w:spacing w:after="0" w:line="240" w:lineRule="auto"/>
      </w:pPr>
      <w:r>
        <w:separator/>
      </w:r>
    </w:p>
  </w:footnote>
  <w:footnote w:type="continuationSeparator" w:id="0">
    <w:p w14:paraId="5FAC9762" w14:textId="77777777" w:rsidR="00257F54" w:rsidRDefault="00257F5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5F80" w14:textId="242917CB" w:rsidR="00A159D2" w:rsidRDefault="008E519A">
    <w:pPr>
      <w:pStyle w:val="Header"/>
    </w:pPr>
    <w:r>
      <w:rPr>
        <w:noProof/>
      </w:rPr>
      <mc:AlternateContent>
        <mc:Choice Requires="wps">
          <w:drawing>
            <wp:anchor distT="0" distB="0" distL="114300" distR="114300" simplePos="0" relativeHeight="251658240" behindDoc="0" locked="0" layoutInCell="0" allowOverlap="1" wp14:anchorId="6AFB850D" wp14:editId="23739508">
              <wp:simplePos x="0" y="0"/>
              <wp:positionH relativeFrom="page">
                <wp:posOffset>0</wp:posOffset>
              </wp:positionH>
              <wp:positionV relativeFrom="page">
                <wp:posOffset>190500</wp:posOffset>
              </wp:positionV>
              <wp:extent cx="7560310" cy="266700"/>
              <wp:effectExtent l="0" t="0" r="2540" b="0"/>
              <wp:wrapNone/>
              <wp:docPr id="1" name="MSIPCM13b84598ae8430876e9e3313" descr="{&quot;HashCode&quot;:1968695115,&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25930" w14:textId="7BB46E24" w:rsidR="00A159D2" w:rsidRPr="00553705" w:rsidRDefault="00553705" w:rsidP="00553705">
                          <w:pPr>
                            <w:spacing w:after="0"/>
                            <w:rPr>
                              <w:rFonts w:ascii="Arial" w:hAnsi="Arial" w:cs="Arial"/>
                              <w:color w:val="317100"/>
                              <w:sz w:val="18"/>
                            </w:rPr>
                          </w:pPr>
                          <w:r w:rsidRPr="00553705">
                            <w:rPr>
                              <w:rFonts w:ascii="Arial" w:hAnsi="Arial" w:cs="Arial"/>
                              <w:color w:val="317100"/>
                              <w:sz w:val="18"/>
                            </w:rPr>
                            <w:t>PUBLIC</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B850D" id="_x0000_t202" coordsize="21600,21600" o:spt="202" path="m,l,21600r21600,l21600,xe">
              <v:stroke joinstyle="miter"/>
              <v:path gradientshapeok="t" o:connecttype="rect"/>
            </v:shapetype>
            <v:shape id="MSIPCM13b84598ae8430876e9e3313" o:spid="_x0000_s1026" type="#_x0000_t202" alt="{&quot;HashCode&quot;:1968695115,&quot;Height&quot;:841.0,&quot;Width&quot;:595.0,&quot;Placement&quot;:&quot;Header&quot;,&quot;Index&quot;:&quot;Primary&quot;,&quot;Section&quot;:1,&quot;Top&quot;:0.0,&quot;Left&quot;:0.0}" style="position:absolute;margin-left:0;margin-top:15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i1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" o:allowincell="f" filled="f" stroked="f">
              <v:textbox inset="20pt,0,,0">
                <w:txbxContent>
                  <w:p w14:paraId="0EF25930" w14:textId="7BB46E24" w:rsidR="00A159D2" w:rsidRPr="00553705" w:rsidRDefault="00553705" w:rsidP="00553705">
                    <w:pPr>
                      <w:spacing w:after="0"/>
                      <w:rPr>
                        <w:rFonts w:ascii="Arial" w:hAnsi="Arial" w:cs="Arial"/>
                        <w:color w:val="317100"/>
                        <w:sz w:val="18"/>
                      </w:rPr>
                    </w:pPr>
                    <w:r w:rsidRPr="00553705">
                      <w:rPr>
                        <w:rFonts w:ascii="Arial" w:hAnsi="Arial" w:cs="Arial"/>
                        <w:color w:val="317100"/>
                        <w:sz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8E14B8"/>
    <w:multiLevelType w:val="multilevel"/>
    <w:tmpl w:val="F2DA46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1251CA"/>
    <w:multiLevelType w:val="multilevel"/>
    <w:tmpl w:val="DBFAAB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11"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558081301">
    <w:abstractNumId w:val="6"/>
  </w:num>
  <w:num w:numId="2" w16cid:durableId="926232472">
    <w:abstractNumId w:val="9"/>
  </w:num>
  <w:num w:numId="3" w16cid:durableId="344597430">
    <w:abstractNumId w:val="7"/>
  </w:num>
  <w:num w:numId="4" w16cid:durableId="375011356">
    <w:abstractNumId w:val="10"/>
  </w:num>
  <w:num w:numId="5" w16cid:durableId="942884505">
    <w:abstractNumId w:val="5"/>
  </w:num>
  <w:num w:numId="6" w16cid:durableId="1415664738">
    <w:abstractNumId w:val="3"/>
  </w:num>
  <w:num w:numId="7" w16cid:durableId="1439640143">
    <w:abstractNumId w:val="11"/>
  </w:num>
  <w:num w:numId="8" w16cid:durableId="1819376144">
    <w:abstractNumId w:val="0"/>
  </w:num>
  <w:num w:numId="9" w16cid:durableId="1376855576">
    <w:abstractNumId w:val="8"/>
  </w:num>
  <w:num w:numId="10" w16cid:durableId="1663584606">
    <w:abstractNumId w:val="2"/>
  </w:num>
  <w:num w:numId="11" w16cid:durableId="468324549">
    <w:abstractNumId w:val="1"/>
  </w:num>
  <w:num w:numId="12" w16cid:durableId="116058168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2637"/>
    <w:rsid w:val="000032FA"/>
    <w:rsid w:val="000033AF"/>
    <w:rsid w:val="00007B98"/>
    <w:rsid w:val="00010616"/>
    <w:rsid w:val="00010ABC"/>
    <w:rsid w:val="00014A0E"/>
    <w:rsid w:val="00020097"/>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CF4"/>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96D6D"/>
    <w:rsid w:val="000A0688"/>
    <w:rsid w:val="000A1462"/>
    <w:rsid w:val="000A1F93"/>
    <w:rsid w:val="000A2837"/>
    <w:rsid w:val="000A288E"/>
    <w:rsid w:val="000A2968"/>
    <w:rsid w:val="000A3494"/>
    <w:rsid w:val="000A35E2"/>
    <w:rsid w:val="000A3D3C"/>
    <w:rsid w:val="000A4580"/>
    <w:rsid w:val="000A4B9B"/>
    <w:rsid w:val="000A5AF8"/>
    <w:rsid w:val="000A5BD0"/>
    <w:rsid w:val="000A77C4"/>
    <w:rsid w:val="000B0C3B"/>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740"/>
    <w:rsid w:val="00185A74"/>
    <w:rsid w:val="00185D8D"/>
    <w:rsid w:val="00185EA7"/>
    <w:rsid w:val="001866CF"/>
    <w:rsid w:val="001874E5"/>
    <w:rsid w:val="00187CE2"/>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600B"/>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3235"/>
    <w:rsid w:val="00203555"/>
    <w:rsid w:val="00203BEA"/>
    <w:rsid w:val="00204386"/>
    <w:rsid w:val="0020552C"/>
    <w:rsid w:val="00206778"/>
    <w:rsid w:val="00207B34"/>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50E"/>
    <w:rsid w:val="002366FC"/>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57F54"/>
    <w:rsid w:val="00260D36"/>
    <w:rsid w:val="00260F1F"/>
    <w:rsid w:val="002610B7"/>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B761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3DF"/>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568E"/>
    <w:rsid w:val="003D79FF"/>
    <w:rsid w:val="003E1620"/>
    <w:rsid w:val="003E210B"/>
    <w:rsid w:val="003E3718"/>
    <w:rsid w:val="003E37E7"/>
    <w:rsid w:val="003E3B60"/>
    <w:rsid w:val="003E3BAE"/>
    <w:rsid w:val="003E4F15"/>
    <w:rsid w:val="003E600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F94"/>
    <w:rsid w:val="004B02EE"/>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3705"/>
    <w:rsid w:val="00556BB4"/>
    <w:rsid w:val="005573EC"/>
    <w:rsid w:val="0056087C"/>
    <w:rsid w:val="00560B91"/>
    <w:rsid w:val="00560C1B"/>
    <w:rsid w:val="005611D0"/>
    <w:rsid w:val="00562E94"/>
    <w:rsid w:val="005630AD"/>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32A3"/>
    <w:rsid w:val="005B46DB"/>
    <w:rsid w:val="005B6AE2"/>
    <w:rsid w:val="005B6C40"/>
    <w:rsid w:val="005B6DDC"/>
    <w:rsid w:val="005C0B35"/>
    <w:rsid w:val="005C0B6E"/>
    <w:rsid w:val="005C13EA"/>
    <w:rsid w:val="005C27E4"/>
    <w:rsid w:val="005C40FE"/>
    <w:rsid w:val="005C418D"/>
    <w:rsid w:val="005C6356"/>
    <w:rsid w:val="005C70BC"/>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2EF"/>
    <w:rsid w:val="0066696C"/>
    <w:rsid w:val="00666978"/>
    <w:rsid w:val="00670EE3"/>
    <w:rsid w:val="00671972"/>
    <w:rsid w:val="00673437"/>
    <w:rsid w:val="00673BAD"/>
    <w:rsid w:val="00674CAE"/>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23FB"/>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2001"/>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4E93"/>
    <w:rsid w:val="00795398"/>
    <w:rsid w:val="00796F7D"/>
    <w:rsid w:val="007A1D7C"/>
    <w:rsid w:val="007A29A6"/>
    <w:rsid w:val="007A2BED"/>
    <w:rsid w:val="007A3546"/>
    <w:rsid w:val="007A7D1B"/>
    <w:rsid w:val="007B16BD"/>
    <w:rsid w:val="007B2264"/>
    <w:rsid w:val="007C06F5"/>
    <w:rsid w:val="007C0DA8"/>
    <w:rsid w:val="007C3191"/>
    <w:rsid w:val="007C37D9"/>
    <w:rsid w:val="007C3D45"/>
    <w:rsid w:val="007C3DF8"/>
    <w:rsid w:val="007C6565"/>
    <w:rsid w:val="007D1035"/>
    <w:rsid w:val="007D11EB"/>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108"/>
    <w:rsid w:val="00866BA0"/>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19A"/>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510B"/>
    <w:rsid w:val="00996810"/>
    <w:rsid w:val="00997BED"/>
    <w:rsid w:val="00997C94"/>
    <w:rsid w:val="009A0733"/>
    <w:rsid w:val="009A2836"/>
    <w:rsid w:val="009A31D3"/>
    <w:rsid w:val="009A59B0"/>
    <w:rsid w:val="009A77F6"/>
    <w:rsid w:val="009B0BEB"/>
    <w:rsid w:val="009B3E38"/>
    <w:rsid w:val="009B49BA"/>
    <w:rsid w:val="009B6969"/>
    <w:rsid w:val="009B6D22"/>
    <w:rsid w:val="009C27A8"/>
    <w:rsid w:val="009C61B2"/>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106D8"/>
    <w:rsid w:val="00A12171"/>
    <w:rsid w:val="00A1227B"/>
    <w:rsid w:val="00A13A41"/>
    <w:rsid w:val="00A159D2"/>
    <w:rsid w:val="00A16120"/>
    <w:rsid w:val="00A175E2"/>
    <w:rsid w:val="00A20F27"/>
    <w:rsid w:val="00A22514"/>
    <w:rsid w:val="00A23884"/>
    <w:rsid w:val="00A23980"/>
    <w:rsid w:val="00A242FF"/>
    <w:rsid w:val="00A24F61"/>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783"/>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1FD5"/>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36FE3"/>
    <w:rsid w:val="00B40528"/>
    <w:rsid w:val="00B410F0"/>
    <w:rsid w:val="00B4116B"/>
    <w:rsid w:val="00B424D9"/>
    <w:rsid w:val="00B432F2"/>
    <w:rsid w:val="00B44556"/>
    <w:rsid w:val="00B44B4A"/>
    <w:rsid w:val="00B44DAC"/>
    <w:rsid w:val="00B45A79"/>
    <w:rsid w:val="00B467EE"/>
    <w:rsid w:val="00B4793B"/>
    <w:rsid w:val="00B47A90"/>
    <w:rsid w:val="00B504BF"/>
    <w:rsid w:val="00B50F4A"/>
    <w:rsid w:val="00B51E5C"/>
    <w:rsid w:val="00B534AA"/>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50D5"/>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97D56"/>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21BC"/>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84C"/>
    <w:rsid w:val="00CF5E76"/>
    <w:rsid w:val="00CF6B10"/>
    <w:rsid w:val="00CF715E"/>
    <w:rsid w:val="00D00D6A"/>
    <w:rsid w:val="00D02267"/>
    <w:rsid w:val="00D032B5"/>
    <w:rsid w:val="00D03373"/>
    <w:rsid w:val="00D0376B"/>
    <w:rsid w:val="00D037CE"/>
    <w:rsid w:val="00D03EDB"/>
    <w:rsid w:val="00D047E6"/>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157"/>
    <w:rsid w:val="00DF6FED"/>
    <w:rsid w:val="00E0044D"/>
    <w:rsid w:val="00E032A0"/>
    <w:rsid w:val="00E04019"/>
    <w:rsid w:val="00E04EB4"/>
    <w:rsid w:val="00E052EA"/>
    <w:rsid w:val="00E05D31"/>
    <w:rsid w:val="00E07898"/>
    <w:rsid w:val="00E1164A"/>
    <w:rsid w:val="00E13805"/>
    <w:rsid w:val="00E14691"/>
    <w:rsid w:val="00E16CB7"/>
    <w:rsid w:val="00E177A2"/>
    <w:rsid w:val="00E2197F"/>
    <w:rsid w:val="00E231B8"/>
    <w:rsid w:val="00E236FC"/>
    <w:rsid w:val="00E23C2B"/>
    <w:rsid w:val="00E2424B"/>
    <w:rsid w:val="00E265CA"/>
    <w:rsid w:val="00E27D08"/>
    <w:rsid w:val="00E336FA"/>
    <w:rsid w:val="00E34A50"/>
    <w:rsid w:val="00E366B4"/>
    <w:rsid w:val="00E369AB"/>
    <w:rsid w:val="00E4092E"/>
    <w:rsid w:val="00E41D4F"/>
    <w:rsid w:val="00E41D94"/>
    <w:rsid w:val="00E41E89"/>
    <w:rsid w:val="00E427B4"/>
    <w:rsid w:val="00E4331F"/>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4A78"/>
    <w:rsid w:val="00E65B35"/>
    <w:rsid w:val="00E67600"/>
    <w:rsid w:val="00E67F52"/>
    <w:rsid w:val="00E700C9"/>
    <w:rsid w:val="00E702F2"/>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55C3"/>
    <w:rsid w:val="00EA665E"/>
    <w:rsid w:val="00EA6C61"/>
    <w:rsid w:val="00EB0C47"/>
    <w:rsid w:val="00EB0DEA"/>
    <w:rsid w:val="00EB356A"/>
    <w:rsid w:val="00EB4516"/>
    <w:rsid w:val="00EB4A74"/>
    <w:rsid w:val="00EB632B"/>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222D"/>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15D1"/>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2D16"/>
    <w:rsid w:val="00FA3AED"/>
    <w:rsid w:val="00FA48D8"/>
    <w:rsid w:val="00FA543E"/>
    <w:rsid w:val="00FA64E4"/>
    <w:rsid w:val="00FA688B"/>
    <w:rsid w:val="00FB13E2"/>
    <w:rsid w:val="00FB23C7"/>
    <w:rsid w:val="00FB25B8"/>
    <w:rsid w:val="00FB52EA"/>
    <w:rsid w:val="00FB73A8"/>
    <w:rsid w:val="00FC008E"/>
    <w:rsid w:val="00FC08E7"/>
    <w:rsid w:val="00FC0E35"/>
    <w:rsid w:val="00FC11E9"/>
    <w:rsid w:val="00FC24FB"/>
    <w:rsid w:val="00FC2FD3"/>
    <w:rsid w:val="00FD34C8"/>
    <w:rsid w:val="00FD70B3"/>
    <w:rsid w:val="00FD7827"/>
    <w:rsid w:val="00FE167F"/>
    <w:rsid w:val="00FE35CA"/>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860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590bc171c01340fd9034f8608a700cd4.psdsxs" Id="R555f80e339854844"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wvF0+q8XO9lomIojHuWtplUjp1fwAoymc0TIVMe3iKU=</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7u0qgBQCns43EyPzD7k6zJQNHIVFineXc7YNbIxzlfc=</DigestValue>
    </Reference>
  </SignedInfo>
  <SignatureValue>e160mZdmv6v09FCVCg6F3wdeydao1e3CrVTmBrE9+k0bNwRIYxw0HX5ufVB/iKM7bBjPdzdqLOHs
5knLGki/LZAprQx+gwF8422lV37rVbfvagP4YctHrsS/aeWPysEZ4X2hx4BfdRzsL7tXjHc/K2D3
4BHmBRpIAspoMSZZhffvaGyid7JDGe4g6dM7E6zHi50+q2JLH7yO+2TTThKm0tGS69u/32Xc7Jy9
9Wts3R4c2t3XT4pft2TFWpmobma5oXl1TwIrnxu9hKXAsQU4ywcRFxJL2/c56J2JpxOzD3SsKWDa
Qn2wgcSJokToaRrTtxgsrx2aUEHY9bhABsvs+g==</SignatureValue>
  <KeyInfo>
    <X509Data>
      <X509Certificate>MIIFVTCCBD2gAwIBAgIQVAEBAcalnHcPtQw3cUk+kjANBgkqhkiG9w0BAQsFADBcMQswCQYDVQQGEwJWTjEzMDEGA1UECgwqVklFVE5BTSBQT1NUUyBBTkQgVEVMRUNPTU1VTklDQVRJT05TIEdST1VQMRgwFgYDVQQDDA9WTlBULUNBIFNIQS0yNTYwHhcNMjMwNDEzMDg1Nz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TMpyscwqkcB2pyc5FQQvIF8rCEZvNce2Rlwohp9IaSyYKjVUckCJ0hgpR9rQvipt9M5xO1y1m9ZGWKvscHXKJZwU6kT4gykoL+ENq7MYs5SOYOrYARUQWYe3PcFbvxwacnVBCxcSJHux/p604zfB7dgUupHUaILP/aozE/ExRRI6kVwrhkCBiiJFLZJX+aX5cjo54OnF+TLmvbgGteu4kQDHtYMNRt6f27Mei1MQjo7PutrNn+gWMg68rQDsaZLJnCUAsMk0+5MkdltzKy/Pd2r4DAGgAL6eRkTC4SHd+p9KrLJeYqLOf+UXZzVjGHqIDGFIgKTdFrPGN/NPVgcxn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sGNzLBdkJB9VkjefFkOGEj3EUstU7lQI+e4Ep/TC9F0=</DigestValue>
      </Reference>
      <Reference URI="/word/document.xml?ContentType=application/vnd.openxmlformats-officedocument.wordprocessingml.document.main+xml">
        <DigestMethod Algorithm="http://www.w3.org/2001/04/xmlenc#sha256"/>
        <DigestValue>dAKjWwfJHCyL4Mn8EZKpvh+iApmwG3pNUSTt/KJCLxQ=</DigestValue>
      </Reference>
      <Reference URI="/word/embeddings/Microsoft_Excel_Worksheet.xlsx?ContentType=application/vnd.openxmlformats-officedocument.spreadsheetml.sheet">
        <DigestMethod Algorithm="http://www.w3.org/2001/04/xmlenc#sha256"/>
        <DigestValue>DW5BQ9y4Clu2nItg1g7pnBuVMynBjLjaV+Cv2Rm0Qd4=</DigestValue>
      </Reference>
      <Reference URI="/word/endnotes.xml?ContentType=application/vnd.openxmlformats-officedocument.wordprocessingml.endnotes+xml">
        <DigestMethod Algorithm="http://www.w3.org/2001/04/xmlenc#sha256"/>
        <DigestValue>IvO02Y6uy7DvE/EVLRlD59czK0vqCvxQF9hh1P/tdrc=</DigestValue>
      </Reference>
      <Reference URI="/word/fontTable.xml?ContentType=application/vnd.openxmlformats-officedocument.wordprocessingml.fontTable+xml">
        <DigestMethod Algorithm="http://www.w3.org/2001/04/xmlenc#sha256"/>
        <DigestValue>fa20uPDHPvNamE/3zDfPqbdDBszV1//5VwqX5NtHWW8=</DigestValue>
      </Reference>
      <Reference URI="/word/footer1.xml?ContentType=application/vnd.openxmlformats-officedocument.wordprocessingml.footer+xml">
        <DigestMethod Algorithm="http://www.w3.org/2001/04/xmlenc#sha256"/>
        <DigestValue>FQi/s3gAl19DXaJQC3iIAvj3ZuJskyVOP0kDLFFBsIA=</DigestValue>
      </Reference>
      <Reference URI="/word/footnotes.xml?ContentType=application/vnd.openxmlformats-officedocument.wordprocessingml.footnotes+xml">
        <DigestMethod Algorithm="http://www.w3.org/2001/04/xmlenc#sha256"/>
        <DigestValue>TJMYzFYaci+H75cpTNBUMQZJWV2wh7s277KKQfCiaBM=</DigestValue>
      </Reference>
      <Reference URI="/word/header1.xml?ContentType=application/vnd.openxmlformats-officedocument.wordprocessingml.header+xml">
        <DigestMethod Algorithm="http://www.w3.org/2001/04/xmlenc#sha256"/>
        <DigestValue>JU1jFW9sHlzU9W7U6pqS1eD/9p7nbjJWsUBSAqSoMD4=</DigestValue>
      </Reference>
      <Reference URI="/word/media/image1.emf?ContentType=image/x-emf">
        <DigestMethod Algorithm="http://www.w3.org/2001/04/xmlenc#sha256"/>
        <DigestValue>10bfuXaupkoHtxz/PZ+BeU3f4SdDbQRhaTxjnR/RCkE=</DigestValue>
      </Reference>
      <Reference URI="/word/numbering.xml?ContentType=application/vnd.openxmlformats-officedocument.wordprocessingml.numbering+xml">
        <DigestMethod Algorithm="http://www.w3.org/2001/04/xmlenc#sha256"/>
        <DigestValue>Dqs6n0N9LWfVNUr7G9yRcLDc/TKZBdZbMAoqE+/jza4=</DigestValue>
      </Reference>
      <Reference URI="/word/settings.xml?ContentType=application/vnd.openxmlformats-officedocument.wordprocessingml.settings+xml">
        <DigestMethod Algorithm="http://www.w3.org/2001/04/xmlenc#sha256"/>
        <DigestValue>Pvwfk5GJ9l+a8SlAj2DcRNunbOqhUBlDZfQdCIeTSD4=</DigestValue>
      </Reference>
      <Reference URI="/word/styles.xml?ContentType=application/vnd.openxmlformats-officedocument.wordprocessingml.styles+xml">
        <DigestMethod Algorithm="http://www.w3.org/2001/04/xmlenc#sha256"/>
        <DigestValue>n7lyLnES8xVUFpM0HB8B+oqiLPWPfwJwzlUCvwdVATg=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nwEUh+B87zf+1XlH7UaeJ7srqcInybA6/RsvXlVBq08=</DigestValue>
      </Reference>
    </Manifest>
    <SignatureProperties>
      <SignatureProperty Id="idSignatureTime" Target="#idPackageSignature">
        <mdssi:SignatureTime xmlns:mdssi="http://schemas.openxmlformats.org/package/2006/digital-signature">
          <mdssi:Format>YYYY-MM-DDThh:mm:ssTZD</mdssi:Format>
          <mdssi:Value>2023-07-18T07:24:03Z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2023-07-18T07:24:03Z</xd:SigningTime>
          <xd:SigningCertificate>
            <xd:Cert>
              <xd:CertDigest>
                <DigestMethod Algorithm="http://www.w3.org/2001/04/xmlenc#sha256"/>
                <DigestValue>UXVj+MapDh/H7UtaWL1zsPH+E0jCw4P3cM6r6+rf8t4=</DigestValue>
              </xd:CertDigest>
              <xd:IssuerSerial>
                <X509IssuerName>CN=VNPT-CA SHA-256, O=VIETNAM POSTS AND TELECOMMUNICATIONS GROUP, C=VN</X509IssuerName>
                <X509SerialNumber>111660364365907477907811519271713455762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2966</TotalTime>
  <Pages>6</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Nguyen1, Hoang</cp:lastModifiedBy>
  <cp:revision>257</cp:revision>
  <cp:lastPrinted>2021-01-14T09:01:00Z</cp:lastPrinted>
  <dcterms:created xsi:type="dcterms:W3CDTF">2019-04-09T10:39:00Z</dcterms:created>
  <dcterms:modified xsi:type="dcterms:W3CDTF">2023-07-18T07:24:00Z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6621a0-77ee-4db4-a519-10fba0c026d6_Enabled">
    <vt:lpwstr>True</vt:lpwstr>
  </property>
  <property fmtid="{D5CDD505-2E9C-101B-9397-08002B2CF9AE}" pid="3" name="MSIP_Label_8b6621a0-77ee-4db4-a519-10fba0c026d6_SiteId">
    <vt:lpwstr>b44900f1-2def-4c3b-9ec6-9020d604e19e</vt:lpwstr>
  </property>
  <property fmtid="{D5CDD505-2E9C-101B-9397-08002B2CF9AE}" pid="4" name="MSIP_Label_8b6621a0-77ee-4db4-a519-10fba0c026d6_Owner">
    <vt:lpwstr>1607463@zone1.scb.net</vt:lpwstr>
  </property>
  <property fmtid="{D5CDD505-2E9C-101B-9397-08002B2CF9AE}" pid="5" name="MSIP_Label_8b6621a0-77ee-4db4-a519-10fba0c026d6_SetDate">
    <vt:lpwstr>2022-01-11T11:12:36.5647798Z</vt:lpwstr>
  </property>
  <property fmtid="{D5CDD505-2E9C-101B-9397-08002B2CF9AE}" pid="6" name="MSIP_Label_8b6621a0-77ee-4db4-a519-10fba0c026d6_Name">
    <vt:lpwstr>Confidential</vt:lpwstr>
  </property>
  <property fmtid="{D5CDD505-2E9C-101B-9397-08002B2CF9AE}" pid="7" name="MSIP_Label_8b6621a0-77ee-4db4-a519-10fba0c026d6_Application">
    <vt:lpwstr>Microsoft Azure Information Protection</vt:lpwstr>
  </property>
  <property fmtid="{D5CDD505-2E9C-101B-9397-08002B2CF9AE}" pid="8" name="MSIP_Label_8b6621a0-77ee-4db4-a519-10fba0c026d6_ActionId">
    <vt:lpwstr>c10d7554-cefb-4930-bd49-b2ea9d08e40d</vt:lpwstr>
  </property>
  <property fmtid="{D5CDD505-2E9C-101B-9397-08002B2CF9AE}" pid="9" name="MSIP_Label_8b6621a0-77ee-4db4-a519-10fba0c026d6_Extended_MSFT_Method">
    <vt:lpwstr>Manual</vt:lpwstr>
  </property>
  <property fmtid="{D5CDD505-2E9C-101B-9397-08002B2CF9AE}" pid="10" name="MSIP_Label_ebbfc019-7f88-4fb6-96d6-94ffadd4b772_Enabled">
    <vt:lpwstr>true</vt:lpwstr>
  </property>
  <property fmtid="{D5CDD505-2E9C-101B-9397-08002B2CF9AE}" pid="11" name="MSIP_Label_ebbfc019-7f88-4fb6-96d6-94ffadd4b772_SetDate">
    <vt:lpwstr>2023-04-18T12:02:46Z</vt:lpwstr>
  </property>
  <property fmtid="{D5CDD505-2E9C-101B-9397-08002B2CF9AE}" pid="12" name="MSIP_Label_ebbfc019-7f88-4fb6-96d6-94ffadd4b772_Method">
    <vt:lpwstr>Privileged</vt:lpwstr>
  </property>
  <property fmtid="{D5CDD505-2E9C-101B-9397-08002B2CF9AE}" pid="13" name="MSIP_Label_ebbfc019-7f88-4fb6-96d6-94ffadd4b772_Name">
    <vt:lpwstr>ebbfc019-7f88-4fb6-96d6-94ffadd4b772</vt:lpwstr>
  </property>
  <property fmtid="{D5CDD505-2E9C-101B-9397-08002B2CF9AE}" pid="14" name="MSIP_Label_ebbfc019-7f88-4fb6-96d6-94ffadd4b772_SiteId">
    <vt:lpwstr>b44900f1-2def-4c3b-9ec6-9020d604e19e</vt:lpwstr>
  </property>
  <property fmtid="{D5CDD505-2E9C-101B-9397-08002B2CF9AE}" pid="15" name="MSIP_Label_ebbfc019-7f88-4fb6-96d6-94ffadd4b772_ActionId">
    <vt:lpwstr>e0c00b42-fbea-4e5d-b220-0c2bf67f1ddb</vt:lpwstr>
  </property>
  <property fmtid="{D5CDD505-2E9C-101B-9397-08002B2CF9AE}" pid="16" name="MSIP_Label_ebbfc019-7f88-4fb6-96d6-94ffadd4b772_ContentBits">
    <vt:lpwstr>1</vt:lpwstr>
  </property>
</Properties>
</file>