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theme/theme1.xml" ContentType="application/vnd.openxmlformats-officedocument.theme+xml"/>
  <Override PartName="/word/charts/style3.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5799EA63"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09242D">
        <w:rPr>
          <w:rFonts w:ascii="Times New Roman" w:hAnsi="Times New Roman"/>
          <w:b/>
          <w:i/>
          <w:sz w:val="24"/>
          <w:szCs w:val="24"/>
          <w:lang w:val="nl-NL"/>
        </w:rPr>
        <w:t xml:space="preserve">Quý </w:t>
      </w:r>
      <w:r w:rsidR="003271F8">
        <w:rPr>
          <w:rFonts w:ascii="Times New Roman" w:hAnsi="Times New Roman"/>
          <w:b/>
          <w:i/>
          <w:sz w:val="24"/>
          <w:szCs w:val="24"/>
          <w:lang w:val="nl-NL"/>
        </w:rPr>
        <w:t>1</w:t>
      </w:r>
      <w:r w:rsidR="002D54C8" w:rsidRPr="00E93BC5">
        <w:rPr>
          <w:rFonts w:ascii="Times New Roman" w:hAnsi="Times New Roman"/>
          <w:b/>
          <w:i/>
          <w:sz w:val="24"/>
          <w:szCs w:val="24"/>
          <w:lang w:val="nl-NL"/>
        </w:rPr>
        <w:t>/202</w:t>
      </w:r>
      <w:r w:rsidR="00105616">
        <w:rPr>
          <w:rFonts w:ascii="Times New Roman" w:hAnsi="Times New Roman"/>
          <w:b/>
          <w:i/>
          <w:sz w:val="24"/>
          <w:szCs w:val="24"/>
          <w:lang w:val="nl-NL"/>
        </w:rPr>
        <w:t>3</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51CAF5A8"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54C8" w:rsidRPr="00E93BC5">
              <w:rPr>
                <w:rFonts w:ascii="Times New Roman" w:eastAsia="Times New Roman" w:hAnsi="Times New Roman"/>
                <w:bCs/>
                <w:color w:val="000000"/>
                <w:sz w:val="24"/>
                <w:szCs w:val="24"/>
                <w:lang w:val="en-SG" w:eastAsia="en-SG"/>
              </w:rPr>
              <w:t>31/03/202</w:t>
            </w:r>
            <w:r w:rsidR="00105616">
              <w:rPr>
                <w:rFonts w:ascii="Times New Roman" w:eastAsia="Times New Roman" w:hAnsi="Times New Roman"/>
                <w:bCs/>
                <w:color w:val="000000"/>
                <w:sz w:val="24"/>
                <w:szCs w:val="24"/>
                <w:lang w:val="en-SG" w:eastAsia="en-SG"/>
              </w:rPr>
              <w:t>2</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69F17D5C"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ED7937" w:rsidRPr="00E93BC5">
              <w:rPr>
                <w:rFonts w:ascii="Times New Roman" w:eastAsia="Times New Roman" w:hAnsi="Times New Roman"/>
                <w:bCs/>
                <w:color w:val="000000"/>
                <w:sz w:val="24"/>
                <w:szCs w:val="24"/>
                <w:lang w:val="en-SG" w:eastAsia="en-SG"/>
              </w:rPr>
              <w:t>31/</w:t>
            </w:r>
            <w:r w:rsidR="002D54C8" w:rsidRPr="00E93BC5">
              <w:rPr>
                <w:rFonts w:ascii="Times New Roman" w:eastAsia="Times New Roman" w:hAnsi="Times New Roman"/>
                <w:bCs/>
                <w:color w:val="000000"/>
                <w:sz w:val="24"/>
                <w:szCs w:val="24"/>
                <w:lang w:val="en-SG" w:eastAsia="en-SG"/>
              </w:rPr>
              <w:t>03/202</w:t>
            </w:r>
            <w:r w:rsidR="00105616">
              <w:rPr>
                <w:rFonts w:ascii="Times New Roman" w:eastAsia="Times New Roman" w:hAnsi="Times New Roman"/>
                <w:bCs/>
                <w:color w:val="000000"/>
                <w:sz w:val="24"/>
                <w:szCs w:val="24"/>
                <w:lang w:val="en-SG" w:eastAsia="en-SG"/>
              </w:rPr>
              <w:t>3</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20690527" w:rsidR="009860B3" w:rsidRPr="00E93BC5" w:rsidRDefault="00105616" w:rsidP="003271F8">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113.309.776.587</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024FABF8" w:rsidR="009860B3" w:rsidRPr="001C68EF" w:rsidRDefault="001C68EF" w:rsidP="001C68EF">
            <w:pPr>
              <w:spacing w:after="0" w:line="240" w:lineRule="auto"/>
              <w:jc w:val="center"/>
              <w:rPr>
                <w:rFonts w:ascii="Times New Roman" w:eastAsia="Times New Roman" w:hAnsi="Times New Roman"/>
                <w:color w:val="000000"/>
                <w:sz w:val="20"/>
                <w:szCs w:val="20"/>
              </w:rPr>
            </w:pPr>
            <w:r>
              <w:rPr>
                <w:color w:val="000000"/>
                <w:sz w:val="20"/>
                <w:szCs w:val="20"/>
              </w:rPr>
              <w:t xml:space="preserve">     </w:t>
            </w:r>
            <w:r w:rsidRPr="001C68EF">
              <w:rPr>
                <w:rFonts w:ascii="Times New Roman" w:eastAsia="Times New Roman" w:hAnsi="Times New Roman"/>
                <w:bCs/>
                <w:color w:val="000000"/>
                <w:sz w:val="24"/>
                <w:szCs w:val="24"/>
                <w:lang w:val="en-SG" w:eastAsia="en-SG"/>
              </w:rPr>
              <w:t>118.719.468.189</w:t>
            </w:r>
            <w:r>
              <w:rPr>
                <w:color w:val="000000"/>
                <w:sz w:val="20"/>
                <w:szCs w:val="20"/>
              </w:rPr>
              <w:t xml:space="preserve"> </w:t>
            </w:r>
          </w:p>
        </w:tc>
      </w:tr>
    </w:tbl>
    <w:p w14:paraId="6667D3A0" w14:textId="444699E6"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1C68EF">
        <w:rPr>
          <w:rFonts w:ascii="Times New Roman" w:hAnsi="Times New Roman"/>
          <w:sz w:val="24"/>
          <w:szCs w:val="24"/>
          <w:lang w:val="nl-NL"/>
        </w:rPr>
        <w:t>4,77</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2F0430B8" w:rsidR="009C5C88" w:rsidRPr="00E93BC5" w:rsidRDefault="0009242D"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100.0</w:t>
            </w:r>
            <w:r w:rsidR="00D6273E">
              <w:rPr>
                <w:rFonts w:ascii="Times New Roman" w:hAnsi="Times New Roman"/>
                <w:sz w:val="24"/>
                <w:szCs w:val="24"/>
                <w:lang w:val="nl-NL"/>
              </w:rPr>
              <w:t>21</w:t>
            </w:r>
            <w:r>
              <w:rPr>
                <w:rFonts w:ascii="Times New Roman" w:hAnsi="Times New Roman"/>
                <w:sz w:val="24"/>
                <w:szCs w:val="24"/>
                <w:lang w:val="nl-NL"/>
              </w:rPr>
              <w:t>.</w:t>
            </w:r>
            <w:r w:rsidR="00D6273E">
              <w:rPr>
                <w:rFonts w:ascii="Times New Roman" w:hAnsi="Times New Roman"/>
                <w:sz w:val="24"/>
                <w:szCs w:val="24"/>
                <w:lang w:val="nl-NL"/>
              </w:rPr>
              <w:t>190</w:t>
            </w:r>
            <w:r>
              <w:rPr>
                <w:rFonts w:ascii="Times New Roman" w:hAnsi="Times New Roman"/>
                <w:sz w:val="24"/>
                <w:szCs w:val="24"/>
                <w:lang w:val="nl-NL"/>
              </w:rPr>
              <w:t>.</w:t>
            </w:r>
            <w:r w:rsidR="00D6273E">
              <w:rPr>
                <w:rFonts w:ascii="Times New Roman" w:hAnsi="Times New Roman"/>
                <w:sz w:val="24"/>
                <w:szCs w:val="24"/>
                <w:lang w:val="nl-NL"/>
              </w:rPr>
              <w:t>8</w:t>
            </w:r>
            <w:r>
              <w:rPr>
                <w:rFonts w:ascii="Times New Roman" w:hAnsi="Times New Roman"/>
                <w:sz w:val="24"/>
                <w:szCs w:val="24"/>
                <w:lang w:val="nl-NL"/>
              </w:rPr>
              <w:t>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179E9EA3" w:rsidR="009C5C88" w:rsidRPr="00E93BC5" w:rsidRDefault="00D6273E" w:rsidP="00276FF6">
            <w:pPr>
              <w:spacing w:after="0" w:line="240" w:lineRule="auto"/>
              <w:jc w:val="center"/>
              <w:rPr>
                <w:rFonts w:ascii="Times New Roman" w:hAnsi="Times New Roman"/>
                <w:sz w:val="24"/>
                <w:szCs w:val="24"/>
                <w:lang w:val="nl-NL"/>
              </w:rPr>
            </w:pPr>
            <w:r w:rsidRPr="00D6273E">
              <w:rPr>
                <w:rFonts w:ascii="Times New Roman" w:hAnsi="Times New Roman"/>
                <w:sz w:val="24"/>
                <w:szCs w:val="24"/>
                <w:lang w:val="nl-NL"/>
              </w:rPr>
              <w:t>10.002.119,08</w:t>
            </w:r>
          </w:p>
        </w:tc>
      </w:tr>
    </w:tbl>
    <w:p w14:paraId="0CD64997" w14:textId="7CFADAC2"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5878EA" w:rsidRPr="00E93BC5">
        <w:rPr>
          <w:rFonts w:ascii="Times New Roman" w:hAnsi="Times New Roman"/>
          <w:sz w:val="24"/>
          <w:szCs w:val="24"/>
          <w:lang w:val="nl-NL"/>
        </w:rPr>
        <w:t>1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03</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E05828">
        <w:rPr>
          <w:rFonts w:ascii="Times New Roman" w:hAnsi="Times New Roman"/>
          <w:sz w:val="24"/>
          <w:szCs w:val="24"/>
          <w:lang w:val="nl-NL"/>
        </w:rPr>
        <w:t>3</w:t>
      </w:r>
      <w:r w:rsidRPr="00E93BC5">
        <w:rPr>
          <w:rFonts w:ascii="Times New Roman" w:hAnsi="Times New Roman"/>
          <w:sz w:val="24"/>
          <w:szCs w:val="24"/>
          <w:lang w:val="nl-NL"/>
        </w:rPr>
        <w:t xml:space="preserve">, số lượng Chứng chỉ quỹ (“CCQ”) đang lưu hành của Quỹ là </w:t>
      </w:r>
      <w:r w:rsidR="00E05828" w:rsidRPr="00E05828">
        <w:rPr>
          <w:rFonts w:ascii="Times New Roman" w:hAnsi="Times New Roman"/>
          <w:sz w:val="24"/>
          <w:szCs w:val="24"/>
          <w:lang w:val="nl-NL"/>
        </w:rPr>
        <w:t>10.002.119,08</w:t>
      </w:r>
      <w:r w:rsidR="00E05828">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E05828" w:rsidRPr="00E05828">
        <w:rPr>
          <w:rFonts w:ascii="Times New Roman" w:hAnsi="Times New Roman"/>
          <w:sz w:val="24"/>
          <w:szCs w:val="24"/>
          <w:lang w:val="nl-NL"/>
        </w:rPr>
        <w:t>100.021.190.800</w:t>
      </w:r>
      <w:r w:rsidR="00E05828">
        <w:rPr>
          <w:rFonts w:ascii="Times New Roman" w:hAnsi="Times New Roman"/>
          <w:sz w:val="24"/>
          <w:szCs w:val="24"/>
          <w:lang w:val="nl-NL"/>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011DC1F4"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F77408" w:rsidRPr="00E93BC5">
        <w:rPr>
          <w:rFonts w:ascii="Times New Roman" w:hAnsi="Times New Roman"/>
          <w:sz w:val="24"/>
          <w:szCs w:val="24"/>
          <w:lang w:val="nl-NL"/>
        </w:rPr>
        <w:t>1</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03</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9A4558">
        <w:rPr>
          <w:rFonts w:ascii="Times New Roman" w:hAnsi="Times New Roman"/>
          <w:sz w:val="24"/>
          <w:szCs w:val="24"/>
          <w:lang w:val="nl-NL"/>
        </w:rPr>
        <w:t>3</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326FD40B"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E05828">
              <w:rPr>
                <w:rFonts w:ascii="Times New Roman" w:eastAsia="Times New Roman" w:hAnsi="Times New Roman"/>
                <w:b/>
                <w:sz w:val="24"/>
                <w:szCs w:val="24"/>
                <w:lang w:val="nl-NL"/>
              </w:rPr>
              <w:t>3</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6C1DD498"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E05828">
              <w:rPr>
                <w:rFonts w:ascii="Times New Roman" w:eastAsia="Times New Roman" w:hAnsi="Times New Roman"/>
                <w:b/>
                <w:sz w:val="24"/>
                <w:szCs w:val="24"/>
                <w:lang w:val="nl-NL"/>
              </w:rPr>
              <w:t>2</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56B9180E" w:rsidR="00CD3913" w:rsidRPr="00E93BC5" w:rsidRDefault="002D54C8" w:rsidP="00CD3913">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E05828">
              <w:rPr>
                <w:rFonts w:ascii="Times New Roman" w:eastAsia="Times New Roman" w:hAnsi="Times New Roman"/>
                <w:b/>
                <w:sz w:val="24"/>
                <w:szCs w:val="24"/>
                <w:lang w:val="nl-NL"/>
              </w:rPr>
              <w:t>1</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E05828" w:rsidRPr="00E93BC5" w14:paraId="570C3F01" w14:textId="77777777" w:rsidTr="00406622">
        <w:trPr>
          <w:trHeight w:val="557"/>
        </w:trPr>
        <w:tc>
          <w:tcPr>
            <w:tcW w:w="4297" w:type="dxa"/>
            <w:vAlign w:val="center"/>
          </w:tcPr>
          <w:p w14:paraId="19E7C699" w14:textId="1EE5554C" w:rsidR="00E05828" w:rsidRPr="00E93BC5" w:rsidRDefault="00E05828" w:rsidP="00E05828">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tcPr>
          <w:p w14:paraId="6BBA9AE5" w14:textId="39E727EE" w:rsidR="00E05828" w:rsidRPr="00E93BC5" w:rsidRDefault="00E05828" w:rsidP="00E058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tcPr>
          <w:p w14:paraId="70D52FAF" w14:textId="1A5FA87C"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8,80</w:t>
            </w:r>
          </w:p>
        </w:tc>
        <w:tc>
          <w:tcPr>
            <w:tcW w:w="1838" w:type="dxa"/>
          </w:tcPr>
          <w:p w14:paraId="3D934D60" w14:textId="73F3A302" w:rsidR="00E05828" w:rsidRPr="00E05828" w:rsidRDefault="00E05828" w:rsidP="00E05828">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E05828" w:rsidRPr="00E93BC5" w14:paraId="0451AD18" w14:textId="77777777" w:rsidTr="00406622">
        <w:trPr>
          <w:trHeight w:val="494"/>
        </w:trPr>
        <w:tc>
          <w:tcPr>
            <w:tcW w:w="4297" w:type="dxa"/>
            <w:vAlign w:val="center"/>
          </w:tcPr>
          <w:p w14:paraId="3D2CE59F" w14:textId="34117613" w:rsidR="00E05828" w:rsidRPr="00E93BC5" w:rsidRDefault="00E05828" w:rsidP="00E0582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7B271A71" w:rsidR="00E05828" w:rsidRPr="00E93BC5" w:rsidRDefault="00E05828" w:rsidP="00E05828">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0,58</w:t>
            </w:r>
          </w:p>
        </w:tc>
        <w:tc>
          <w:tcPr>
            <w:tcW w:w="1980" w:type="dxa"/>
          </w:tcPr>
          <w:p w14:paraId="72D15BF7" w14:textId="4A33899B"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3,18</w:t>
            </w:r>
          </w:p>
        </w:tc>
        <w:tc>
          <w:tcPr>
            <w:tcW w:w="1838" w:type="dxa"/>
          </w:tcPr>
          <w:p w14:paraId="64C212A2" w14:textId="56B8E460" w:rsidR="00E05828" w:rsidRPr="00E05828" w:rsidRDefault="00E05828" w:rsidP="00E05828">
            <w:pPr>
              <w:spacing w:before="120" w:line="276" w:lineRule="auto"/>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1,55</w:t>
            </w:r>
          </w:p>
        </w:tc>
      </w:tr>
      <w:tr w:rsidR="00E05828" w:rsidRPr="00E93BC5" w14:paraId="586753DF" w14:textId="77777777" w:rsidTr="00406622">
        <w:trPr>
          <w:trHeight w:val="443"/>
        </w:trPr>
        <w:tc>
          <w:tcPr>
            <w:tcW w:w="4297" w:type="dxa"/>
            <w:vAlign w:val="center"/>
          </w:tcPr>
          <w:p w14:paraId="4C6A15D5" w14:textId="77777777" w:rsidR="00E05828" w:rsidRPr="00E93BC5" w:rsidRDefault="00E05828" w:rsidP="00E0582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E05828" w:rsidRPr="00E93BC5" w:rsidRDefault="00E05828" w:rsidP="00E05828">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980" w:type="dxa"/>
          </w:tcPr>
          <w:p w14:paraId="1E8CDF8C" w14:textId="31B656B0"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0</w:t>
            </w:r>
          </w:p>
        </w:tc>
        <w:tc>
          <w:tcPr>
            <w:tcW w:w="1838" w:type="dxa"/>
          </w:tcPr>
          <w:p w14:paraId="1D68CC03" w14:textId="1AFAD9CB"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0</w:t>
            </w:r>
          </w:p>
        </w:tc>
      </w:tr>
      <w:tr w:rsidR="00E05828" w:rsidRPr="00E93BC5" w14:paraId="6DAE5080" w14:textId="77777777" w:rsidTr="00406622">
        <w:trPr>
          <w:trHeight w:val="494"/>
        </w:trPr>
        <w:tc>
          <w:tcPr>
            <w:tcW w:w="4297" w:type="dxa"/>
            <w:vAlign w:val="center"/>
          </w:tcPr>
          <w:p w14:paraId="0F09887A" w14:textId="77777777" w:rsidR="00E05828" w:rsidRPr="00E93BC5" w:rsidRDefault="00E05828" w:rsidP="00E0582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479488FB" w:rsidR="00E05828" w:rsidRPr="00E93BC5" w:rsidRDefault="00E05828" w:rsidP="00E058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84,42</w:t>
            </w:r>
          </w:p>
        </w:tc>
        <w:tc>
          <w:tcPr>
            <w:tcW w:w="1980" w:type="dxa"/>
          </w:tcPr>
          <w:p w14:paraId="5F922F45" w14:textId="2C7C9299"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85,19</w:t>
            </w:r>
          </w:p>
        </w:tc>
        <w:tc>
          <w:tcPr>
            <w:tcW w:w="1838" w:type="dxa"/>
          </w:tcPr>
          <w:p w14:paraId="062C5465" w14:textId="1A05707F"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80,91</w:t>
            </w:r>
          </w:p>
        </w:tc>
      </w:tr>
      <w:tr w:rsidR="00E05828" w:rsidRPr="00E93BC5" w14:paraId="2DFB9C16" w14:textId="77777777" w:rsidTr="00406622">
        <w:trPr>
          <w:trHeight w:val="494"/>
        </w:trPr>
        <w:tc>
          <w:tcPr>
            <w:tcW w:w="4297" w:type="dxa"/>
            <w:vAlign w:val="center"/>
          </w:tcPr>
          <w:p w14:paraId="535325FA" w14:textId="77777777" w:rsidR="00E05828" w:rsidRPr="00E93BC5" w:rsidRDefault="00E05828" w:rsidP="00E0582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7CA1E151" w:rsidR="00E05828" w:rsidRPr="00E93BC5" w:rsidRDefault="00E05828" w:rsidP="00E058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10,92</w:t>
            </w:r>
          </w:p>
        </w:tc>
        <w:tc>
          <w:tcPr>
            <w:tcW w:w="1980" w:type="dxa"/>
          </w:tcPr>
          <w:p w14:paraId="5D060C27" w14:textId="2E2B6EA8"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0</w:t>
            </w:r>
          </w:p>
        </w:tc>
        <w:tc>
          <w:tcPr>
            <w:tcW w:w="1838" w:type="dxa"/>
          </w:tcPr>
          <w:p w14:paraId="4C0D1C18" w14:textId="7C23EBDB"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13,67</w:t>
            </w:r>
          </w:p>
        </w:tc>
      </w:tr>
      <w:tr w:rsidR="00E05828" w:rsidRPr="00E93BC5" w14:paraId="76C2237A" w14:textId="77777777" w:rsidTr="00406622">
        <w:trPr>
          <w:trHeight w:val="477"/>
        </w:trPr>
        <w:tc>
          <w:tcPr>
            <w:tcW w:w="4297" w:type="dxa"/>
            <w:vAlign w:val="center"/>
          </w:tcPr>
          <w:p w14:paraId="289FC9E4" w14:textId="77777777" w:rsidR="00E05828" w:rsidRPr="00E93BC5" w:rsidRDefault="00E05828" w:rsidP="00E0582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79437F11" w:rsidR="00E05828" w:rsidRPr="00E93BC5" w:rsidRDefault="00E05828" w:rsidP="00E05828">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4,08</w:t>
            </w:r>
          </w:p>
        </w:tc>
        <w:tc>
          <w:tcPr>
            <w:tcW w:w="1980" w:type="dxa"/>
          </w:tcPr>
          <w:p w14:paraId="46FDB5B4" w14:textId="1AB82CE1"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2,84</w:t>
            </w:r>
          </w:p>
        </w:tc>
        <w:tc>
          <w:tcPr>
            <w:tcW w:w="1838" w:type="dxa"/>
          </w:tcPr>
          <w:p w14:paraId="0E308745" w14:textId="2A6B26CB" w:rsidR="00E05828" w:rsidRPr="00E05828" w:rsidRDefault="00E05828" w:rsidP="00E05828">
            <w:pPr>
              <w:tabs>
                <w:tab w:val="left" w:pos="540"/>
              </w:tabs>
              <w:spacing w:before="120"/>
              <w:jc w:val="center"/>
              <w:rPr>
                <w:rFonts w:ascii="Times New Roman" w:eastAsia="Times New Roman" w:hAnsi="Times New Roman"/>
                <w:bCs/>
                <w:sz w:val="24"/>
                <w:szCs w:val="24"/>
                <w:lang w:val="nl-NL"/>
              </w:rPr>
            </w:pPr>
            <w:r w:rsidRPr="00E05828">
              <w:rPr>
                <w:rFonts w:ascii="Times New Roman" w:eastAsia="Times New Roman" w:hAnsi="Times New Roman"/>
                <w:bCs/>
                <w:sz w:val="24"/>
                <w:szCs w:val="24"/>
                <w:lang w:val="nl-NL"/>
              </w:rPr>
              <w:t>3,88</w:t>
            </w:r>
          </w:p>
        </w:tc>
      </w:tr>
      <w:tr w:rsidR="00E05828" w:rsidRPr="00E93BC5" w14:paraId="60A2975C" w14:textId="77777777" w:rsidTr="00406622">
        <w:trPr>
          <w:trHeight w:val="494"/>
        </w:trPr>
        <w:tc>
          <w:tcPr>
            <w:tcW w:w="4297" w:type="dxa"/>
            <w:vAlign w:val="center"/>
          </w:tcPr>
          <w:p w14:paraId="10D7EF1E" w14:textId="77777777" w:rsidR="00E05828" w:rsidRPr="00E93BC5" w:rsidRDefault="00E05828" w:rsidP="00E05828">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77777777" w:rsidR="00E05828" w:rsidRPr="00E93BC5" w:rsidRDefault="00E05828" w:rsidP="00E05828">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980" w:type="dxa"/>
            <w:vAlign w:val="center"/>
          </w:tcPr>
          <w:p w14:paraId="73CF8507" w14:textId="28C6D8FC" w:rsidR="00E05828" w:rsidRPr="00406622" w:rsidRDefault="00E05828" w:rsidP="00E05828">
            <w:pPr>
              <w:tabs>
                <w:tab w:val="left" w:pos="540"/>
              </w:tabs>
              <w:spacing w:before="120"/>
              <w:jc w:val="center"/>
              <w:rPr>
                <w:rFonts w:ascii="Times New Roman" w:eastAsia="Times New Roman" w:hAnsi="Times New Roman"/>
                <w:b/>
                <w:sz w:val="24"/>
                <w:szCs w:val="24"/>
                <w:lang w:val="nl-NL"/>
              </w:rPr>
            </w:pPr>
            <w:r w:rsidRPr="00406622">
              <w:rPr>
                <w:rFonts w:ascii="Times New Roman" w:eastAsia="Times New Roman" w:hAnsi="Times New Roman"/>
                <w:b/>
                <w:sz w:val="24"/>
                <w:szCs w:val="24"/>
                <w:lang w:val="nl-NL"/>
              </w:rPr>
              <w:t>100,00</w:t>
            </w:r>
          </w:p>
        </w:tc>
        <w:tc>
          <w:tcPr>
            <w:tcW w:w="1838" w:type="dxa"/>
            <w:vAlign w:val="center"/>
          </w:tcPr>
          <w:p w14:paraId="7B2F4CCF" w14:textId="78619446" w:rsidR="00E05828" w:rsidRPr="00406622" w:rsidRDefault="00E05828" w:rsidP="00E05828">
            <w:pPr>
              <w:tabs>
                <w:tab w:val="left" w:pos="540"/>
              </w:tabs>
              <w:spacing w:before="120"/>
              <w:jc w:val="center"/>
              <w:rPr>
                <w:rFonts w:ascii="Times New Roman" w:eastAsia="Times New Roman" w:hAnsi="Times New Roman"/>
                <w:b/>
                <w:sz w:val="24"/>
                <w:szCs w:val="24"/>
                <w:lang w:val="nl-NL"/>
              </w:rPr>
            </w:pPr>
            <w:r w:rsidRPr="00406622">
              <w:rPr>
                <w:rFonts w:ascii="Times New Roman" w:eastAsia="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20114E4B"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9A4558">
              <w:rPr>
                <w:rFonts w:ascii="Times New Roman" w:eastAsia="Times New Roman" w:hAnsi="Times New Roman"/>
                <w:b/>
                <w:sz w:val="24"/>
                <w:szCs w:val="24"/>
                <w:lang w:val="nl-NL"/>
              </w:rPr>
              <w:t>3</w:t>
            </w:r>
          </w:p>
        </w:tc>
        <w:tc>
          <w:tcPr>
            <w:tcW w:w="1836" w:type="dxa"/>
            <w:vAlign w:val="center"/>
          </w:tcPr>
          <w:p w14:paraId="6EC438E3" w14:textId="2958D9D8"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9A4558">
              <w:rPr>
                <w:rFonts w:ascii="Times New Roman" w:eastAsia="Times New Roman" w:hAnsi="Times New Roman"/>
                <w:b/>
                <w:sz w:val="24"/>
                <w:szCs w:val="24"/>
                <w:lang w:val="nl-NL"/>
              </w:rPr>
              <w:t>2</w:t>
            </w:r>
          </w:p>
        </w:tc>
        <w:tc>
          <w:tcPr>
            <w:tcW w:w="1836" w:type="dxa"/>
            <w:vAlign w:val="center"/>
          </w:tcPr>
          <w:p w14:paraId="78C751B9" w14:textId="223E55E1"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9A4558">
              <w:rPr>
                <w:rFonts w:ascii="Times New Roman" w:eastAsia="Times New Roman" w:hAnsi="Times New Roman"/>
                <w:b/>
                <w:sz w:val="24"/>
                <w:szCs w:val="24"/>
                <w:lang w:val="nl-NL"/>
              </w:rPr>
              <w:t>1</w:t>
            </w:r>
          </w:p>
        </w:tc>
      </w:tr>
      <w:tr w:rsidR="009A4558" w:rsidRPr="00E93BC5" w14:paraId="789E88AB" w14:textId="77777777" w:rsidTr="0056426D">
        <w:trPr>
          <w:trHeight w:val="647"/>
        </w:trPr>
        <w:tc>
          <w:tcPr>
            <w:tcW w:w="4228" w:type="dxa"/>
            <w:vAlign w:val="center"/>
          </w:tcPr>
          <w:p w14:paraId="70360A0B" w14:textId="77777777" w:rsidR="009A4558" w:rsidRPr="00E93BC5" w:rsidRDefault="009A4558" w:rsidP="009A4558">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5B066B35" w:rsidR="009A4558" w:rsidRPr="00E93BC5" w:rsidRDefault="009A4558" w:rsidP="009A4558">
            <w:pPr>
              <w:tabs>
                <w:tab w:val="left" w:pos="540"/>
              </w:tabs>
              <w:spacing w:before="120" w:line="276" w:lineRule="auto"/>
              <w:rPr>
                <w:rFonts w:ascii="Times New Roman" w:hAnsi="Times New Roman"/>
                <w:sz w:val="24"/>
                <w:szCs w:val="24"/>
                <w:lang w:val="nl-NL"/>
              </w:rPr>
            </w:pPr>
            <w:r w:rsidRPr="009A4558">
              <w:rPr>
                <w:rFonts w:ascii="Times New Roman" w:eastAsia="Times New Roman" w:hAnsi="Times New Roman"/>
                <w:bCs/>
                <w:color w:val="000000"/>
                <w:sz w:val="24"/>
                <w:szCs w:val="24"/>
                <w:lang w:val="en-SG" w:eastAsia="en-SG"/>
              </w:rPr>
              <w:t>118.719.468.189</w:t>
            </w:r>
          </w:p>
        </w:tc>
        <w:tc>
          <w:tcPr>
            <w:tcW w:w="1836" w:type="dxa"/>
            <w:vAlign w:val="center"/>
          </w:tcPr>
          <w:p w14:paraId="0E17A987" w14:textId="65022010" w:rsidR="009A4558" w:rsidRPr="00E93BC5" w:rsidRDefault="009A4558" w:rsidP="009A4558">
            <w:pPr>
              <w:tabs>
                <w:tab w:val="left" w:pos="540"/>
              </w:tabs>
              <w:spacing w:before="120" w:line="276" w:lineRule="auto"/>
              <w:rPr>
                <w:rFonts w:ascii="Times New Roman" w:hAnsi="Times New Roman"/>
                <w:sz w:val="24"/>
                <w:szCs w:val="24"/>
                <w:lang w:val="nl-NL"/>
              </w:rPr>
            </w:pPr>
            <w:r w:rsidRPr="00E93BC5">
              <w:rPr>
                <w:rFonts w:ascii="Times New Roman" w:eastAsia="Times New Roman" w:hAnsi="Times New Roman"/>
                <w:bCs/>
                <w:color w:val="000000"/>
                <w:sz w:val="24"/>
                <w:szCs w:val="24"/>
                <w:lang w:val="en-SG" w:eastAsia="en-SG"/>
              </w:rPr>
              <w:t>113.309.776.587</w:t>
            </w:r>
          </w:p>
        </w:tc>
        <w:tc>
          <w:tcPr>
            <w:tcW w:w="1836" w:type="dxa"/>
            <w:vAlign w:val="center"/>
          </w:tcPr>
          <w:p w14:paraId="3CCF528C" w14:textId="76A4D530" w:rsidR="009A4558" w:rsidRPr="00E93BC5" w:rsidRDefault="009A4558" w:rsidP="009A4558">
            <w:pPr>
              <w:tabs>
                <w:tab w:val="left" w:pos="540"/>
              </w:tabs>
              <w:spacing w:before="120" w:line="276" w:lineRule="auto"/>
              <w:rPr>
                <w:rFonts w:ascii="Times New Roman" w:hAnsi="Times New Roman"/>
                <w:b/>
                <w:sz w:val="24"/>
                <w:szCs w:val="24"/>
                <w:lang w:val="nl-NL"/>
              </w:rPr>
            </w:pPr>
            <w:r w:rsidRPr="00E93BC5">
              <w:rPr>
                <w:rFonts w:ascii="Times New Roman" w:hAnsi="Times New Roman"/>
                <w:sz w:val="24"/>
                <w:szCs w:val="24"/>
                <w:lang w:val="nl-NL"/>
              </w:rPr>
              <w:t>109.511.565.627</w:t>
            </w:r>
          </w:p>
        </w:tc>
      </w:tr>
      <w:tr w:rsidR="009A4558" w:rsidRPr="00E93BC5" w14:paraId="1E3FE81E" w14:textId="77777777" w:rsidTr="0056426D">
        <w:tc>
          <w:tcPr>
            <w:tcW w:w="4228" w:type="dxa"/>
          </w:tcPr>
          <w:p w14:paraId="74EDF0B8" w14:textId="77777777" w:rsidR="009A4558" w:rsidRPr="00E93BC5" w:rsidRDefault="009A4558" w:rsidP="009A4558">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11D1A47E" w:rsidR="009A4558" w:rsidRPr="00E93BC5" w:rsidRDefault="009A4558" w:rsidP="009A4558">
            <w:pPr>
              <w:tabs>
                <w:tab w:val="left" w:pos="540"/>
              </w:tabs>
              <w:spacing w:before="120" w:line="276" w:lineRule="auto"/>
              <w:jc w:val="center"/>
              <w:rPr>
                <w:rFonts w:ascii="Times New Roman" w:hAnsi="Times New Roman"/>
                <w:bCs/>
                <w:sz w:val="24"/>
                <w:szCs w:val="24"/>
                <w:lang w:val="nl-NL"/>
              </w:rPr>
            </w:pPr>
            <w:r w:rsidRPr="009A4558">
              <w:rPr>
                <w:rFonts w:ascii="Times New Roman" w:hAnsi="Times New Roman"/>
                <w:sz w:val="24"/>
                <w:szCs w:val="24"/>
                <w:lang w:val="nl-NL"/>
              </w:rPr>
              <w:t>10.002.119,08</w:t>
            </w:r>
          </w:p>
        </w:tc>
        <w:tc>
          <w:tcPr>
            <w:tcW w:w="1836" w:type="dxa"/>
            <w:vAlign w:val="center"/>
          </w:tcPr>
          <w:p w14:paraId="05271190" w14:textId="30657DAE" w:rsidR="009A4558" w:rsidRPr="00E93BC5" w:rsidRDefault="009A4558" w:rsidP="009A4558">
            <w:pPr>
              <w:tabs>
                <w:tab w:val="left" w:pos="540"/>
              </w:tabs>
              <w:spacing w:before="120" w:line="276" w:lineRule="auto"/>
              <w:jc w:val="center"/>
              <w:rPr>
                <w:rFonts w:ascii="Times New Roman" w:hAnsi="Times New Roman"/>
                <w:bCs/>
                <w:sz w:val="24"/>
                <w:szCs w:val="24"/>
                <w:lang w:val="nl-NL"/>
              </w:rPr>
            </w:pPr>
            <w:r w:rsidRPr="00E93BC5">
              <w:rPr>
                <w:rFonts w:ascii="Times New Roman" w:hAnsi="Times New Roman"/>
                <w:sz w:val="24"/>
                <w:szCs w:val="24"/>
                <w:lang w:val="nl-NL"/>
              </w:rPr>
              <w:t>10.005.427,21</w:t>
            </w:r>
          </w:p>
        </w:tc>
        <w:tc>
          <w:tcPr>
            <w:tcW w:w="1836" w:type="dxa"/>
            <w:vAlign w:val="center"/>
          </w:tcPr>
          <w:p w14:paraId="46D96D38" w14:textId="6CC6C002" w:rsidR="009A4558" w:rsidRPr="00E93BC5" w:rsidRDefault="009A4558" w:rsidP="009A4558">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bCs/>
                <w:sz w:val="24"/>
                <w:szCs w:val="24"/>
                <w:lang w:val="nl-NL"/>
              </w:rPr>
              <w:t>10.032.968,19</w:t>
            </w:r>
          </w:p>
        </w:tc>
      </w:tr>
      <w:tr w:rsidR="009A4558" w:rsidRPr="00E93BC5" w14:paraId="5BB5C05F" w14:textId="77777777" w:rsidTr="0056426D">
        <w:tc>
          <w:tcPr>
            <w:tcW w:w="4228" w:type="dxa"/>
          </w:tcPr>
          <w:p w14:paraId="14B89A85" w14:textId="77777777" w:rsidR="009A4558" w:rsidRPr="00E93BC5" w:rsidRDefault="009A4558" w:rsidP="009A4558">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7AC9106B"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9A4558">
              <w:rPr>
                <w:rFonts w:ascii="Times New Roman" w:hAnsi="Times New Roman"/>
                <w:sz w:val="24"/>
                <w:szCs w:val="24"/>
                <w:lang w:val="nl-NL"/>
              </w:rPr>
              <w:t>11.869,43</w:t>
            </w:r>
          </w:p>
        </w:tc>
        <w:tc>
          <w:tcPr>
            <w:tcW w:w="1836" w:type="dxa"/>
            <w:vAlign w:val="center"/>
          </w:tcPr>
          <w:p w14:paraId="46A4F558" w14:textId="49BB536C"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11.324,83</w:t>
            </w:r>
          </w:p>
        </w:tc>
        <w:tc>
          <w:tcPr>
            <w:tcW w:w="1836" w:type="dxa"/>
            <w:vAlign w:val="center"/>
          </w:tcPr>
          <w:p w14:paraId="41650676" w14:textId="5F505177" w:rsidR="009A4558" w:rsidRPr="00E93BC5" w:rsidRDefault="009A4558" w:rsidP="009A4558">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10.915,17</w:t>
            </w:r>
          </w:p>
        </w:tc>
      </w:tr>
      <w:tr w:rsidR="009A4558" w:rsidRPr="00E93BC5" w14:paraId="56539D5F" w14:textId="77777777" w:rsidTr="0056426D">
        <w:tc>
          <w:tcPr>
            <w:tcW w:w="4228" w:type="dxa"/>
          </w:tcPr>
          <w:p w14:paraId="66A1DEBE" w14:textId="77777777" w:rsidR="009A4558" w:rsidRPr="00E93BC5" w:rsidRDefault="009A4558" w:rsidP="009A4558">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29D05468"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9A4558">
              <w:rPr>
                <w:rFonts w:ascii="Times New Roman" w:hAnsi="Times New Roman"/>
                <w:sz w:val="24"/>
                <w:szCs w:val="24"/>
                <w:lang w:val="nl-NL"/>
              </w:rPr>
              <w:t>11.869,43</w:t>
            </w:r>
          </w:p>
        </w:tc>
        <w:tc>
          <w:tcPr>
            <w:tcW w:w="1836" w:type="dxa"/>
            <w:vAlign w:val="center"/>
          </w:tcPr>
          <w:p w14:paraId="541A9F4B" w14:textId="140E9016"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11.324,83</w:t>
            </w:r>
          </w:p>
        </w:tc>
        <w:tc>
          <w:tcPr>
            <w:tcW w:w="1836" w:type="dxa"/>
            <w:vAlign w:val="center"/>
          </w:tcPr>
          <w:p w14:paraId="1C5DD225" w14:textId="3ED82828" w:rsidR="009A4558" w:rsidRPr="00E93BC5" w:rsidRDefault="009A4558" w:rsidP="009A4558">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10.915,17</w:t>
            </w:r>
          </w:p>
        </w:tc>
      </w:tr>
      <w:tr w:rsidR="009A4558" w:rsidRPr="00E93BC5" w14:paraId="1105A406" w14:textId="77777777" w:rsidTr="0056426D">
        <w:tc>
          <w:tcPr>
            <w:tcW w:w="4228" w:type="dxa"/>
          </w:tcPr>
          <w:p w14:paraId="60C92DBC"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1188AC78"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w:t>
            </w:r>
            <w:r>
              <w:rPr>
                <w:rFonts w:ascii="Times New Roman" w:hAnsi="Times New Roman"/>
                <w:sz w:val="24"/>
                <w:szCs w:val="24"/>
                <w:lang w:val="nl-NL"/>
              </w:rPr>
              <w:t>699,38</w:t>
            </w:r>
          </w:p>
        </w:tc>
        <w:tc>
          <w:tcPr>
            <w:tcW w:w="1836" w:type="dxa"/>
            <w:vAlign w:val="center"/>
          </w:tcPr>
          <w:p w14:paraId="2AD9078C" w14:textId="7F9F6C92"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11.227,64</w:t>
            </w:r>
          </w:p>
        </w:tc>
        <w:tc>
          <w:tcPr>
            <w:tcW w:w="1836" w:type="dxa"/>
            <w:vAlign w:val="center"/>
          </w:tcPr>
          <w:p w14:paraId="63034F4A" w14:textId="2065B5F5"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10.805,78</w:t>
            </w:r>
          </w:p>
        </w:tc>
      </w:tr>
      <w:tr w:rsidR="009A4558" w:rsidRPr="00E93BC5" w14:paraId="26276EE7" w14:textId="77777777" w:rsidTr="0056426D">
        <w:tc>
          <w:tcPr>
            <w:tcW w:w="4228" w:type="dxa"/>
          </w:tcPr>
          <w:p w14:paraId="2072415D"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668F59B8"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3F5337E1"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440170BD" w14:textId="77777777" w:rsidTr="0056426D">
        <w:tc>
          <w:tcPr>
            <w:tcW w:w="4228" w:type="dxa"/>
          </w:tcPr>
          <w:p w14:paraId="51D655EE"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1470E7DB"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7E4646C3"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2B6BF498" w14:textId="77777777" w:rsidTr="0056426D">
        <w:tc>
          <w:tcPr>
            <w:tcW w:w="4228" w:type="dxa"/>
          </w:tcPr>
          <w:p w14:paraId="064EED70"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0009537D"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739E78A1"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1716829F" w14:textId="77777777" w:rsidTr="0056426D">
        <w:trPr>
          <w:trHeight w:val="665"/>
        </w:trPr>
        <w:tc>
          <w:tcPr>
            <w:tcW w:w="4228" w:type="dxa"/>
            <w:vAlign w:val="center"/>
          </w:tcPr>
          <w:p w14:paraId="6793285C"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51AA8A27" w:rsidR="009A4558" w:rsidRPr="00E93BC5" w:rsidRDefault="00D73A31" w:rsidP="009A455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4,81</w:t>
            </w:r>
          </w:p>
        </w:tc>
        <w:tc>
          <w:tcPr>
            <w:tcW w:w="1836" w:type="dxa"/>
            <w:vAlign w:val="center"/>
          </w:tcPr>
          <w:p w14:paraId="384A6C87" w14:textId="495D374F"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836" w:type="dxa"/>
            <w:vAlign w:val="center"/>
          </w:tcPr>
          <w:p w14:paraId="1A324F3C" w14:textId="12F33413"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4,89</w:t>
            </w:r>
          </w:p>
        </w:tc>
      </w:tr>
      <w:tr w:rsidR="009A4558" w:rsidRPr="00E93BC5" w14:paraId="26160AEB" w14:textId="77777777" w:rsidTr="0056426D">
        <w:tc>
          <w:tcPr>
            <w:tcW w:w="4228" w:type="dxa"/>
          </w:tcPr>
          <w:p w14:paraId="559DCEB9"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794B661F"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0F9ACD26"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r>
      <w:tr w:rsidR="009A4558" w:rsidRPr="00E93BC5" w14:paraId="2DCCAD09" w14:textId="77777777" w:rsidTr="0056426D">
        <w:tc>
          <w:tcPr>
            <w:tcW w:w="4228" w:type="dxa"/>
          </w:tcPr>
          <w:p w14:paraId="36ADB1A3"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A4621E2" w:rsidR="009A4558" w:rsidRPr="00E93BC5" w:rsidRDefault="00D73A31" w:rsidP="009A455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4,81</w:t>
            </w:r>
          </w:p>
        </w:tc>
        <w:tc>
          <w:tcPr>
            <w:tcW w:w="1836" w:type="dxa"/>
            <w:vAlign w:val="center"/>
          </w:tcPr>
          <w:p w14:paraId="39087092" w14:textId="2C1ABA20"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836" w:type="dxa"/>
            <w:vAlign w:val="center"/>
          </w:tcPr>
          <w:p w14:paraId="13D35766" w14:textId="31620142"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4,89</w:t>
            </w:r>
          </w:p>
        </w:tc>
      </w:tr>
      <w:tr w:rsidR="009A4558" w:rsidRPr="00E93BC5" w14:paraId="3421200F" w14:textId="77777777" w:rsidTr="0056426D">
        <w:trPr>
          <w:trHeight w:val="620"/>
        </w:trPr>
        <w:tc>
          <w:tcPr>
            <w:tcW w:w="4228" w:type="dxa"/>
            <w:vAlign w:val="center"/>
          </w:tcPr>
          <w:p w14:paraId="201708F7"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2F04D9F1"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21D300B5"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6AFD9C24" w14:textId="77777777" w:rsidTr="0056426D">
        <w:trPr>
          <w:trHeight w:val="620"/>
        </w:trPr>
        <w:tc>
          <w:tcPr>
            <w:tcW w:w="4228" w:type="dxa"/>
            <w:vAlign w:val="center"/>
          </w:tcPr>
          <w:p w14:paraId="75D7C0DA"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39FFD3C9"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2D271029"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254E271C" w14:textId="77777777" w:rsidTr="0056426D">
        <w:tc>
          <w:tcPr>
            <w:tcW w:w="4228" w:type="dxa"/>
          </w:tcPr>
          <w:p w14:paraId="1E5BF629"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7A8A1322"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72FFA467"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9A4558" w:rsidRPr="00E93BC5" w14:paraId="3DDD8CD1" w14:textId="77777777" w:rsidTr="0056426D">
        <w:trPr>
          <w:trHeight w:val="665"/>
        </w:trPr>
        <w:tc>
          <w:tcPr>
            <w:tcW w:w="4228" w:type="dxa"/>
            <w:vAlign w:val="center"/>
          </w:tcPr>
          <w:p w14:paraId="423F26E7" w14:textId="77777777" w:rsidR="009A4558" w:rsidRPr="00E93BC5" w:rsidRDefault="009A4558" w:rsidP="009A4558">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2B83BB01" w:rsidR="009A4558" w:rsidRPr="00E93BC5" w:rsidRDefault="00C06888" w:rsidP="009A4558">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1,96</w:t>
            </w:r>
          </w:p>
        </w:tc>
        <w:tc>
          <w:tcPr>
            <w:tcW w:w="1836" w:type="dxa"/>
            <w:vAlign w:val="center"/>
          </w:tcPr>
          <w:p w14:paraId="022E06BE" w14:textId="0E576CC1"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2,00</w:t>
            </w:r>
          </w:p>
        </w:tc>
        <w:tc>
          <w:tcPr>
            <w:tcW w:w="1836" w:type="dxa"/>
            <w:vAlign w:val="center"/>
          </w:tcPr>
          <w:p w14:paraId="3AC54B11" w14:textId="06F73025" w:rsidR="009A4558" w:rsidRPr="00E93BC5" w:rsidRDefault="009A4558" w:rsidP="009A4558">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2,04</w:t>
            </w:r>
          </w:p>
        </w:tc>
      </w:tr>
      <w:tr w:rsidR="008971A6" w:rsidRPr="00E93BC5" w14:paraId="1D96EF1A" w14:textId="77777777" w:rsidTr="0056426D">
        <w:trPr>
          <w:trHeight w:val="710"/>
        </w:trPr>
        <w:tc>
          <w:tcPr>
            <w:tcW w:w="4228" w:type="dxa"/>
            <w:vAlign w:val="center"/>
          </w:tcPr>
          <w:p w14:paraId="776FFCE6"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0FFED970"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7BE05FB1" w14:textId="67FCA7B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27,52</w:t>
            </w:r>
          </w:p>
        </w:tc>
        <w:tc>
          <w:tcPr>
            <w:tcW w:w="1836" w:type="dxa"/>
            <w:vAlign w:val="center"/>
          </w:tcPr>
          <w:p w14:paraId="69C3F4E5" w14:textId="56E60D9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704BC3"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27B6053D" w:rsidR="001F3B0D" w:rsidRPr="00E93BC5" w:rsidRDefault="00C068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4,81</w:t>
            </w:r>
          </w:p>
        </w:tc>
        <w:tc>
          <w:tcPr>
            <w:tcW w:w="2665" w:type="dxa"/>
          </w:tcPr>
          <w:p w14:paraId="549B9BE5" w14:textId="1E4969C2"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4,81</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0FB98CD3"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14,06</w:t>
            </w:r>
          </w:p>
        </w:tc>
        <w:tc>
          <w:tcPr>
            <w:tcW w:w="2665" w:type="dxa"/>
          </w:tcPr>
          <w:p w14:paraId="0A63DBBC" w14:textId="5920E9E1"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4,48</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3B4FA546" w:rsidR="001F3B0D" w:rsidRPr="00E93BC5" w:rsidRDefault="00C068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18,69</w:t>
            </w:r>
          </w:p>
        </w:tc>
        <w:tc>
          <w:tcPr>
            <w:tcW w:w="2665" w:type="dxa"/>
          </w:tcPr>
          <w:p w14:paraId="30A817E2" w14:textId="28D92914"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w:t>
            </w:r>
            <w:r w:rsidR="00C06888">
              <w:rPr>
                <w:rFonts w:ascii="Times New Roman" w:hAnsi="Times New Roman"/>
                <w:sz w:val="24"/>
                <w:szCs w:val="24"/>
                <w:lang w:val="nl-NL"/>
              </w:rPr>
              <w:t>38</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46732292" w:rsidR="001F3B0D" w:rsidRPr="00E93BC5" w:rsidRDefault="00C068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15,57</w:t>
            </w:r>
            <w:r w:rsidR="000769A6" w:rsidRPr="00E93BC5">
              <w:rPr>
                <w:rFonts w:ascii="Times New Roman" w:hAnsi="Times New Roman"/>
                <w:sz w:val="24"/>
                <w:szCs w:val="24"/>
                <w:lang w:val="nl-NL"/>
              </w:rPr>
              <w:t>% (***)</w:t>
            </w:r>
          </w:p>
        </w:tc>
        <w:tc>
          <w:tcPr>
            <w:tcW w:w="2665" w:type="dxa"/>
          </w:tcPr>
          <w:p w14:paraId="11D31BCE" w14:textId="778F1D84" w:rsidR="001F3B0D" w:rsidRPr="00E93BC5" w:rsidRDefault="0097267A"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-1,</w:t>
            </w:r>
            <w:r w:rsidR="00C06888">
              <w:rPr>
                <w:rFonts w:ascii="Times New Roman" w:hAnsi="Times New Roman"/>
                <w:sz w:val="24"/>
                <w:szCs w:val="24"/>
                <w:lang w:val="nl-NL"/>
              </w:rPr>
              <w:t>68</w:t>
            </w:r>
            <w:r w:rsidR="00F75DB6" w:rsidRPr="00E93BC5">
              <w:rPr>
                <w:rFonts w:ascii="Times New Roman" w:hAnsi="Times New Roman"/>
                <w:sz w:val="24"/>
                <w:szCs w:val="24"/>
                <w:lang w:val="nl-NL"/>
              </w:rPr>
              <w:t>%</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4B5DFF21"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C06888">
              <w:rPr>
                <w:rFonts w:ascii="Times New Roman" w:eastAsia="Times New Roman" w:hAnsi="Times New Roman"/>
                <w:b/>
                <w:sz w:val="24"/>
                <w:szCs w:val="24"/>
                <w:lang w:val="nl-NL"/>
              </w:rPr>
              <w:t>3</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61FBD86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C06888">
              <w:rPr>
                <w:rFonts w:ascii="Times New Roman" w:eastAsia="Times New Roman" w:hAnsi="Times New Roman"/>
                <w:b/>
                <w:sz w:val="24"/>
                <w:szCs w:val="24"/>
                <w:lang w:val="nl-NL"/>
              </w:rPr>
              <w:t>2</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4197FE9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C06888">
              <w:rPr>
                <w:rFonts w:ascii="Times New Roman" w:eastAsia="Times New Roman" w:hAnsi="Times New Roman"/>
                <w:b/>
                <w:sz w:val="24"/>
                <w:szCs w:val="24"/>
                <w:lang w:val="nl-NL"/>
              </w:rPr>
              <w:t>1</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5C16636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w:t>
            </w:r>
            <w:r w:rsidR="00C06888">
              <w:rPr>
                <w:rFonts w:ascii="Times New Roman" w:eastAsia="Times New Roman" w:hAnsi="Times New Roman"/>
                <w:b/>
                <w:sz w:val="24"/>
                <w:szCs w:val="24"/>
                <w:lang w:val="nl-NL"/>
              </w:rPr>
              <w:t>20</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C06888" w:rsidRPr="00E93BC5" w14:paraId="40A2B000" w14:textId="77777777" w:rsidTr="00DD3934">
        <w:tc>
          <w:tcPr>
            <w:tcW w:w="4114" w:type="dxa"/>
          </w:tcPr>
          <w:p w14:paraId="523E3903" w14:textId="77777777" w:rsidR="00C06888" w:rsidRPr="00E93BC5" w:rsidRDefault="00C06888" w:rsidP="00C06888">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093D9033" w:rsidR="00C06888" w:rsidRPr="00E93BC5" w:rsidRDefault="00C06888" w:rsidP="00C06888">
            <w:pPr>
              <w:spacing w:before="120" w:line="360" w:lineRule="auto"/>
              <w:jc w:val="center"/>
              <w:rPr>
                <w:rFonts w:ascii="Times New Roman" w:hAnsi="Times New Roman"/>
                <w:sz w:val="24"/>
                <w:szCs w:val="24"/>
                <w:lang w:val="nl-NL"/>
              </w:rPr>
            </w:pPr>
            <w:r>
              <w:rPr>
                <w:rFonts w:ascii="Times New Roman" w:hAnsi="Times New Roman"/>
                <w:sz w:val="24"/>
                <w:szCs w:val="24"/>
                <w:lang w:val="nl-NL"/>
              </w:rPr>
              <w:t>4,81</w:t>
            </w:r>
          </w:p>
        </w:tc>
        <w:tc>
          <w:tcPr>
            <w:tcW w:w="1348" w:type="dxa"/>
          </w:tcPr>
          <w:p w14:paraId="70992C03" w14:textId="74A8822D" w:rsidR="00C06888" w:rsidRPr="00E93BC5" w:rsidRDefault="00C06888" w:rsidP="00C06888">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348" w:type="dxa"/>
          </w:tcPr>
          <w:p w14:paraId="3F3A62B4" w14:textId="5D14F30A" w:rsidR="00C06888" w:rsidRPr="00E93BC5" w:rsidRDefault="00C06888" w:rsidP="00C06888">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4,89</w:t>
            </w:r>
          </w:p>
        </w:tc>
        <w:tc>
          <w:tcPr>
            <w:tcW w:w="1534" w:type="dxa"/>
          </w:tcPr>
          <w:p w14:paraId="3DE977B8" w14:textId="6EC06173" w:rsidR="00C06888" w:rsidRPr="00E93BC5" w:rsidRDefault="00C06888" w:rsidP="00C06888">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6,36</w:t>
            </w:r>
          </w:p>
        </w:tc>
      </w:tr>
    </w:tbl>
    <w:p w14:paraId="3C46C7E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26F5225" w14:textId="77777777" w:rsidR="006F77D6" w:rsidRPr="00E93BC5"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N/A: </w:t>
      </w:r>
      <w:r w:rsidR="004F5C05" w:rsidRPr="00E93BC5">
        <w:rPr>
          <w:rFonts w:ascii="Times New Roman" w:hAnsi="Times New Roman"/>
          <w:i/>
          <w:sz w:val="24"/>
          <w:szCs w:val="24"/>
          <w:lang w:val="nl-NL"/>
        </w:rPr>
        <w:tab/>
      </w:r>
      <w:r w:rsidR="006F77D6" w:rsidRPr="00E93BC5">
        <w:rPr>
          <w:rFonts w:ascii="Times New Roman" w:hAnsi="Times New Roman"/>
          <w:i/>
          <w:sz w:val="24"/>
          <w:szCs w:val="24"/>
          <w:lang w:val="nl-NL"/>
        </w:rPr>
        <w:t>Quỹ mới thành lập và đi vào hoạt động từ ngày 03 tháng 04 năm 201</w:t>
      </w:r>
      <w:r w:rsidR="00CC754B" w:rsidRPr="00E93BC5">
        <w:rPr>
          <w:rFonts w:ascii="Times New Roman" w:hAnsi="Times New Roman"/>
          <w:i/>
          <w:sz w:val="24"/>
          <w:szCs w:val="24"/>
          <w:lang w:val="nl-NL"/>
        </w:rPr>
        <w:t>9</w:t>
      </w:r>
      <w:r w:rsidR="006F77D6" w:rsidRPr="00E93BC5">
        <w:rPr>
          <w:rFonts w:ascii="Times New Roman" w:hAnsi="Times New Roman"/>
          <w:i/>
          <w:sz w:val="24"/>
          <w:szCs w:val="24"/>
          <w:lang w:val="nl-NL"/>
        </w:rPr>
        <w:t>, nên các chỉ tiêu không đủ dữ liệu để tính toán.</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E93BC5"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bookmarkEnd w:id="0"/>
    <w:p w14:paraId="790696F2" w14:textId="77777777" w:rsidR="00C36875" w:rsidRPr="00C36875" w:rsidRDefault="00C36875" w:rsidP="00C36875">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C36875">
        <w:rPr>
          <w:rFonts w:ascii="Times New Roman" w:hAnsi="Times New Roman"/>
          <w:b/>
          <w:sz w:val="24"/>
          <w:szCs w:val="24"/>
          <w:lang w:val="nl-NL"/>
        </w:rPr>
        <w:t>Kinh tế Vĩ mô:</w:t>
      </w:r>
    </w:p>
    <w:p w14:paraId="0CD9B29C" w14:textId="77777777" w:rsidR="00C36875" w:rsidRPr="00C36875" w:rsidRDefault="00C36875" w:rsidP="00C36875">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C36875">
        <w:rPr>
          <w:rFonts w:ascii="Times New Roman" w:eastAsia="Times New Roman" w:hAnsi="Times New Roman"/>
          <w:b/>
          <w:bCs/>
          <w:sz w:val="24"/>
          <w:szCs w:val="24"/>
          <w:lang w:val="nl-NL"/>
        </w:rPr>
        <w:t>Tổng sản phẩm trong nước (GDP)</w:t>
      </w:r>
    </w:p>
    <w:p w14:paraId="16A5C558"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Tổng sản phẩm trong nước (GDP) quý I/2023 ước tính tăng 3,32% so với cùng kỳ năm trước, chỉ cao hơn tốc độ tăng 3,21% của quý I/2020 trong giai đoạn 2011-2023. Trong đó, khu vực nông, lâm nghiệp và thủy sản tăng 2,52%, đóng góp 8,85% vào mức tăng trưởng chung; khu vực công nghiệp và xây dựng giảm 0,4%, làm giảm 4,76%; khu vực dịch vụ tăng 6,79%, đóng góp 95,91%. Trong đó:</w:t>
      </w:r>
    </w:p>
    <w:p w14:paraId="70907D0F" w14:textId="77777777" w:rsidR="00C36875" w:rsidRPr="00C36875" w:rsidRDefault="00C36875" w:rsidP="00C36875">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Nông nghiệp: Giá trị tăng thêm ngành nông nghiệp quý I/2023 tăng 2,43% so với cùng kỳ năm trước, đóng góp 0,22 điểm phần trăm vào mức tăng tổng giá trị tăng thêm của toàn nền kinh tế; ngành lâm nghiệp tăng 3,66% nhưng chiếm tỷ trọng thấp nên chỉ đóng góp 0,02 điểm phần trăm; ngành thủy sản tăng 2,68%, đóng góp 0,06 điểm phần trăm.</w:t>
      </w:r>
    </w:p>
    <w:p w14:paraId="721A9C36" w14:textId="77777777" w:rsidR="00C36875" w:rsidRPr="00C36875" w:rsidRDefault="00C36875" w:rsidP="00C36875">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lastRenderedPageBreak/>
        <w:t>Khối công nghiệp có năm giảm sâu nhất của cùng kỳ các năm trong giai đoạn 2011-2023, giá trị tăng thêm ngành công nghiệp quý I/2023 giảm 0,82% so với cùng kỳ năm trước, làm giảm 0,28 điểm phần trăm trong mức tăng tổng giá trị tăng thêm của toàn nền kinh tế. Ngành công nghiệp chế biến, chế tạo giảm 0,37%, làm giảm 0,1 điểm phần trăm. Ngành khai khoáng giảm 5,6% (sản lượng khai thác than giảm 0,5% và dầu mỏ thô khai thác giảm 6%), làm giảm 0,2 điểm phần trăm. Riêng ngành xây dựng tăng 1,95%, chỉ cao hơn tốc độ tăng 0,28% và 1,41% của cùng kỳ năm 2011 và 2012 trong giai đoạn 2011-2023, đóng góp 0,12 điểm phần trăm.</w:t>
      </w:r>
    </w:p>
    <w:p w14:paraId="01E7B5E3" w14:textId="77777777" w:rsidR="00C36875" w:rsidRPr="00C36875" w:rsidRDefault="00C36875" w:rsidP="00C36875">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Khu vực dịch vụ trong quý I/2023 thể hiện rõ sự phục hồi nhờ hiệu quả của các chính sách kích cầu tiêu dùng nội địa, chính sách mở cửa nền kinh tế trở lại từ ngày 15/3/2022 khi dịch Covid-19 được kiểm soát, các hoạt động xúc tiến, quảng bá du lịch Việt Nam tới các nước trên thế giới được đẩy mạnh. Đóng góp của một số ngành dịch vụ vào mức tăng tổng giá trị tăng thêm của quý I năm nay như sau: Dịch vụ lưu trú và ăn uống tăng 25,98% so với cùng kỳ năm trước, đóng góp 0,64 điểm phần trăm; ngành bán buôn và bán lẻ tăng 8,09%, đóng góp 0,85 điểm phần trăm; hoạt động tài chính, ngân hàng và bảo hiểm tăng 7,65%, đóng góp 0,45 điểm phần trăm; ngành vận tải, kho bãi tăng 6,85%, đóng góp 0,43 điểm phần trăm; ngành thông tin và truyền thông tăng 1,5%, đóng góp 0,1 điểm phần trăm.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tblGrid>
      <w:tr w:rsidR="00C36875" w:rsidRPr="00C36875" w14:paraId="04E746F8" w14:textId="77777777" w:rsidTr="005E5423">
        <w:trPr>
          <w:trHeight w:val="504"/>
          <w:jc w:val="center"/>
        </w:trPr>
        <w:tc>
          <w:tcPr>
            <w:tcW w:w="9228" w:type="dxa"/>
            <w:tcBorders>
              <w:bottom w:val="single" w:sz="4" w:space="0" w:color="auto"/>
            </w:tcBorders>
          </w:tcPr>
          <w:p w14:paraId="31397917" w14:textId="77777777" w:rsidR="00C36875" w:rsidRPr="00C36875" w:rsidRDefault="00C36875" w:rsidP="005E5423">
            <w:pPr>
              <w:tabs>
                <w:tab w:val="left" w:pos="426"/>
              </w:tabs>
              <w:spacing w:before="120" w:line="360" w:lineRule="auto"/>
              <w:jc w:val="both"/>
              <w:rPr>
                <w:rFonts w:ascii="Times New Roman" w:hAnsi="Times New Roman"/>
                <w:b/>
                <w:sz w:val="22"/>
                <w:szCs w:val="22"/>
                <w:lang w:val="nl-NL"/>
              </w:rPr>
            </w:pPr>
            <w:r w:rsidRPr="00C36875">
              <w:rPr>
                <w:rFonts w:ascii="Times New Roman" w:hAnsi="Times New Roman"/>
                <w:b/>
                <w:sz w:val="22"/>
                <w:szCs w:val="22"/>
                <w:lang w:val="nl-NL"/>
              </w:rPr>
              <w:t>Hình 1: Tăng trưởng GDP qua các năm</w:t>
            </w:r>
          </w:p>
        </w:tc>
      </w:tr>
      <w:tr w:rsidR="00C36875" w:rsidRPr="00C36875" w14:paraId="3776F903" w14:textId="77777777" w:rsidTr="005E5423">
        <w:trPr>
          <w:trHeight w:val="5275"/>
          <w:jc w:val="center"/>
        </w:trPr>
        <w:tc>
          <w:tcPr>
            <w:tcW w:w="9228" w:type="dxa"/>
            <w:tcBorders>
              <w:top w:val="single" w:sz="4" w:space="0" w:color="auto"/>
              <w:bottom w:val="single" w:sz="4" w:space="0" w:color="auto"/>
            </w:tcBorders>
          </w:tcPr>
          <w:p w14:paraId="379A59E2" w14:textId="77777777" w:rsidR="00C36875" w:rsidRPr="00C36875" w:rsidRDefault="00C36875" w:rsidP="005E5423">
            <w:pPr>
              <w:tabs>
                <w:tab w:val="left" w:pos="426"/>
              </w:tabs>
              <w:spacing w:before="120" w:line="360" w:lineRule="auto"/>
              <w:jc w:val="both"/>
              <w:rPr>
                <w:rFonts w:ascii="Times New Roman" w:hAnsi="Times New Roman"/>
                <w:bCs/>
                <w:sz w:val="22"/>
                <w:szCs w:val="22"/>
                <w:lang w:val="nl-NL"/>
              </w:rPr>
            </w:pPr>
            <w:r w:rsidRPr="00C36875">
              <w:rPr>
                <w:noProof/>
              </w:rPr>
              <w:drawing>
                <wp:inline distT="0" distB="0" distL="0" distR="0" wp14:anchorId="7471E1A2" wp14:editId="4FE9F0A6">
                  <wp:extent cx="5419725" cy="3124200"/>
                  <wp:effectExtent l="0" t="0" r="0" b="0"/>
                  <wp:docPr id="2" name="Chart 2">
                    <a:extLst xmlns:a="http://schemas.openxmlformats.org/drawingml/2006/main">
                      <a:ext uri="{FF2B5EF4-FFF2-40B4-BE49-F238E27FC236}">
                        <a16:creationId xmlns:a16="http://schemas.microsoft.com/office/drawing/2014/main" id="{37CFFF95-7498-A529-B6E3-A11712038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36875" w:rsidRPr="00C36875" w14:paraId="0E809C2F" w14:textId="77777777" w:rsidTr="005E5423">
        <w:trPr>
          <w:trHeight w:val="474"/>
          <w:jc w:val="center"/>
        </w:trPr>
        <w:tc>
          <w:tcPr>
            <w:tcW w:w="9228" w:type="dxa"/>
            <w:tcBorders>
              <w:top w:val="single" w:sz="4" w:space="0" w:color="auto"/>
            </w:tcBorders>
          </w:tcPr>
          <w:p w14:paraId="6A3BAD9F" w14:textId="77777777" w:rsidR="00C36875" w:rsidRPr="00C36875" w:rsidRDefault="00C36875" w:rsidP="005E5423">
            <w:pPr>
              <w:tabs>
                <w:tab w:val="left" w:pos="426"/>
              </w:tabs>
              <w:spacing w:before="120" w:line="360" w:lineRule="auto"/>
              <w:jc w:val="both"/>
              <w:rPr>
                <w:rFonts w:ascii="Times New Roman" w:hAnsi="Times New Roman"/>
                <w:bCs/>
                <w:i/>
                <w:iCs/>
                <w:lang w:val="nl-NL"/>
              </w:rPr>
            </w:pPr>
            <w:r w:rsidRPr="00C36875">
              <w:rPr>
                <w:rFonts w:ascii="Times New Roman" w:hAnsi="Times New Roman"/>
                <w:bCs/>
                <w:i/>
                <w:iCs/>
                <w:lang w:val="nl-NL"/>
              </w:rPr>
              <w:t>Nguồn: Tổng Cục Thống Kê</w:t>
            </w:r>
          </w:p>
        </w:tc>
      </w:tr>
    </w:tbl>
    <w:p w14:paraId="76F46E5E"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p>
    <w:p w14:paraId="1A3B0E4D"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p>
    <w:p w14:paraId="66A06714" w14:textId="77777777" w:rsidR="00C36875" w:rsidRPr="00C36875" w:rsidRDefault="00C36875" w:rsidP="00C36875">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C36875">
        <w:rPr>
          <w:rFonts w:ascii="Times New Roman" w:eastAsia="Times New Roman" w:hAnsi="Times New Roman"/>
          <w:b/>
          <w:bCs/>
          <w:sz w:val="24"/>
          <w:szCs w:val="24"/>
          <w:lang w:val="nl-NL"/>
        </w:rPr>
        <w:lastRenderedPageBreak/>
        <w:t>Lạm</w:t>
      </w:r>
      <w:r w:rsidRPr="00C36875">
        <w:rPr>
          <w:rFonts w:ascii="Times New Roman" w:hAnsi="Times New Roman"/>
          <w:b/>
          <w:sz w:val="24"/>
          <w:szCs w:val="24"/>
          <w:lang w:val="nl-NL"/>
        </w:rPr>
        <w:t xml:space="preserve"> </w:t>
      </w:r>
      <w:r w:rsidRPr="00C36875">
        <w:rPr>
          <w:rFonts w:ascii="Times New Roman" w:eastAsia="Times New Roman" w:hAnsi="Times New Roman"/>
          <w:b/>
          <w:bCs/>
          <w:sz w:val="24"/>
          <w:szCs w:val="24"/>
          <w:lang w:val="nl-NL"/>
        </w:rPr>
        <w:t>phát</w:t>
      </w:r>
    </w:p>
    <w:p w14:paraId="329F5291"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Quý 1/2023, kinh tế thế giới đã phục hồi sau Covid, tuy nhiên tăng trưởng kinh tế và nhu cầu tiêu dùng đều có dấu hiệu suy giảm, khiến cho sức mua yếu đi nhiều. Chỉ số giá tiêu dùng (CPI) tháng 3/2023 giảm 0,23% so với tháng trước. So với tháng 12/2022, CPI tháng 3/2023 tăng 0,74% và so với cùng kỳ năm trước tăng 3,35%. Tính chung quý I năm 2023, CPI tăng 4,18% so với cùng kỳ năm trước; lạm phát cơ bản tăng 5,01%.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tblGrid>
      <w:tr w:rsidR="00C36875" w:rsidRPr="00C36875" w14:paraId="2463C9F9" w14:textId="77777777" w:rsidTr="005E5423">
        <w:trPr>
          <w:trHeight w:val="471"/>
          <w:jc w:val="center"/>
        </w:trPr>
        <w:tc>
          <w:tcPr>
            <w:tcW w:w="8251" w:type="dxa"/>
            <w:tcBorders>
              <w:bottom w:val="single" w:sz="4" w:space="0" w:color="auto"/>
            </w:tcBorders>
          </w:tcPr>
          <w:p w14:paraId="252F5886" w14:textId="77777777" w:rsidR="00C36875" w:rsidRPr="00C36875" w:rsidRDefault="00C36875" w:rsidP="005E5423">
            <w:pPr>
              <w:tabs>
                <w:tab w:val="left" w:pos="426"/>
              </w:tabs>
              <w:spacing w:before="120" w:line="360" w:lineRule="auto"/>
              <w:jc w:val="both"/>
              <w:rPr>
                <w:rFonts w:ascii="Times New Roman" w:hAnsi="Times New Roman"/>
                <w:b/>
                <w:sz w:val="22"/>
                <w:szCs w:val="22"/>
                <w:lang w:val="nl-NL"/>
              </w:rPr>
            </w:pPr>
            <w:r w:rsidRPr="00C36875">
              <w:rPr>
                <w:rFonts w:ascii="Times New Roman" w:hAnsi="Times New Roman"/>
                <w:b/>
                <w:sz w:val="22"/>
                <w:szCs w:val="22"/>
                <w:lang w:val="nl-NL"/>
              </w:rPr>
              <w:t>Hình 2: Lạm phát Việt Nam trong 12 tháng gần nhất</w:t>
            </w:r>
          </w:p>
        </w:tc>
      </w:tr>
      <w:tr w:rsidR="00C36875" w:rsidRPr="00C36875" w14:paraId="20E423F6" w14:textId="77777777" w:rsidTr="005E5423">
        <w:trPr>
          <w:trHeight w:val="4933"/>
          <w:jc w:val="center"/>
        </w:trPr>
        <w:tc>
          <w:tcPr>
            <w:tcW w:w="8251" w:type="dxa"/>
            <w:tcBorders>
              <w:top w:val="single" w:sz="4" w:space="0" w:color="auto"/>
              <w:bottom w:val="single" w:sz="4" w:space="0" w:color="auto"/>
            </w:tcBorders>
          </w:tcPr>
          <w:p w14:paraId="23481F43" w14:textId="77777777" w:rsidR="00C36875" w:rsidRPr="00C36875" w:rsidRDefault="00C36875" w:rsidP="005E5423">
            <w:pPr>
              <w:tabs>
                <w:tab w:val="left" w:pos="426"/>
              </w:tabs>
              <w:spacing w:before="120" w:line="360" w:lineRule="auto"/>
              <w:jc w:val="both"/>
              <w:rPr>
                <w:rFonts w:ascii="Times New Roman" w:hAnsi="Times New Roman"/>
                <w:bCs/>
                <w:sz w:val="22"/>
                <w:szCs w:val="22"/>
                <w:lang w:val="nl-NL"/>
              </w:rPr>
            </w:pPr>
            <w:r w:rsidRPr="00C36875">
              <w:rPr>
                <w:noProof/>
              </w:rPr>
              <w:drawing>
                <wp:inline distT="0" distB="0" distL="0" distR="0" wp14:anchorId="5CC1E040" wp14:editId="14C4F030">
                  <wp:extent cx="5219700" cy="2971800"/>
                  <wp:effectExtent l="0" t="0" r="0" b="0"/>
                  <wp:docPr id="4" name="Chart 4">
                    <a:extLst xmlns:a="http://schemas.openxmlformats.org/drawingml/2006/main">
                      <a:ext uri="{FF2B5EF4-FFF2-40B4-BE49-F238E27FC236}">
                        <a16:creationId xmlns:a16="http://schemas.microsoft.com/office/drawing/2014/main" id="{D478D6FF-2D9D-8FD0-7C94-69EF65965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36875" w:rsidRPr="00C36875" w14:paraId="35627CB2" w14:textId="77777777" w:rsidTr="005E5423">
        <w:trPr>
          <w:trHeight w:val="443"/>
          <w:jc w:val="center"/>
        </w:trPr>
        <w:tc>
          <w:tcPr>
            <w:tcW w:w="8251" w:type="dxa"/>
            <w:tcBorders>
              <w:top w:val="single" w:sz="4" w:space="0" w:color="auto"/>
            </w:tcBorders>
          </w:tcPr>
          <w:p w14:paraId="6B4446F1" w14:textId="77777777" w:rsidR="00C36875" w:rsidRPr="00C36875" w:rsidRDefault="00C36875" w:rsidP="005E5423">
            <w:pPr>
              <w:tabs>
                <w:tab w:val="left" w:pos="426"/>
              </w:tabs>
              <w:spacing w:before="120" w:line="360" w:lineRule="auto"/>
              <w:jc w:val="both"/>
              <w:rPr>
                <w:rFonts w:ascii="Times New Roman" w:hAnsi="Times New Roman"/>
                <w:bCs/>
                <w:i/>
                <w:iCs/>
                <w:lang w:val="nl-NL"/>
              </w:rPr>
            </w:pPr>
            <w:r w:rsidRPr="00C36875">
              <w:rPr>
                <w:rFonts w:ascii="Times New Roman" w:hAnsi="Times New Roman"/>
                <w:bCs/>
                <w:i/>
                <w:iCs/>
                <w:lang w:val="nl-NL"/>
              </w:rPr>
              <w:t>Nguồn: Tổng Cục Thống Kê</w:t>
            </w:r>
          </w:p>
        </w:tc>
      </w:tr>
    </w:tbl>
    <w:p w14:paraId="1E5676EF" w14:textId="77777777" w:rsidR="00C36875" w:rsidRPr="00C36875" w:rsidRDefault="00C36875" w:rsidP="00C36875">
      <w:pPr>
        <w:shd w:val="clear" w:color="auto" w:fill="FFFFFF"/>
        <w:tabs>
          <w:tab w:val="left" w:pos="426"/>
        </w:tabs>
        <w:spacing w:before="120" w:after="0" w:line="360" w:lineRule="auto"/>
        <w:jc w:val="center"/>
        <w:rPr>
          <w:rFonts w:ascii="Times New Roman" w:eastAsia="Times New Roman" w:hAnsi="Times New Roman"/>
          <w:bCs/>
          <w:sz w:val="24"/>
          <w:szCs w:val="24"/>
          <w:lang w:val="nl-NL"/>
        </w:rPr>
      </w:pPr>
    </w:p>
    <w:p w14:paraId="761D6020" w14:textId="77777777" w:rsidR="00C36875" w:rsidRPr="00C36875" w:rsidRDefault="00C36875" w:rsidP="00C36875">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C36875">
        <w:rPr>
          <w:rFonts w:ascii="Times New Roman" w:eastAsia="Times New Roman" w:hAnsi="Times New Roman"/>
          <w:b/>
          <w:bCs/>
          <w:sz w:val="24"/>
          <w:szCs w:val="24"/>
          <w:lang w:val="nl-NL"/>
        </w:rPr>
        <w:t>Hoạt động sản xuất</w:t>
      </w:r>
    </w:p>
    <w:p w14:paraId="5FFD9965" w14:textId="77777777" w:rsidR="00C36875" w:rsidRPr="00C36875" w:rsidRDefault="00C36875" w:rsidP="00C36875">
      <w:pPr>
        <w:shd w:val="clear" w:color="auto" w:fill="FFFFFF"/>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Giá trị tăng thêm toàn ngành công nghiệp quý I năm 2023 ước tính giảm 0,82% so với cùng kỳ năm trước. Trong đó, ngành công nghiệp chế biến, chế tạo giảm 0,37%, làm giảm 0,1 điểm phần trăm vào mức tăng trưởng chung của toàn nền kinh tế. Chỉ số IIP ước tính giảm 2,2% so với cùng kỳ năm trước (cùng kỳ năm 2022 tăng 6,8%).</w:t>
      </w:r>
    </w:p>
    <w:p w14:paraId="1EF29594" w14:textId="77777777" w:rsidR="00C36875" w:rsidRPr="00C36875" w:rsidRDefault="00C36875" w:rsidP="00C36875">
      <w:pPr>
        <w:shd w:val="clear" w:color="auto" w:fill="FFFFFF"/>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Chỉ số tiêu thụ toàn ngành công nghiệp chế biến, chế tạo quý I/2023 giảm 2,9% so với cùng kỳ năm 2022 (cùng kỳ năm 2022 tăng 6,6%).</w:t>
      </w:r>
    </w:p>
    <w:p w14:paraId="5B611918" w14:textId="77777777" w:rsidR="00C36875" w:rsidRPr="00C36875" w:rsidRDefault="00C36875" w:rsidP="00C36875">
      <w:pPr>
        <w:shd w:val="clear" w:color="auto" w:fill="FFFFFF"/>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Chỉ số tồn kho toàn ngành công nghiệp chế biến, chế tạo ước tính tại thời điểm 31/3/2023 tăng 19,8% so với cùng thời điểm năm trước (cùng thời điểm năm trước tăng 17,7%). Tỷ lệ tồn kho toàn ngành chế biến, chế tạo bình quân quý I/2023 là 81,1% (bình quân quý I/2022 là 79,9%).</w:t>
      </w:r>
    </w:p>
    <w:p w14:paraId="370C8EC0" w14:textId="77777777" w:rsidR="00C36875" w:rsidRPr="00C36875" w:rsidRDefault="00C36875" w:rsidP="00C36875">
      <w:pPr>
        <w:shd w:val="clear" w:color="auto" w:fill="FFFFFF"/>
        <w:spacing w:before="120" w:after="0" w:line="360" w:lineRule="auto"/>
        <w:jc w:val="both"/>
        <w:rPr>
          <w:rFonts w:ascii="Times New Roman" w:hAnsi="Times New Roman"/>
          <w:bCs/>
          <w:sz w:val="24"/>
          <w:szCs w:val="24"/>
          <w:lang w:val="nl-NL"/>
        </w:rPr>
      </w:pPr>
    </w:p>
    <w:p w14:paraId="17D844A8" w14:textId="40748797" w:rsidR="00C36875" w:rsidRPr="00C36875" w:rsidRDefault="00C36875" w:rsidP="00C36875">
      <w:pPr>
        <w:shd w:val="clear" w:color="auto" w:fill="FFFFFF"/>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lastRenderedPageBreak/>
        <w:t>Số lao động đang làm việc trong các doanh nghiệp công nghiệp tại thời điểm 01/3/2023 tăng 0,8% so với cùng thời điểm tháng trước và giảm 2,2% so với cùng thời điểm năm trước.</w:t>
      </w:r>
    </w:p>
    <w:p w14:paraId="5ECEACEF" w14:textId="77777777" w:rsidR="00C36875" w:rsidRPr="00C36875" w:rsidRDefault="00C36875" w:rsidP="00C36875">
      <w:pPr>
        <w:shd w:val="clear" w:color="auto" w:fill="FFFFFF"/>
        <w:tabs>
          <w:tab w:val="left" w:pos="426"/>
        </w:tabs>
        <w:spacing w:after="0" w:line="360" w:lineRule="auto"/>
        <w:jc w:val="both"/>
        <w:rPr>
          <w:rFonts w:ascii="Times New Roman" w:hAnsi="Times New Roman"/>
          <w:b/>
          <w:sz w:val="24"/>
          <w:szCs w:val="24"/>
          <w:lang w:val="nl-NL"/>
        </w:rPr>
      </w:pPr>
      <w:r w:rsidRPr="00C36875">
        <w:rPr>
          <w:rFonts w:ascii="Times New Roman" w:eastAsia="Times New Roman" w:hAnsi="Times New Roman"/>
          <w:b/>
          <w:bCs/>
          <w:sz w:val="24"/>
          <w:szCs w:val="24"/>
          <w:lang w:val="nl-NL"/>
        </w:rPr>
        <w:t>Hoạt động xuất nhập khẩu hàng hoá</w:t>
      </w:r>
    </w:p>
    <w:p w14:paraId="39CD26BD"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Xuất khẩu hàng hóa: Kim ngạch xuất khẩu hàng hóa tháng 3/2023 ước đạt 29,57 tỷ USD, tăng 13,5% so với tháng trước và giảm 14,8% so với cùng kỳ năm trước. Tính chung quý I/2023, kim ngạch xuất khẩu hàng hóa ước đạt 79,17 tỷ USD, giảm 11,9% so với cùng kỳ năm trước.</w:t>
      </w:r>
    </w:p>
    <w:p w14:paraId="0E53F94E"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Nhập khẩu hàng hóa: Kim ngạch nhập khẩu hàng hóa tháng 3/2023 ước đạt 28,92 tỷ USD, tăng 24,4% so với tháng trước và giảm 11,1% so với cùng kỳ năm trước. Tính chung quý I năm 2023, kim ngạch nhập khẩu hàng hóa ước đạt 75,1 tỷ USD, giảm 14,7% so với cùng kỳ năm trước.</w:t>
      </w:r>
    </w:p>
    <w:p w14:paraId="468FD43E"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Về thị trường xuất, nhập khẩu hàng hóa quý I năm 2023, Hoa Kỳ là thị trường xuất khẩu lớn nhất của Việt Nam với kim ngạch ước đạt 20,6 tỷ USD. Trung Quốc là thị trường nhập khẩu lớn nhất của Việt Nam với kim ngạch ước đạt 23,6 tỷ USD.</w:t>
      </w:r>
    </w:p>
    <w:p w14:paraId="16CE1D20"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Cán cân thương mại hàng hóa tháng Ba ước tính xuất siêu 0,65 tỷ USD. Tính chung quý I năm 2023, cán cân thương mại hàng hóa ước tính xuất siêu 4,07 tỷ USD (cùng kỳ năm trước xuất siêu 1,9 tỷ USD).</w:t>
      </w:r>
    </w:p>
    <w:p w14:paraId="7C401CDA"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
          <w:sz w:val="24"/>
          <w:szCs w:val="24"/>
          <w:lang w:val="nl-NL"/>
        </w:rPr>
      </w:pPr>
      <w:r w:rsidRPr="00C36875">
        <w:rPr>
          <w:rFonts w:ascii="Times New Roman" w:eastAsia="Times New Roman" w:hAnsi="Times New Roman"/>
          <w:b/>
          <w:bCs/>
          <w:sz w:val="24"/>
          <w:szCs w:val="24"/>
          <w:lang w:val="nl-NL"/>
        </w:rPr>
        <w:t>Hoạt động đầu tư</w:t>
      </w:r>
    </w:p>
    <w:p w14:paraId="429FDB4B" w14:textId="77777777" w:rsidR="00C36875" w:rsidRPr="00C36875" w:rsidRDefault="00C36875" w:rsidP="00C36875">
      <w:pPr>
        <w:shd w:val="clear" w:color="auto" w:fill="FFFFFF"/>
        <w:tabs>
          <w:tab w:val="left" w:pos="360"/>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Vốn đầu tư thực hiện toàn xã hội quý I/2023 ước đạt 583,1 nghìn tỷ đồng, tăng 3,7% so với cùng kỳ năm trước, trong đó vốn khu vực Nhà nước tăng 11,5% cho thấy sự quyết tâm nỗ lực của Chính phủ, bộ ngành và địa phương trong việc quyết liệt đẩy mạnh thực hiện nguồn vốn đầu tư công ngay từ các tháng đầu năm nhằm tạo động lực thúc đẩy tăng trưởng kinh tế.</w:t>
      </w:r>
    </w:p>
    <w:p w14:paraId="09ACAF15" w14:textId="77777777" w:rsidR="00C36875" w:rsidRPr="00C36875" w:rsidRDefault="00C36875" w:rsidP="00C36875">
      <w:pPr>
        <w:shd w:val="clear" w:color="auto" w:fill="FFFFFF"/>
        <w:tabs>
          <w:tab w:val="left" w:pos="360"/>
        </w:tabs>
        <w:spacing w:before="120" w:after="0" w:line="360" w:lineRule="auto"/>
        <w:jc w:val="both"/>
        <w:rPr>
          <w:rFonts w:ascii="Times New Roman" w:hAnsi="Times New Roman"/>
          <w:sz w:val="24"/>
          <w:szCs w:val="24"/>
          <w:lang w:val="nl-NL"/>
        </w:rPr>
      </w:pPr>
      <w:r w:rsidRPr="00C36875">
        <w:rPr>
          <w:rFonts w:ascii="Times New Roman" w:hAnsi="Times New Roman"/>
          <w:sz w:val="24"/>
          <w:szCs w:val="24"/>
          <w:lang w:val="nl-NL"/>
        </w:rPr>
        <w:t>Tổng vốn đầu tư nước ngoài đăng ký vào Việt Nam tính đến ngày 30/3/2023 bao gồm vốn đăng ký cấp mới, vốn đăng ký điều chỉnh và giá trị góp vốn, mua cổ phần của nhà đầu tư nước ngoài đạt 7,8 tỷ USD, giảm 19,3% so với cùng kỳ năm trước. Vốn đầu tư trực tiếp nước ngoài thực hiện tại Việt Nam 3 tháng đầu năm 2023 ước đạt 4,32 tỷ USD, giảm 2,2% so với cùng kỳ năm trước.</w:t>
      </w:r>
    </w:p>
    <w:p w14:paraId="40C55C25" w14:textId="77777777" w:rsidR="00C36875" w:rsidRPr="00C36875" w:rsidRDefault="00C36875" w:rsidP="00C36875">
      <w:pPr>
        <w:shd w:val="clear" w:color="auto" w:fill="FFFFFF"/>
        <w:spacing w:before="120" w:after="0"/>
        <w:jc w:val="both"/>
        <w:rPr>
          <w:rFonts w:ascii="Times New Roman" w:hAnsi="Times New Roman"/>
          <w:b/>
          <w:sz w:val="24"/>
          <w:szCs w:val="24"/>
          <w:lang w:val="nl-NL"/>
        </w:rPr>
      </w:pPr>
      <w:r w:rsidRPr="00C36875">
        <w:rPr>
          <w:rFonts w:ascii="Times New Roman" w:hAnsi="Times New Roman"/>
          <w:b/>
          <w:sz w:val="24"/>
          <w:szCs w:val="24"/>
          <w:lang w:val="nl-NL"/>
        </w:rPr>
        <w:t>Thị trường chứng khoán:</w:t>
      </w:r>
      <w:r w:rsidRPr="00C36875">
        <w:rPr>
          <w:rFonts w:ascii="Times New Roman" w:hAnsi="Times New Roman"/>
          <w:noProof/>
          <w:sz w:val="24"/>
          <w:szCs w:val="24"/>
          <w:lang w:val="nl-NL"/>
        </w:rPr>
        <w:t xml:space="preserve"> </w:t>
      </w:r>
    </w:p>
    <w:p w14:paraId="6E6CD506" w14:textId="51828BC3" w:rsid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r w:rsidRPr="00C36875">
        <w:rPr>
          <w:rFonts w:ascii="Times New Roman" w:hAnsi="Times New Roman"/>
          <w:bCs/>
          <w:sz w:val="24"/>
          <w:szCs w:val="24"/>
          <w:lang w:val="nl-NL"/>
        </w:rPr>
        <w:t>Với tình hình kinh tế vĩ mô ảm đạm trong qúy 1 năm 2023, thị trường chứng khoán cũng không có nhiều khởi sắc khi nhà đầu tư vẫn quan ngại tăng trưởng lợi nhuận tiếp tục giảm do sự suy yếu của cả nền kinh tế nói chung, dù lãi suất đã tạo đỉnh và giảm mạnh trong quý 1. Đến cuối quý 1, chỉ số VN-Index tăng 5.7% so với đầu năm.</w:t>
      </w:r>
    </w:p>
    <w:p w14:paraId="1838A4DD" w14:textId="501970C6" w:rsid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p>
    <w:p w14:paraId="7B08487F" w14:textId="07D237E9" w:rsid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p>
    <w:p w14:paraId="26B79E38" w14:textId="77777777" w:rsidR="00C36875" w:rsidRPr="00C36875" w:rsidRDefault="00C36875" w:rsidP="00C36875">
      <w:pPr>
        <w:shd w:val="clear" w:color="auto" w:fill="FFFFFF"/>
        <w:tabs>
          <w:tab w:val="left" w:pos="426"/>
        </w:tabs>
        <w:spacing w:before="120" w:after="0" w:line="360" w:lineRule="auto"/>
        <w:jc w:val="both"/>
        <w:rPr>
          <w:rFonts w:ascii="Times New Roman" w:hAnsi="Times New Roman"/>
          <w:bCs/>
          <w:sz w:val="24"/>
          <w:szCs w:val="24"/>
          <w:lang w:val="nl-NL"/>
        </w:rPr>
      </w:pPr>
    </w:p>
    <w:p w14:paraId="763FB4EF" w14:textId="6D3D8323" w:rsidR="00C36875" w:rsidRPr="00C36875" w:rsidRDefault="00C36875" w:rsidP="00C36875">
      <w:pPr>
        <w:shd w:val="clear" w:color="auto" w:fill="FFFFFF"/>
        <w:tabs>
          <w:tab w:val="left" w:pos="426"/>
        </w:tabs>
        <w:spacing w:before="120" w:after="0" w:line="360" w:lineRule="auto"/>
        <w:ind w:left="142" w:hanging="142"/>
        <w:jc w:val="both"/>
        <w:rPr>
          <w:rFonts w:ascii="Times New Roman" w:hAnsi="Times New Roman"/>
          <w:b/>
          <w:sz w:val="24"/>
          <w:szCs w:val="24"/>
          <w:lang w:val="nl-NL"/>
        </w:rPr>
      </w:pPr>
      <w:r w:rsidRPr="00C36875">
        <w:rPr>
          <w:rFonts w:ascii="Times New Roman" w:hAnsi="Times New Roman"/>
          <w:b/>
          <w:sz w:val="24"/>
          <w:szCs w:val="24"/>
          <w:lang w:val="nl-NL"/>
        </w:rPr>
        <w:lastRenderedPageBreak/>
        <w:t>Thị trường trái phiếu</w:t>
      </w:r>
    </w:p>
    <w:p w14:paraId="050D3C26" w14:textId="77777777" w:rsidR="00C36875" w:rsidRPr="00C36875" w:rsidRDefault="00C36875" w:rsidP="00C36875">
      <w:pPr>
        <w:shd w:val="clear" w:color="auto" w:fill="FFFFFF"/>
        <w:tabs>
          <w:tab w:val="left" w:pos="540"/>
        </w:tabs>
        <w:spacing w:before="120" w:after="0"/>
        <w:jc w:val="both"/>
        <w:rPr>
          <w:rFonts w:ascii="Times New Roman" w:hAnsi="Times New Roman"/>
          <w:bCs/>
          <w:sz w:val="24"/>
          <w:szCs w:val="24"/>
          <w:lang w:val="nl-NL"/>
        </w:rPr>
      </w:pPr>
      <w:r w:rsidRPr="00C36875">
        <w:rPr>
          <w:rFonts w:ascii="Times New Roman" w:hAnsi="Times New Roman"/>
          <w:bCs/>
          <w:sz w:val="24"/>
          <w:szCs w:val="24"/>
          <w:lang w:val="nl-NL"/>
        </w:rPr>
        <w:t>Trong quý 1/2023, khối lượng giao dịch trung bình ngày của giao dịch Outright và giao dịch Repo tăng lên 3,142 tỷ/ngày (tăng 48% so với quý trước) và 1,723 tỷ/ngày (tăng 14% so với quý trước). Tuy nhiên, giá trị giao dịch vẫn thấp hơn khá nhiều so với cùng kỳ năm 2022 (7,976 tỷ/ngày với GD outright và 4,821 tỷ/ngày với GD repo). Kỳ hạn 14 ngày chiếm phần lớn giá trị giao dịch Repo, với lãi suất giao dịch trung bình khoảng 4,48% - 6,10%.</w:t>
      </w:r>
    </w:p>
    <w:p w14:paraId="67C93314" w14:textId="78EFDF0A" w:rsidR="00C36875" w:rsidRPr="00C36875" w:rsidRDefault="00C36875" w:rsidP="00C36875">
      <w:pPr>
        <w:shd w:val="clear" w:color="auto" w:fill="FFFFFF"/>
        <w:tabs>
          <w:tab w:val="left" w:pos="540"/>
        </w:tabs>
        <w:spacing w:before="120" w:after="0"/>
        <w:jc w:val="both"/>
        <w:rPr>
          <w:rFonts w:ascii="Times New Roman" w:hAnsi="Times New Roman"/>
          <w:bCs/>
          <w:sz w:val="24"/>
          <w:szCs w:val="24"/>
          <w:lang w:val="nl-NL"/>
        </w:rPr>
      </w:pPr>
      <w:r w:rsidRPr="00C36875">
        <w:rPr>
          <w:rFonts w:ascii="Times New Roman" w:hAnsi="Times New Roman"/>
          <w:bCs/>
          <w:sz w:val="24"/>
          <w:szCs w:val="24"/>
          <w:lang w:val="nl-NL"/>
        </w:rPr>
        <w:t>Lợi suất TPCP quý 1</w:t>
      </w:r>
      <w:r>
        <w:rPr>
          <w:rFonts w:ascii="Times New Roman" w:hAnsi="Times New Roman"/>
          <w:bCs/>
          <w:sz w:val="24"/>
          <w:szCs w:val="24"/>
          <w:lang w:val="nl-NL"/>
        </w:rPr>
        <w:t>/</w:t>
      </w:r>
      <w:r w:rsidRPr="00C36875">
        <w:rPr>
          <w:rFonts w:ascii="Times New Roman" w:hAnsi="Times New Roman"/>
          <w:bCs/>
          <w:sz w:val="24"/>
          <w:szCs w:val="24"/>
          <w:lang w:val="nl-NL"/>
        </w:rPr>
        <w:t>2023 theo chào giá VBMA Outright giảm ở tất cả các kỳ hạn so với quý 4/2022, trước bối cảnh 1/ nhu cầu gia tăng trở lại từ nhóm NHTM sau khi bị dồn nén trong nửa cuối năm 2022, 2/ mặt bằng lãi suất được kéo giảm mạnh cuối tháng 3 sau 2 đợt điều chỉnh lãi suất điều hành của Ngân hàng nhà nước.</w:t>
      </w:r>
    </w:p>
    <w:p w14:paraId="2CB965BA" w14:textId="77777777" w:rsidR="00C36875" w:rsidRPr="00C36875" w:rsidRDefault="00C36875" w:rsidP="00C36875">
      <w:pPr>
        <w:shd w:val="clear" w:color="auto" w:fill="FFFFFF"/>
        <w:tabs>
          <w:tab w:val="left" w:pos="540"/>
        </w:tabs>
        <w:spacing w:before="120" w:after="0"/>
        <w:jc w:val="both"/>
        <w:rPr>
          <w:rFonts w:ascii="Times New Roman" w:hAnsi="Times New Roman"/>
          <w:bCs/>
          <w:sz w:val="24"/>
          <w:szCs w:val="24"/>
          <w:lang w:val="nl-NL"/>
        </w:rPr>
      </w:pPr>
      <w:r w:rsidRPr="00C36875">
        <w:rPr>
          <w:rFonts w:ascii="Times New Roman" w:hAnsi="Times New Roman"/>
          <w:bCs/>
          <w:sz w:val="24"/>
          <w:szCs w:val="24"/>
          <w:lang w:val="nl-NL"/>
        </w:rPr>
        <w:t>Đường cong lợi suất không thay đổi nhiều so với quý 4/2022, phẳng ở kỳ hạn từ 1 đến 7 năm và dốc lên từ kỳ hạn 10 năm. Trong hầu hết quý 1, lãi suất trúng thầu OMO duy trì ở mức 6%/năm và giảm xuống 5.5%/năm những ngày cuối tháng 3. Tuy nhiên, thanh khoản VND dồi dào cuối quý 1/2023 khiến giao dịch trên kênh OMO khá trầm lắng.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C36875" w:rsidRPr="00C36875" w14:paraId="591AF6DF" w14:textId="77777777" w:rsidTr="005E5423">
        <w:trPr>
          <w:trHeight w:val="471"/>
          <w:jc w:val="center"/>
        </w:trPr>
        <w:tc>
          <w:tcPr>
            <w:tcW w:w="8251" w:type="dxa"/>
            <w:tcBorders>
              <w:bottom w:val="single" w:sz="4" w:space="0" w:color="auto"/>
            </w:tcBorders>
          </w:tcPr>
          <w:p w14:paraId="5F8053C8" w14:textId="77777777" w:rsidR="00C36875" w:rsidRPr="00C36875" w:rsidRDefault="00C36875" w:rsidP="005E5423">
            <w:pPr>
              <w:tabs>
                <w:tab w:val="left" w:pos="426"/>
              </w:tabs>
              <w:spacing w:before="120" w:line="360" w:lineRule="auto"/>
              <w:jc w:val="both"/>
              <w:rPr>
                <w:rFonts w:ascii="Times New Roman" w:hAnsi="Times New Roman"/>
                <w:b/>
                <w:sz w:val="22"/>
                <w:szCs w:val="22"/>
                <w:lang w:val="nl-NL"/>
              </w:rPr>
            </w:pPr>
            <w:r w:rsidRPr="00C36875">
              <w:rPr>
                <w:rFonts w:ascii="Times New Roman" w:hAnsi="Times New Roman"/>
                <w:b/>
                <w:sz w:val="22"/>
                <w:szCs w:val="22"/>
                <w:lang w:val="nl-NL"/>
              </w:rPr>
              <w:t>Hình 2: Đường cong lợi suất</w:t>
            </w:r>
          </w:p>
        </w:tc>
      </w:tr>
      <w:tr w:rsidR="00C36875" w:rsidRPr="00C36875" w14:paraId="4355BA6A" w14:textId="77777777" w:rsidTr="005E5423">
        <w:trPr>
          <w:trHeight w:val="4220"/>
          <w:jc w:val="center"/>
        </w:trPr>
        <w:tc>
          <w:tcPr>
            <w:tcW w:w="8251" w:type="dxa"/>
            <w:tcBorders>
              <w:top w:val="single" w:sz="4" w:space="0" w:color="auto"/>
              <w:bottom w:val="single" w:sz="4" w:space="0" w:color="auto"/>
            </w:tcBorders>
          </w:tcPr>
          <w:p w14:paraId="7A7DB355" w14:textId="77777777" w:rsidR="00C36875" w:rsidRPr="00C36875" w:rsidRDefault="00C36875" w:rsidP="005E5423">
            <w:pPr>
              <w:tabs>
                <w:tab w:val="left" w:pos="426"/>
              </w:tabs>
              <w:spacing w:before="120" w:line="360" w:lineRule="auto"/>
              <w:jc w:val="both"/>
              <w:rPr>
                <w:rFonts w:ascii="Times New Roman" w:hAnsi="Times New Roman"/>
                <w:bCs/>
                <w:sz w:val="22"/>
                <w:szCs w:val="22"/>
                <w:lang w:val="nl-NL"/>
              </w:rPr>
            </w:pPr>
            <w:r w:rsidRPr="00C36875">
              <w:rPr>
                <w:noProof/>
              </w:rPr>
              <w:drawing>
                <wp:inline distT="0" distB="0" distL="0" distR="0" wp14:anchorId="623F1B5B" wp14:editId="2A095B8F">
                  <wp:extent cx="501015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524125"/>
                          </a:xfrm>
                          <a:prstGeom prst="rect">
                            <a:avLst/>
                          </a:prstGeom>
                          <a:noFill/>
                          <a:ln>
                            <a:noFill/>
                          </a:ln>
                        </pic:spPr>
                      </pic:pic>
                    </a:graphicData>
                  </a:graphic>
                </wp:inline>
              </w:drawing>
            </w:r>
          </w:p>
        </w:tc>
      </w:tr>
      <w:tr w:rsidR="00C36875" w:rsidRPr="005F5B72" w14:paraId="29246636" w14:textId="77777777" w:rsidTr="005E5423">
        <w:trPr>
          <w:trHeight w:val="443"/>
          <w:jc w:val="center"/>
        </w:trPr>
        <w:tc>
          <w:tcPr>
            <w:tcW w:w="8251" w:type="dxa"/>
            <w:tcBorders>
              <w:top w:val="single" w:sz="4" w:space="0" w:color="auto"/>
            </w:tcBorders>
          </w:tcPr>
          <w:p w14:paraId="4ADD5C22" w14:textId="77777777" w:rsidR="00C36875" w:rsidRPr="00C36875" w:rsidRDefault="00C36875" w:rsidP="005E5423">
            <w:pPr>
              <w:tabs>
                <w:tab w:val="left" w:pos="426"/>
              </w:tabs>
              <w:spacing w:before="120" w:line="360" w:lineRule="auto"/>
              <w:jc w:val="both"/>
              <w:rPr>
                <w:rFonts w:ascii="Times New Roman" w:hAnsi="Times New Roman"/>
                <w:bCs/>
                <w:i/>
                <w:iCs/>
                <w:lang w:val="nl-NL"/>
              </w:rPr>
            </w:pPr>
            <w:r w:rsidRPr="00C36875">
              <w:rPr>
                <w:rFonts w:ascii="Times New Roman" w:hAnsi="Times New Roman"/>
                <w:bCs/>
                <w:i/>
                <w:iCs/>
                <w:lang w:val="nl-NL"/>
              </w:rPr>
              <w:t>Nguồn: VBMA</w:t>
            </w:r>
          </w:p>
        </w:tc>
      </w:tr>
    </w:tbl>
    <w:p w14:paraId="4E6E7A20" w14:textId="51F70266" w:rsidR="003F1AFC" w:rsidRDefault="003F1AFC" w:rsidP="00623046">
      <w:pPr>
        <w:shd w:val="clear" w:color="auto" w:fill="FFFFFF"/>
        <w:tabs>
          <w:tab w:val="left" w:pos="540"/>
        </w:tabs>
        <w:spacing w:before="120" w:after="0" w:line="240" w:lineRule="auto"/>
        <w:jc w:val="center"/>
        <w:rPr>
          <w:rFonts w:ascii="Times New Roman" w:hAnsi="Times New Roman"/>
          <w:b/>
          <w:sz w:val="24"/>
          <w:szCs w:val="24"/>
          <w:lang w:val="nl-NL"/>
        </w:rPr>
      </w:pPr>
    </w:p>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704BC3"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54D3CA60"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4,81</w:t>
            </w:r>
          </w:p>
        </w:tc>
        <w:tc>
          <w:tcPr>
            <w:tcW w:w="2547" w:type="dxa"/>
            <w:vAlign w:val="center"/>
          </w:tcPr>
          <w:p w14:paraId="12F09FAA" w14:textId="7C34EAFF"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4,47</w:t>
            </w:r>
          </w:p>
        </w:tc>
        <w:tc>
          <w:tcPr>
            <w:tcW w:w="2305" w:type="dxa"/>
            <w:vAlign w:val="center"/>
          </w:tcPr>
          <w:p w14:paraId="3429EE5D" w14:textId="0DAC9494" w:rsidR="000D3844" w:rsidRPr="00E93BC5" w:rsidRDefault="00920E4F" w:rsidP="000D384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6,</w:t>
            </w:r>
            <w:r w:rsidR="0026726B">
              <w:rPr>
                <w:rFonts w:ascii="Times New Roman" w:eastAsia="Times New Roman" w:hAnsi="Times New Roman"/>
                <w:sz w:val="24"/>
                <w:szCs w:val="24"/>
                <w:lang w:val="nl-NL"/>
              </w:rPr>
              <w:t>88</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1A2FBF9A"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0,00</w:t>
            </w:r>
          </w:p>
        </w:tc>
        <w:tc>
          <w:tcPr>
            <w:tcW w:w="2305" w:type="dxa"/>
            <w:vAlign w:val="center"/>
          </w:tcPr>
          <w:p w14:paraId="6766E3E3" w14:textId="77777777" w:rsidR="00A1471B" w:rsidRPr="00E93BC5" w:rsidRDefault="00A1471B"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r>
      <w:tr w:rsidR="0026726B" w:rsidRPr="00E93BC5" w14:paraId="5902C92F" w14:textId="77777777" w:rsidTr="00A85A22">
        <w:tc>
          <w:tcPr>
            <w:tcW w:w="3013" w:type="dxa"/>
            <w:vAlign w:val="center"/>
          </w:tcPr>
          <w:p w14:paraId="77FB833F" w14:textId="77777777" w:rsidR="0026726B" w:rsidRPr="00E93BC5" w:rsidRDefault="0026726B" w:rsidP="0026726B">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lastRenderedPageBreak/>
              <w:t>Tổng tăng trưởng/1 đơn vị CCQ</w:t>
            </w:r>
          </w:p>
        </w:tc>
        <w:tc>
          <w:tcPr>
            <w:tcW w:w="2025" w:type="dxa"/>
            <w:vAlign w:val="center"/>
          </w:tcPr>
          <w:p w14:paraId="06E7094B" w14:textId="209FB722" w:rsidR="0026726B" w:rsidRPr="00E93BC5" w:rsidRDefault="0026726B" w:rsidP="0026726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4,81</w:t>
            </w:r>
          </w:p>
        </w:tc>
        <w:tc>
          <w:tcPr>
            <w:tcW w:w="2547" w:type="dxa"/>
            <w:vAlign w:val="center"/>
          </w:tcPr>
          <w:p w14:paraId="685C2A08" w14:textId="27FBC586" w:rsidR="0026726B" w:rsidRPr="00E93BC5" w:rsidRDefault="0026726B" w:rsidP="0026726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4,47</w:t>
            </w:r>
          </w:p>
        </w:tc>
        <w:tc>
          <w:tcPr>
            <w:tcW w:w="2305" w:type="dxa"/>
            <w:vAlign w:val="center"/>
          </w:tcPr>
          <w:p w14:paraId="32C5600E" w14:textId="145CBE9C" w:rsidR="0026726B" w:rsidRPr="00E93BC5" w:rsidRDefault="0026726B" w:rsidP="0026726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6,</w:t>
            </w:r>
            <w:r>
              <w:rPr>
                <w:rFonts w:ascii="Times New Roman" w:eastAsia="Times New Roman" w:hAnsi="Times New Roman"/>
                <w:sz w:val="24"/>
                <w:szCs w:val="24"/>
                <w:lang w:val="nl-NL"/>
              </w:rPr>
              <w:t>88</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4168D12D"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4,81</w:t>
            </w:r>
          </w:p>
        </w:tc>
        <w:tc>
          <w:tcPr>
            <w:tcW w:w="2547" w:type="dxa"/>
            <w:vAlign w:val="center"/>
          </w:tcPr>
          <w:p w14:paraId="109AC7DF" w14:textId="44386EB0"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4,48</w:t>
            </w:r>
          </w:p>
        </w:tc>
        <w:tc>
          <w:tcPr>
            <w:tcW w:w="2305" w:type="dxa"/>
            <w:vAlign w:val="center"/>
          </w:tcPr>
          <w:p w14:paraId="1CF27F38" w14:textId="52038E07"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4,38</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69EE7079" w14:textId="77777777" w:rsidR="00920E4F" w:rsidRPr="00E93BC5"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5F049B1A" w14:textId="77777777" w:rsidR="001C4468" w:rsidRPr="00E93BC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 xml:space="preserve">N/A: </w:t>
      </w:r>
      <w:r w:rsidRPr="00E93BC5">
        <w:rPr>
          <w:rFonts w:ascii="Times New Roman" w:hAnsi="Times New Roman"/>
          <w:i/>
          <w:sz w:val="24"/>
          <w:szCs w:val="24"/>
          <w:lang w:val="nl-NL"/>
        </w:rPr>
        <w:tab/>
      </w:r>
      <w:r w:rsidRPr="00E93BC5">
        <w:rPr>
          <w:rFonts w:ascii="Times New Roman" w:hAnsi="Times New Roman"/>
          <w:i/>
          <w:sz w:val="24"/>
          <w:szCs w:val="24"/>
          <w:lang w:val="nl-NL"/>
        </w:rPr>
        <w:tab/>
        <w:t>Quỹ mới thành lập và đi vào hoạt động từ ngày 03 tháng 04 năm 201</w:t>
      </w:r>
      <w:r w:rsidR="00CC754B" w:rsidRPr="00E93BC5">
        <w:rPr>
          <w:rFonts w:ascii="Times New Roman" w:hAnsi="Times New Roman"/>
          <w:i/>
          <w:sz w:val="24"/>
          <w:szCs w:val="24"/>
          <w:lang w:val="nl-NL"/>
        </w:rPr>
        <w:t>9</w:t>
      </w:r>
      <w:r w:rsidRPr="00E93BC5">
        <w:rPr>
          <w:rFonts w:ascii="Times New Roman" w:hAnsi="Times New Roman"/>
          <w:i/>
          <w:sz w:val="24"/>
          <w:szCs w:val="24"/>
          <w:lang w:val="nl-NL"/>
        </w:rPr>
        <w:t>, nên các chỉ tiêu không đủ dữ liệu để tính toán</w:t>
      </w:r>
      <w:r w:rsidR="00621E6D" w:rsidRPr="00E93BC5">
        <w:rPr>
          <w:rFonts w:ascii="Times New Roman" w:hAnsi="Times New Roman"/>
          <w:i/>
          <w:sz w:val="24"/>
          <w:szCs w:val="24"/>
          <w:lang w:val="nl-NL"/>
        </w:rPr>
        <w:t>.</w:t>
      </w:r>
    </w:p>
    <w:p w14:paraId="4EBF1746" w14:textId="77777777" w:rsidR="00D034B8" w:rsidRPr="00E93BC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0B6E805"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307E29B7" w:rsidR="008F48C6" w:rsidRPr="00E93BC5" w:rsidRDefault="0026726B"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73132339" wp14:editId="215ED329">
            <wp:extent cx="6229350" cy="2628900"/>
            <wp:effectExtent l="0" t="0" r="0" b="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7BEADAF5" w:rsidR="001C4468" w:rsidRPr="00E93BC5" w:rsidRDefault="00920E4F"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w:t>
            </w:r>
            <w:r w:rsidR="0000792D" w:rsidRPr="00E93BC5">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3/202</w:t>
            </w:r>
            <w:r w:rsidR="0026726B">
              <w:rPr>
                <w:rFonts w:ascii="Times New Roman" w:eastAsia="Times New Roman" w:hAnsi="Times New Roman"/>
                <w:b/>
                <w:sz w:val="24"/>
                <w:szCs w:val="24"/>
                <w:lang w:val="nl-NL"/>
              </w:rPr>
              <w:t>3</w:t>
            </w:r>
          </w:p>
        </w:tc>
        <w:tc>
          <w:tcPr>
            <w:tcW w:w="872" w:type="pct"/>
            <w:shd w:val="clear" w:color="auto" w:fill="auto"/>
          </w:tcPr>
          <w:p w14:paraId="622D1012" w14:textId="321862D4" w:rsidR="001C4468" w:rsidRPr="00E93BC5" w:rsidRDefault="00920E4F"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w:t>
            </w:r>
            <w:r w:rsidR="0026726B">
              <w:rPr>
                <w:rFonts w:ascii="Times New Roman" w:eastAsia="Times New Roman" w:hAnsi="Times New Roman"/>
                <w:b/>
                <w:sz w:val="24"/>
                <w:szCs w:val="24"/>
                <w:lang w:val="nl-NL"/>
              </w:rPr>
              <w:t>2</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26726B" w:rsidRPr="00E93BC5" w14:paraId="6584EB3F" w14:textId="77777777" w:rsidTr="008A4BAD">
        <w:trPr>
          <w:trHeight w:val="661"/>
        </w:trPr>
        <w:tc>
          <w:tcPr>
            <w:tcW w:w="2341" w:type="pct"/>
            <w:shd w:val="clear" w:color="auto" w:fill="auto"/>
          </w:tcPr>
          <w:p w14:paraId="21DE6670" w14:textId="77777777" w:rsidR="0026726B" w:rsidRPr="00E93BC5" w:rsidRDefault="0026726B" w:rsidP="0026726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2ED8650C" w:rsidR="0026726B" w:rsidRPr="00E93BC5" w:rsidRDefault="0026726B" w:rsidP="0026726B">
            <w:pPr>
              <w:tabs>
                <w:tab w:val="left" w:pos="540"/>
              </w:tabs>
              <w:spacing w:before="120" w:after="0" w:line="240" w:lineRule="auto"/>
              <w:jc w:val="center"/>
              <w:rPr>
                <w:rFonts w:ascii="Times New Roman" w:eastAsia="Times New Roman" w:hAnsi="Times New Roman"/>
                <w:sz w:val="24"/>
                <w:szCs w:val="24"/>
                <w:lang w:val="nl-NL"/>
              </w:rPr>
            </w:pPr>
            <w:r w:rsidRPr="0026726B">
              <w:rPr>
                <w:rFonts w:ascii="Times New Roman" w:eastAsia="Times New Roman" w:hAnsi="Times New Roman"/>
                <w:bCs/>
                <w:color w:val="000000"/>
                <w:sz w:val="24"/>
                <w:szCs w:val="24"/>
                <w:lang w:val="en-SG" w:eastAsia="en-SG"/>
              </w:rPr>
              <w:t>118.719.468.189</w:t>
            </w:r>
          </w:p>
        </w:tc>
        <w:tc>
          <w:tcPr>
            <w:tcW w:w="872" w:type="pct"/>
            <w:shd w:val="clear" w:color="auto" w:fill="auto"/>
            <w:vAlign w:val="center"/>
          </w:tcPr>
          <w:p w14:paraId="37F220DF" w14:textId="2FF91C65" w:rsidR="0026726B" w:rsidRPr="00E93BC5" w:rsidRDefault="0026726B" w:rsidP="0026726B">
            <w:pPr>
              <w:tabs>
                <w:tab w:val="left" w:pos="540"/>
              </w:tabs>
              <w:spacing w:before="120" w:after="0" w:line="240" w:lineRule="auto"/>
              <w:jc w:val="center"/>
              <w:rPr>
                <w:rFonts w:ascii="Times New Roman" w:eastAsia="Times New Roman" w:hAnsi="Times New Roman"/>
                <w:color w:val="000000"/>
                <w:sz w:val="24"/>
                <w:szCs w:val="24"/>
              </w:rPr>
            </w:pPr>
            <w:r w:rsidRPr="00E93BC5">
              <w:rPr>
                <w:rFonts w:ascii="Times New Roman" w:eastAsia="Times New Roman" w:hAnsi="Times New Roman"/>
                <w:bCs/>
                <w:color w:val="000000"/>
                <w:sz w:val="24"/>
                <w:szCs w:val="24"/>
                <w:lang w:val="en-SG" w:eastAsia="en-SG"/>
              </w:rPr>
              <w:t>113.309.776.587</w:t>
            </w:r>
          </w:p>
        </w:tc>
        <w:tc>
          <w:tcPr>
            <w:tcW w:w="870" w:type="pct"/>
            <w:shd w:val="clear" w:color="auto" w:fill="auto"/>
            <w:vAlign w:val="center"/>
          </w:tcPr>
          <w:p w14:paraId="5EE3D590" w14:textId="70C43901" w:rsidR="0026726B" w:rsidRPr="00E93BC5" w:rsidRDefault="0026726B" w:rsidP="0026726B">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4,77</w:t>
            </w:r>
            <w:r w:rsidRPr="00E93BC5">
              <w:rPr>
                <w:rFonts w:ascii="Times New Roman" w:eastAsia="Times New Roman" w:hAnsi="Times New Roman"/>
                <w:sz w:val="24"/>
                <w:szCs w:val="24"/>
                <w:lang w:val="nl-NL"/>
              </w:rPr>
              <w:t>%</w:t>
            </w:r>
          </w:p>
        </w:tc>
      </w:tr>
      <w:tr w:rsidR="0026726B" w:rsidRPr="00E93BC5" w14:paraId="22C141F9" w14:textId="77777777" w:rsidTr="008A4BAD">
        <w:trPr>
          <w:trHeight w:val="644"/>
        </w:trPr>
        <w:tc>
          <w:tcPr>
            <w:tcW w:w="2341" w:type="pct"/>
            <w:shd w:val="clear" w:color="auto" w:fill="auto"/>
          </w:tcPr>
          <w:p w14:paraId="3741CC58" w14:textId="77777777" w:rsidR="0026726B" w:rsidRPr="00E93BC5" w:rsidRDefault="0026726B" w:rsidP="0026726B">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12BDAD6" w:rsidR="0026726B" w:rsidRPr="00E93BC5" w:rsidRDefault="0026726B" w:rsidP="0026726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26726B">
              <w:rPr>
                <w:rFonts w:ascii="Times New Roman" w:eastAsia="Times New Roman" w:hAnsi="Times New Roman"/>
                <w:bCs/>
                <w:color w:val="000000"/>
                <w:sz w:val="24"/>
                <w:szCs w:val="24"/>
                <w:lang w:val="en-SG" w:eastAsia="en-SG"/>
              </w:rPr>
              <w:t>11.869,43</w:t>
            </w:r>
          </w:p>
        </w:tc>
        <w:tc>
          <w:tcPr>
            <w:tcW w:w="872" w:type="pct"/>
            <w:shd w:val="clear" w:color="auto" w:fill="auto"/>
            <w:vAlign w:val="center"/>
          </w:tcPr>
          <w:p w14:paraId="798A3B65" w14:textId="0F92CDA6" w:rsidR="0026726B" w:rsidRPr="00E93BC5" w:rsidRDefault="0026726B" w:rsidP="0026726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11.324,83</w:t>
            </w:r>
          </w:p>
        </w:tc>
        <w:tc>
          <w:tcPr>
            <w:tcW w:w="870" w:type="pct"/>
            <w:shd w:val="clear" w:color="auto" w:fill="auto"/>
            <w:vAlign w:val="center"/>
          </w:tcPr>
          <w:p w14:paraId="471599FC" w14:textId="747702AE" w:rsidR="0026726B" w:rsidRPr="00E93BC5" w:rsidRDefault="0026726B" w:rsidP="0026726B">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4,81</w:t>
            </w:r>
            <w:r w:rsidRPr="00E93BC5">
              <w:rPr>
                <w:rFonts w:ascii="Times New Roman" w:eastAsia="Times New Roman" w:hAnsi="Times New Roman"/>
                <w:bCs/>
                <w:color w:val="000000"/>
                <w:sz w:val="24"/>
                <w:szCs w:val="24"/>
                <w:lang w:val="en-SG" w:eastAsia="en-SG"/>
              </w:rPr>
              <w:t>%</w:t>
            </w:r>
          </w:p>
        </w:tc>
      </w:tr>
    </w:tbl>
    <w:p w14:paraId="6B0CB6BC" w14:textId="03171EC4"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lastRenderedPageBreak/>
        <w:t>T</w:t>
      </w:r>
      <w:r w:rsidR="00B84DD0" w:rsidRPr="00E93BC5">
        <w:rPr>
          <w:rFonts w:ascii="Times New Roman" w:hAnsi="Times New Roman"/>
          <w:sz w:val="24"/>
          <w:szCs w:val="24"/>
          <w:lang w:val="nl-NL"/>
        </w:rPr>
        <w:t xml:space="preserve">rong giai đoạn từ </w:t>
      </w:r>
      <w:r w:rsidR="00D672F8" w:rsidRPr="00E93BC5">
        <w:rPr>
          <w:rFonts w:ascii="Times New Roman" w:hAnsi="Times New Roman"/>
          <w:sz w:val="24"/>
          <w:szCs w:val="24"/>
          <w:lang w:val="nl-NL"/>
        </w:rPr>
        <w:t>31/03/202</w:t>
      </w:r>
      <w:r w:rsidR="0026726B">
        <w:rPr>
          <w:rFonts w:ascii="Times New Roman" w:hAnsi="Times New Roman"/>
          <w:sz w:val="24"/>
          <w:szCs w:val="24"/>
          <w:lang w:val="nl-NL"/>
        </w:rPr>
        <w:t>2</w:t>
      </w:r>
      <w:r w:rsidR="00B84DD0" w:rsidRPr="00E93BC5">
        <w:rPr>
          <w:rFonts w:ascii="Times New Roman" w:hAnsi="Times New Roman"/>
          <w:sz w:val="24"/>
          <w:szCs w:val="24"/>
          <w:lang w:val="nl-NL"/>
        </w:rPr>
        <w:t xml:space="preserve"> đến </w:t>
      </w:r>
      <w:r w:rsidR="00D672F8" w:rsidRPr="00E93BC5">
        <w:rPr>
          <w:rFonts w:ascii="Times New Roman" w:hAnsi="Times New Roman"/>
          <w:sz w:val="24"/>
          <w:szCs w:val="24"/>
          <w:lang w:val="nl-NL"/>
        </w:rPr>
        <w:t>31/03/202</w:t>
      </w:r>
      <w:r w:rsidR="0026726B">
        <w:rPr>
          <w:rFonts w:ascii="Times New Roman" w:hAnsi="Times New Roman"/>
          <w:sz w:val="24"/>
          <w:szCs w:val="24"/>
          <w:lang w:val="nl-NL"/>
        </w:rPr>
        <w:t>3</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26726B">
        <w:rPr>
          <w:rFonts w:ascii="Times New Roman" w:hAnsi="Times New Roman"/>
          <w:sz w:val="24"/>
          <w:szCs w:val="24"/>
          <w:lang w:val="nl-NL"/>
        </w:rPr>
        <w:t>4,7</w:t>
      </w:r>
      <w:r w:rsidR="00D672F8" w:rsidRPr="00E93BC5">
        <w:rPr>
          <w:rFonts w:ascii="Times New Roman" w:hAnsi="Times New Roman"/>
          <w:sz w:val="24"/>
          <w:szCs w:val="24"/>
          <w:lang w:val="nl-NL"/>
        </w:rPr>
        <w:t>7</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12A9A2E9"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r w:rsidR="0026726B">
              <w:rPr>
                <w:rFonts w:ascii="Times New Roman" w:eastAsia="Times New Roman" w:hAnsi="Times New Roman"/>
                <w:sz w:val="24"/>
                <w:szCs w:val="24"/>
                <w:lang w:val="nl-NL"/>
              </w:rPr>
              <w:t>18</w:t>
            </w:r>
          </w:p>
        </w:tc>
        <w:tc>
          <w:tcPr>
            <w:tcW w:w="1193" w:type="pct"/>
            <w:shd w:val="clear" w:color="auto" w:fill="auto"/>
            <w:vAlign w:val="center"/>
          </w:tcPr>
          <w:p w14:paraId="5AC16A63" w14:textId="2C902E6D" w:rsidR="007D6CE8" w:rsidRPr="00E93BC5" w:rsidRDefault="0026726B" w:rsidP="001A5984">
            <w:pPr>
              <w:tabs>
                <w:tab w:val="left" w:pos="540"/>
              </w:tabs>
              <w:spacing w:before="120" w:after="0" w:line="240" w:lineRule="auto"/>
              <w:jc w:val="center"/>
              <w:rPr>
                <w:rFonts w:ascii="Times New Roman" w:eastAsia="Times New Roman" w:hAnsi="Times New Roman"/>
                <w:sz w:val="24"/>
                <w:szCs w:val="24"/>
                <w:lang w:val="nl-NL"/>
              </w:rPr>
            </w:pPr>
            <w:r w:rsidRPr="0026726B">
              <w:rPr>
                <w:rFonts w:ascii="Times New Roman" w:eastAsia="Times New Roman" w:hAnsi="Times New Roman"/>
                <w:sz w:val="24"/>
                <w:szCs w:val="24"/>
                <w:lang w:val="nl-NL"/>
              </w:rPr>
              <w:t>32.529,24</w:t>
            </w:r>
          </w:p>
        </w:tc>
        <w:tc>
          <w:tcPr>
            <w:tcW w:w="870" w:type="pct"/>
            <w:shd w:val="clear" w:color="auto" w:fill="auto"/>
            <w:vAlign w:val="center"/>
          </w:tcPr>
          <w:p w14:paraId="491B3301" w14:textId="60668B0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26726B">
              <w:rPr>
                <w:rFonts w:ascii="Times New Roman" w:eastAsia="Times New Roman" w:hAnsi="Times New Roman"/>
                <w:sz w:val="24"/>
                <w:szCs w:val="24"/>
                <w:lang w:val="nl-NL"/>
              </w:rPr>
              <w:t>3</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E93BC5"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E93BC5"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2618AF" w:rsidRPr="00E93BC5">
              <w:rPr>
                <w:rFonts w:ascii="Times New Roman" w:eastAsia="Times New Roman" w:hAnsi="Times New Roman"/>
                <w:sz w:val="24"/>
                <w:szCs w:val="24"/>
                <w:lang w:val="nl-NL"/>
              </w:rPr>
              <w:t>10</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1A9644F5"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5</w:t>
            </w:r>
            <w:r w:rsidR="0026726B">
              <w:rPr>
                <w:rFonts w:ascii="Times New Roman" w:eastAsia="Times New Roman" w:hAnsi="Times New Roman"/>
                <w:sz w:val="24"/>
                <w:szCs w:val="24"/>
                <w:lang w:val="nl-NL"/>
              </w:rPr>
              <w:t>7</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6C10F0B8"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26726B">
              <w:rPr>
                <w:rFonts w:ascii="Times New Roman" w:eastAsia="Times New Roman" w:hAnsi="Times New Roman"/>
                <w:b/>
                <w:sz w:val="24"/>
                <w:szCs w:val="24"/>
                <w:lang w:val="nl-NL"/>
              </w:rPr>
              <w:t>21</w:t>
            </w:r>
          </w:p>
        </w:tc>
        <w:tc>
          <w:tcPr>
            <w:tcW w:w="1193" w:type="pct"/>
            <w:shd w:val="clear" w:color="auto" w:fill="auto"/>
            <w:vAlign w:val="center"/>
          </w:tcPr>
          <w:p w14:paraId="43BDD4F2" w14:textId="4A97A598" w:rsidR="007D6CE8" w:rsidRPr="00E93BC5" w:rsidRDefault="0026726B" w:rsidP="001A5984">
            <w:pPr>
              <w:tabs>
                <w:tab w:val="left" w:pos="540"/>
              </w:tabs>
              <w:spacing w:before="120" w:after="0" w:line="240" w:lineRule="auto"/>
              <w:jc w:val="center"/>
              <w:rPr>
                <w:rFonts w:ascii="Times New Roman" w:eastAsia="Times New Roman" w:hAnsi="Times New Roman"/>
                <w:b/>
                <w:sz w:val="24"/>
                <w:szCs w:val="24"/>
                <w:lang w:val="nl-NL"/>
              </w:rPr>
            </w:pPr>
            <w:r w:rsidRPr="0026726B">
              <w:rPr>
                <w:rFonts w:ascii="Times New Roman" w:eastAsia="Times New Roman" w:hAnsi="Times New Roman"/>
                <w:b/>
                <w:sz w:val="24"/>
                <w:szCs w:val="24"/>
                <w:lang w:val="nl-NL"/>
              </w:rPr>
              <w:t>10.002.119,08</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02F67D0E" w14:textId="77777777" w:rsidR="00C36875" w:rsidRPr="00C36875" w:rsidRDefault="00C36875" w:rsidP="00C36875">
      <w:pPr>
        <w:shd w:val="clear" w:color="auto" w:fill="FFFFFF" w:themeFill="background1"/>
        <w:tabs>
          <w:tab w:val="left" w:pos="540"/>
          <w:tab w:val="right" w:pos="9900"/>
        </w:tabs>
        <w:spacing w:before="120" w:after="0"/>
        <w:jc w:val="both"/>
        <w:rPr>
          <w:rFonts w:ascii="Times New Roman" w:hAnsi="Times New Roman"/>
          <w:sz w:val="24"/>
          <w:szCs w:val="24"/>
          <w:lang w:val="nl-NL"/>
        </w:rPr>
      </w:pPr>
      <w:r w:rsidRPr="00C36875">
        <w:rPr>
          <w:rFonts w:ascii="Times New Roman" w:hAnsi="Times New Roman"/>
          <w:sz w:val="24"/>
          <w:szCs w:val="24"/>
          <w:lang w:val="nl-NL"/>
        </w:rPr>
        <w:t>Trong bối cảnh kinh tế không có nhiều khởi sắc, chính phủ tăng chi tiêu đầu tư công và giảm thuế để hỗ trợ nền kinh tế, và các chính sách tiền tệ đang đứng trước điểm xoay chiều, chúng tôi có dự báo lạc quan về triển vọng thị trường. Chúng tôi dự báo lợi suất trái phiếu sẽ dần hồi phục nhẹ về mức quanh lạm phát, và lãi suất ngân hàng sẽ đi ngang trong Quý 2/2023 dựa trên kỳ vọng 1/ Nhu cầu vốn để giải ngân đầu tư công từ chính phủ bắt đầu tăng trở lại; 2/ Chính phủ sẽ có hành động hợp lý để hỗ trợ cho sự hồi phục của nền kinh tế, qua đó giảm bớt rủi ro tín dụng.</w:t>
      </w:r>
    </w:p>
    <w:p w14:paraId="4FB3EAD2" w14:textId="45282F58" w:rsidR="004275CE" w:rsidRPr="00E93BC5" w:rsidRDefault="00C36875" w:rsidP="00C36875">
      <w:pPr>
        <w:shd w:val="clear" w:color="auto" w:fill="FFFFFF" w:themeFill="background1"/>
        <w:spacing w:before="120"/>
        <w:jc w:val="both"/>
        <w:rPr>
          <w:rFonts w:ascii="Times New Roman" w:eastAsiaTheme="minorHAnsi" w:hAnsi="Times New Roman"/>
          <w:sz w:val="24"/>
          <w:szCs w:val="24"/>
          <w:lang w:val="nl-NL"/>
        </w:rPr>
      </w:pPr>
      <w:r w:rsidRPr="00C36875">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C36875">
        <w:rPr>
          <w:rFonts w:ascii="Times New Roman" w:hAnsi="Times New Roman"/>
          <w:sz w:val="24"/>
          <w:szCs w:val="24"/>
          <w:lang w:val="nl-NL"/>
        </w:rPr>
        <w:t>.</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77777777" w:rsidR="003E0DEE" w:rsidRPr="00E93BC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lastRenderedPageBreak/>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704BC3" w14:paraId="30FE364B" w14:textId="77777777" w:rsidTr="001929F3">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252"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704BC3" w14:paraId="488E7BCC" w14:textId="77777777" w:rsidTr="001929F3">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38B202F1"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nay: Giám đốc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704BC3"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704BC3"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77777777"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Phó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704BC3"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lastRenderedPageBreak/>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20B889E1"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2</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8"/>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4"/>
  </w:num>
  <w:num w:numId="10" w16cid:durableId="2057199301">
    <w:abstractNumId w:val="11"/>
  </w:num>
  <w:num w:numId="11" w16cid:durableId="1043479870">
    <w:abstractNumId w:val="0"/>
  </w:num>
  <w:num w:numId="12" w16cid:durableId="559482682">
    <w:abstractNumId w:val="10"/>
  </w:num>
  <w:num w:numId="13" w16cid:durableId="274752514">
    <w:abstractNumId w:val="13"/>
  </w:num>
  <w:num w:numId="14" w16cid:durableId="1595673047">
    <w:abstractNumId w:val="9"/>
  </w:num>
  <w:num w:numId="15" w16cid:durableId="1438788929">
    <w:abstractNumId w:val="15"/>
  </w:num>
  <w:num w:numId="16" w16cid:durableId="1363823575">
    <w:abstractNumId w:val="2"/>
  </w:num>
  <w:num w:numId="17" w16cid:durableId="1668941327">
    <w:abstractNumId w:val="3"/>
  </w:num>
  <w:num w:numId="18" w16cid:durableId="1332295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72F9"/>
    <w:rsid w:val="001724E2"/>
    <w:rsid w:val="00173F1B"/>
    <w:rsid w:val="001752CF"/>
    <w:rsid w:val="00186307"/>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63B2"/>
    <w:rsid w:val="00307271"/>
    <w:rsid w:val="00312040"/>
    <w:rsid w:val="00321C3D"/>
    <w:rsid w:val="00326421"/>
    <w:rsid w:val="003271F8"/>
    <w:rsid w:val="00332909"/>
    <w:rsid w:val="0034115C"/>
    <w:rsid w:val="003426F4"/>
    <w:rsid w:val="003464D6"/>
    <w:rsid w:val="003510B0"/>
    <w:rsid w:val="00363061"/>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22D4"/>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1065"/>
    <w:rsid w:val="00D6273E"/>
    <w:rsid w:val="00D64737"/>
    <w:rsid w:val="00D66B9B"/>
    <w:rsid w:val="00D672F8"/>
    <w:rsid w:val="00D73A31"/>
    <w:rsid w:val="00D75079"/>
    <w:rsid w:val="00D75CED"/>
    <w:rsid w:val="00D86A2D"/>
    <w:rsid w:val="00D873D0"/>
    <w:rsid w:val="00D92B1C"/>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617C"/>
    <w:rsid w:val="00ED2EC6"/>
    <w:rsid w:val="00ED7937"/>
    <w:rsid w:val="00EE1167"/>
    <w:rsid w:val="00EE75A6"/>
    <w:rsid w:val="00EF077C"/>
    <w:rsid w:val="00EF17F5"/>
    <w:rsid w:val="00F00CB6"/>
    <w:rsid w:val="00F03C28"/>
    <w:rsid w:val="00F03EB1"/>
    <w:rsid w:val="00F134A7"/>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962E7"/>
    <w:rsid w:val="00FA3054"/>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wnloads\Macro%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wnloads\Macro%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3%20CBPF.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Chart!$A$4</c:f>
              <c:strCache>
                <c:ptCount val="1"/>
                <c:pt idx="0">
                  <c:v>GDP (% YoY)</c:v>
                </c:pt>
              </c:strCache>
            </c:strRef>
          </c:tx>
          <c:spPr>
            <a:solidFill>
              <a:schemeClr val="accent1"/>
            </a:solidFill>
            <a:ln>
              <a:noFill/>
            </a:ln>
            <a:effectLst/>
          </c:spPr>
          <c:invertIfNegative val="0"/>
          <c:cat>
            <c:strRef>
              <c:f>Chart!$B$3:$R$3</c:f>
              <c:strCache>
                <c:ptCount val="17"/>
                <c:pt idx="0">
                  <c:v>1Q19</c:v>
                </c:pt>
                <c:pt idx="1">
                  <c:v>2Q19</c:v>
                </c:pt>
                <c:pt idx="2">
                  <c:v>3Q19</c:v>
                </c:pt>
                <c:pt idx="3">
                  <c:v>4Q19</c:v>
                </c:pt>
                <c:pt idx="4">
                  <c:v>1Q20</c:v>
                </c:pt>
                <c:pt idx="5">
                  <c:v>2Q20</c:v>
                </c:pt>
                <c:pt idx="6">
                  <c:v>3Q20</c:v>
                </c:pt>
                <c:pt idx="7">
                  <c:v>4Q20</c:v>
                </c:pt>
                <c:pt idx="8">
                  <c:v>1Q21</c:v>
                </c:pt>
                <c:pt idx="9">
                  <c:v>2Q21</c:v>
                </c:pt>
                <c:pt idx="10">
                  <c:v>3Q21</c:v>
                </c:pt>
                <c:pt idx="11">
                  <c:v>4Q21</c:v>
                </c:pt>
                <c:pt idx="12">
                  <c:v>1Q22</c:v>
                </c:pt>
                <c:pt idx="13">
                  <c:v>2Q22</c:v>
                </c:pt>
                <c:pt idx="14">
                  <c:v>3Q22</c:v>
                </c:pt>
                <c:pt idx="15">
                  <c:v>4Q22</c:v>
                </c:pt>
                <c:pt idx="16">
                  <c:v>1Q23</c:v>
                </c:pt>
              </c:strCache>
            </c:strRef>
          </c:cat>
          <c:val>
            <c:numRef>
              <c:f>Chart!$B$4:$R$4</c:f>
              <c:numCache>
                <c:formatCode>_(* #,##0.00_);_(* \(#,##0.00\);_(* "-"??_);_(@_)</c:formatCode>
                <c:ptCount val="17"/>
                <c:pt idx="0">
                  <c:v>6.821670983756742</c:v>
                </c:pt>
                <c:pt idx="1">
                  <c:v>6.7334979631716525</c:v>
                </c:pt>
                <c:pt idx="2">
                  <c:v>7.4836300847647665</c:v>
                </c:pt>
                <c:pt idx="3">
                  <c:v>6.9684209969840429</c:v>
                </c:pt>
                <c:pt idx="4">
                  <c:v>3.6820533297318248</c:v>
                </c:pt>
                <c:pt idx="5">
                  <c:v>0.36047217446446311</c:v>
                </c:pt>
                <c:pt idx="6">
                  <c:v>0.3873756769847887</c:v>
                </c:pt>
                <c:pt idx="7">
                  <c:v>4.4753670518985444</c:v>
                </c:pt>
                <c:pt idx="8">
                  <c:v>4.480000000000004</c:v>
                </c:pt>
                <c:pt idx="9">
                  <c:v>6.6091728627359032</c:v>
                </c:pt>
                <c:pt idx="10">
                  <c:v>-6.0247748020650675</c:v>
                </c:pt>
                <c:pt idx="11">
                  <c:v>5.221667820590298</c:v>
                </c:pt>
                <c:pt idx="12">
                  <c:v>5.0526476255495112</c:v>
                </c:pt>
                <c:pt idx="13">
                  <c:v>7.7230746800514254</c:v>
                </c:pt>
                <c:pt idx="14">
                  <c:v>13.666930411478901</c:v>
                </c:pt>
                <c:pt idx="15">
                  <c:v>4.8696502899211458</c:v>
                </c:pt>
                <c:pt idx="16">
                  <c:v>3.32</c:v>
                </c:pt>
              </c:numCache>
            </c:numRef>
          </c:val>
          <c:extLst>
            <c:ext xmlns:c16="http://schemas.microsoft.com/office/drawing/2014/chart" uri="{C3380CC4-5D6E-409C-BE32-E72D297353CC}">
              <c16:uniqueId val="{00000000-7804-4E1E-8AC1-B9C2C60F74C1}"/>
            </c:ext>
          </c:extLst>
        </c:ser>
        <c:dLbls>
          <c:showLegendKey val="0"/>
          <c:showVal val="0"/>
          <c:showCatName val="0"/>
          <c:showSerName val="0"/>
          <c:showPercent val="0"/>
          <c:showBubbleSize val="0"/>
        </c:dLbls>
        <c:gapWidth val="150"/>
        <c:axId val="138813336"/>
        <c:axId val="138819096"/>
      </c:barChart>
      <c:catAx>
        <c:axId val="13881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819096"/>
        <c:crosses val="autoZero"/>
        <c:auto val="1"/>
        <c:lblAlgn val="ctr"/>
        <c:lblOffset val="100"/>
        <c:noMultiLvlLbl val="0"/>
      </c:catAx>
      <c:valAx>
        <c:axId val="1388190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813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Chart!$A$9</c:f>
              <c:strCache>
                <c:ptCount val="1"/>
                <c:pt idx="0">
                  <c:v>CPI (% YoY)</c:v>
                </c:pt>
              </c:strCache>
            </c:strRef>
          </c:tx>
          <c:spPr>
            <a:solidFill>
              <a:schemeClr val="accent1"/>
            </a:solidFill>
            <a:ln>
              <a:noFill/>
            </a:ln>
            <a:effectLst/>
          </c:spPr>
          <c:invertIfNegative val="0"/>
          <c:cat>
            <c:strRef>
              <c:f>Chart!$B$8:$M$8</c:f>
              <c:strCache>
                <c:ptCount val="12"/>
                <c:pt idx="0">
                  <c:v>4/2022</c:v>
                </c:pt>
                <c:pt idx="1">
                  <c:v>5/2022</c:v>
                </c:pt>
                <c:pt idx="2">
                  <c:v>6/2022</c:v>
                </c:pt>
                <c:pt idx="3">
                  <c:v>7/2022</c:v>
                </c:pt>
                <c:pt idx="4">
                  <c:v>8/2022</c:v>
                </c:pt>
                <c:pt idx="5">
                  <c:v>9/2022</c:v>
                </c:pt>
                <c:pt idx="6">
                  <c:v>10/2022</c:v>
                </c:pt>
                <c:pt idx="7">
                  <c:v>11/2022</c:v>
                </c:pt>
                <c:pt idx="8">
                  <c:v>12/2022</c:v>
                </c:pt>
                <c:pt idx="9">
                  <c:v>1/2023</c:v>
                </c:pt>
                <c:pt idx="10">
                  <c:v>2/2023</c:v>
                </c:pt>
                <c:pt idx="11">
                  <c:v>3/2023</c:v>
                </c:pt>
              </c:strCache>
            </c:strRef>
          </c:cat>
          <c:val>
            <c:numRef>
              <c:f>Chart!$B$9:$M$9</c:f>
              <c:numCache>
                <c:formatCode>_(* #,##0.00_);_(* \(#,##0.00\);_(* "-"??_);_(@_)</c:formatCode>
                <c:ptCount val="12"/>
                <c:pt idx="0">
                  <c:v>2.6379764651902207</c:v>
                </c:pt>
                <c:pt idx="1">
                  <c:v>2.862910527975842</c:v>
                </c:pt>
                <c:pt idx="2">
                  <c:v>3.3742096478545136</c:v>
                </c:pt>
                <c:pt idx="3">
                  <c:v>3.1408989435677199</c:v>
                </c:pt>
                <c:pt idx="4">
                  <c:v>2.8908863403781453</c:v>
                </c:pt>
                <c:pt idx="5">
                  <c:v>3.9403511154482658</c:v>
                </c:pt>
                <c:pt idx="6">
                  <c:v>4.3031121259957956</c:v>
                </c:pt>
                <c:pt idx="7">
                  <c:v>4.3720438873132963</c:v>
                </c:pt>
                <c:pt idx="8">
                  <c:v>4.5488581081517765</c:v>
                </c:pt>
                <c:pt idx="9">
                  <c:v>4.8899999999999997</c:v>
                </c:pt>
                <c:pt idx="10">
                  <c:v>4.5999999999999996</c:v>
                </c:pt>
                <c:pt idx="11">
                  <c:v>3.35</c:v>
                </c:pt>
              </c:numCache>
            </c:numRef>
          </c:val>
          <c:extLst>
            <c:ext xmlns:c16="http://schemas.microsoft.com/office/drawing/2014/chart" uri="{C3380CC4-5D6E-409C-BE32-E72D297353CC}">
              <c16:uniqueId val="{00000000-3F28-4960-AB6C-1C27F9A4E38F}"/>
            </c:ext>
          </c:extLst>
        </c:ser>
        <c:dLbls>
          <c:showLegendKey val="0"/>
          <c:showVal val="0"/>
          <c:showCatName val="0"/>
          <c:showSerName val="0"/>
          <c:showPercent val="0"/>
          <c:showBubbleSize val="0"/>
        </c:dLbls>
        <c:gapWidth val="219"/>
        <c:overlap val="-27"/>
        <c:axId val="662573352"/>
        <c:axId val="662570832"/>
      </c:barChart>
      <c:catAx>
        <c:axId val="66257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570832"/>
        <c:crosses val="autoZero"/>
        <c:auto val="1"/>
        <c:lblAlgn val="ctr"/>
        <c:lblOffset val="100"/>
        <c:noMultiLvlLbl val="0"/>
      </c:catAx>
      <c:valAx>
        <c:axId val="66257083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2573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NAV'!$B$2:$L$2</c:f>
              <c:strCache>
                <c:ptCount val="11"/>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strCache>
            </c:strRef>
          </c:cat>
          <c:val>
            <c:numRef>
              <c:f>'Chart NAV'!$B$3:$L$3</c:f>
              <c:numCache>
                <c:formatCode>_(* #,##0_);_(* \(#,##0\);_(* "-"??_);_(@_)</c:formatCode>
                <c:ptCount val="11"/>
                <c:pt idx="0">
                  <c:v>11699.38</c:v>
                </c:pt>
                <c:pt idx="1">
                  <c:v>11712.61</c:v>
                </c:pt>
                <c:pt idx="2">
                  <c:v>11726.25</c:v>
                </c:pt>
                <c:pt idx="3">
                  <c:v>11740.08</c:v>
                </c:pt>
                <c:pt idx="4">
                  <c:v>11767.5</c:v>
                </c:pt>
                <c:pt idx="5">
                  <c:v>11781.11</c:v>
                </c:pt>
                <c:pt idx="6">
                  <c:v>11794.71</c:v>
                </c:pt>
                <c:pt idx="7">
                  <c:v>11822.13</c:v>
                </c:pt>
                <c:pt idx="8">
                  <c:v>11835.95</c:v>
                </c:pt>
                <c:pt idx="9">
                  <c:v>11849.76</c:v>
                </c:pt>
                <c:pt idx="10">
                  <c:v>11863.57</c:v>
                </c:pt>
              </c:numCache>
            </c:numRef>
          </c:val>
          <c:smooth val="0"/>
          <c:extLst>
            <c:ext xmlns:c16="http://schemas.microsoft.com/office/drawing/2014/chart" uri="{C3380CC4-5D6E-409C-BE32-E72D297353CC}">
              <c16:uniqueId val="{00000000-B5F7-45D8-A6FB-9730E37D3F8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I4u0vXdkm33NeKlR7fk+uvga5a0=</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PoBMC8lOU+2fJk5lNsLJNPRG4Qk=</DigestValue>
    </Reference>
  </SignedInfo>
  <SignatureValue>geiE4H6c1y6eSYO5ieoqO2vTZ4Zo2md+uv/YE3nLy6gSIUjxsDEy6/GhlxXDR1BMUFd3gdSMsGR0
5wKrcf8jTU6Eo2UuduWTAxc9cR+8TUlHshoIZVcYU7TeSbsxCnMtWsbiFWyvi++NBOK5S0uTOahx
sK+I8wtnC/n3M9fjAHM=</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8z9P2vlyTbWZwgLrFBgLRLnEiaU=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RPFMcFaWvgqAfSyu5fFmDdq04k0=</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O2wAw2vznVqLAwoREXt+WoX6dIQ=</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ht37eWO8o2LlvhuFQfJ91ckDuhk=</DigestValue>
      </Reference>
      <Reference URI="/word/charts/chart1.xml?ContentType=application/vnd.openxmlformats-officedocument.drawingml.chart+xml">
        <DigestMethod Algorithm="http://www.w3.org/2000/09/xmldsig#sha1"/>
        <DigestValue>ivzpJIUXwJKhdDGTDNGA4cXzm4I=</DigestValue>
      </Reference>
      <Reference URI="/word/charts/chart2.xml?ContentType=application/vnd.openxmlformats-officedocument.drawingml.chart+xml">
        <DigestMethod Algorithm="http://www.w3.org/2000/09/xmldsig#sha1"/>
        <DigestValue>hpk5Wo4OgF5lSpePWnw5jI2AjxE=</DigestValue>
      </Reference>
      <Reference URI="/word/charts/chart3.xml?ContentType=application/vnd.openxmlformats-officedocument.drawingml.chart+xml">
        <DigestMethod Algorithm="http://www.w3.org/2000/09/xmldsig#sha1"/>
        <DigestValue>DRiU4GdA8qgTaR89HXe+qnL2RaM=</DigestValue>
      </Reference>
      <Reference URI="/word/charts/colors1.xml?ContentType=application/vnd.ms-office.chartcolorstyle+xml">
        <DigestMethod Algorithm="http://www.w3.org/2000/09/xmldsig#sha1"/>
        <DigestValue>KG64DhNhfcPCW2uvEjeUT2BFWQ4=</DigestValue>
      </Reference>
      <Reference URI="/word/charts/colors2.xml?ContentType=application/vnd.ms-office.chartcolorstyle+xml">
        <DigestMethod Algorithm="http://www.w3.org/2000/09/xmldsig#sha1"/>
        <DigestValue>KG64DhNhfcPCW2uvEjeUT2BFWQ4=</DigestValue>
      </Reference>
      <Reference URI="/word/charts/colors3.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UGKMhUMRMfuS2CoZGFOz5WMgEhw=</DigestValue>
      </Reference>
      <Reference URI="/word/charts/style2.xml?ContentType=application/vnd.ms-office.chartstyle+xml">
        <DigestMethod Algorithm="http://www.w3.org/2000/09/xmldsig#sha1"/>
        <DigestValue>EP3215JSRngkeMlZPwQBw23dMLo=</DigestValue>
      </Reference>
      <Reference URI="/word/charts/style3.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GgnsBv8MWIl55wKZ3XLPPkmsjwk=</DigestValue>
      </Reference>
      <Reference URI="/word/endnotes.xml?ContentType=application/vnd.openxmlformats-officedocument.wordprocessingml.endnotes+xml">
        <DigestMethod Algorithm="http://www.w3.org/2000/09/xmldsig#sha1"/>
        <DigestValue>NBGJQy55WjwGd86mdzY4cgdf4UI=</DigestValue>
      </Reference>
      <Reference URI="/word/fontTable.xml?ContentType=application/vnd.openxmlformats-officedocument.wordprocessingml.fontTable+xml">
        <DigestMethod Algorithm="http://www.w3.org/2000/09/xmldsig#sha1"/>
        <DigestValue>R2e4VnMOv5kPLjP2RFr/NAsHvTc=</DigestValue>
      </Reference>
      <Reference URI="/word/footer1.xml?ContentType=application/vnd.openxmlformats-officedocument.wordprocessingml.footer+xml">
        <DigestMethod Algorithm="http://www.w3.org/2000/09/xmldsig#sha1"/>
        <DigestValue>RvmGINK899lbU9Wm5G7KeLIURDw=</DigestValue>
      </Reference>
      <Reference URI="/word/footer2.xml?ContentType=application/vnd.openxmlformats-officedocument.wordprocessingml.footer+xml">
        <DigestMethod Algorithm="http://www.w3.org/2000/09/xmldsig#sha1"/>
        <DigestValue>Bj5a1CzPhvI0CsgxkwXrhokdrPU=</DigestValue>
      </Reference>
      <Reference URI="/word/footer3.xml?ContentType=application/vnd.openxmlformats-officedocument.wordprocessingml.footer+xml">
        <DigestMethod Algorithm="http://www.w3.org/2000/09/xmldsig#sha1"/>
        <DigestValue>inqQs0gZ9EBKZf3IMWiEci9Lcfg=</DigestValue>
      </Reference>
      <Reference URI="/word/footnotes.xml?ContentType=application/vnd.openxmlformats-officedocument.wordprocessingml.footnotes+xml">
        <DigestMethod Algorithm="http://www.w3.org/2000/09/xmldsig#sha1"/>
        <DigestValue>5u5N2RkFADEQxPHJkEwSRImfzQ4=</DigestValue>
      </Reference>
      <Reference URI="/word/header1.xml?ContentType=application/vnd.openxmlformats-officedocument.wordprocessingml.header+xml">
        <DigestMethod Algorithm="http://www.w3.org/2000/09/xmldsig#sha1"/>
        <DigestValue>wKzTB3DmH3+wC/NEWfMooR5rfwQ=</DigestValue>
      </Reference>
      <Reference URI="/word/header2.xml?ContentType=application/vnd.openxmlformats-officedocument.wordprocessingml.header+xml">
        <DigestMethod Algorithm="http://www.w3.org/2000/09/xmldsig#sha1"/>
        <DigestValue>XhIP451+Fa1Cpc6NdCnirbZ3BAI=</DigestValue>
      </Reference>
      <Reference URI="/word/header3.xml?ContentType=application/vnd.openxmlformats-officedocument.wordprocessingml.header+xml">
        <DigestMethod Algorithm="http://www.w3.org/2000/09/xmldsig#sha1"/>
        <DigestValue>2RwVEd8J1wRMqohROz6RTAKJ4dw=</DigestValue>
      </Reference>
      <Reference URI="/word/media/image1.png?ContentType=image/png">
        <DigestMethod Algorithm="http://www.w3.org/2000/09/xmldsig#sha1"/>
        <DigestValue>1WygKe/RfyCN34LN3N78xpclbJg=</DigestValue>
      </Reference>
      <Reference URI="/word/numbering.xml?ContentType=application/vnd.openxmlformats-officedocument.wordprocessingml.numbering+xml">
        <DigestMethod Algorithm="http://www.w3.org/2000/09/xmldsig#sha1"/>
        <DigestValue>tfFnVO+PLLsJS9dpXwTOlAqiiiM=</DigestValue>
      </Reference>
      <Reference URI="/word/settings.xml?ContentType=application/vnd.openxmlformats-officedocument.wordprocessingml.settings+xml">
        <DigestMethod Algorithm="http://www.w3.org/2000/09/xmldsig#sha1"/>
        <DigestValue>jTk3WufvgZz1F61Kyrk5Gqm+D40=</DigestValue>
      </Reference>
      <Reference URI="/word/styles.xml?ContentType=application/vnd.openxmlformats-officedocument.wordprocessingml.styles+xml">
        <DigestMethod Algorithm="http://www.w3.org/2000/09/xmldsig#sha1"/>
        <DigestValue>mkaKX02EK0MXYZDwY8OKZ8W1fcc=</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Uq2jEW3T0boAAsaFxDN2Or8f2ag=</DigestValue>
      </Reference>
    </Manifest>
    <SignatureProperties>
      <SignatureProperty Id="idSignatureTime" Target="#idPackageSignature">
        <mdssi:SignatureTime xmlns:mdssi="http://schemas.openxmlformats.org/package/2006/digital-signature">
          <mdssi:Format>YYYY-MM-DDThh:mm:ssTZD</mdssi:Format>
          <mdssi:Value>2023-04-20T02:59:44Z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2023-04-20T02:59:44Z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14</cp:revision>
  <cp:lastPrinted>2022-01-19T10:21:00Z</cp:lastPrinted>
  <dcterms:created xsi:type="dcterms:W3CDTF">2022-04-18T03:50:00Z</dcterms:created>
  <dcterms:modified xsi:type="dcterms:W3CDTF">2023-04-20T02:39:00Z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