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075" w14:textId="6C881BE2" w:rsidR="003F0046" w:rsidRPr="00F95AFC" w:rsidRDefault="003F0046" w:rsidP="00F95AFC">
      <w:pPr>
        <w:spacing w:before="120" w:line="360" w:lineRule="auto"/>
        <w:jc w:val="center"/>
        <w:rPr>
          <w:rFonts w:ascii="Times New Roman" w:hAnsi="Times New Roman"/>
          <w:b/>
          <w:sz w:val="24"/>
          <w:szCs w:val="24"/>
        </w:rPr>
      </w:pPr>
      <w:bookmarkStart w:id="0" w:name="chuong_phuluc_28"/>
      <w:proofErr w:type="spellStart"/>
      <w:r w:rsidRPr="00F95AFC">
        <w:rPr>
          <w:rFonts w:ascii="Times New Roman" w:hAnsi="Times New Roman"/>
          <w:b/>
          <w:sz w:val="24"/>
          <w:szCs w:val="24"/>
        </w:rPr>
        <w:t>Phụ</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lục</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số</w:t>
      </w:r>
      <w:proofErr w:type="spellEnd"/>
      <w:r w:rsidRPr="00F95AFC">
        <w:rPr>
          <w:rFonts w:ascii="Times New Roman" w:hAnsi="Times New Roman"/>
          <w:b/>
          <w:sz w:val="24"/>
          <w:szCs w:val="24"/>
        </w:rPr>
        <w:t xml:space="preserve"> 2</w:t>
      </w:r>
      <w:bookmarkEnd w:id="0"/>
      <w:r w:rsidR="00351EEF" w:rsidRPr="00F95AFC">
        <w:rPr>
          <w:rFonts w:ascii="Times New Roman" w:hAnsi="Times New Roman"/>
          <w:b/>
          <w:sz w:val="24"/>
          <w:szCs w:val="24"/>
        </w:rPr>
        <w:t>5</w:t>
      </w:r>
    </w:p>
    <w:p w14:paraId="2AEF1548" w14:textId="139F19E0" w:rsidR="003F0046" w:rsidRPr="00F95AFC" w:rsidRDefault="008A0538" w:rsidP="00F95AFC">
      <w:pPr>
        <w:spacing w:before="120" w:line="360" w:lineRule="auto"/>
        <w:jc w:val="center"/>
        <w:rPr>
          <w:rFonts w:ascii="Times New Roman" w:hAnsi="Times New Roman"/>
          <w:i/>
          <w:iCs/>
          <w:color w:val="000000"/>
          <w:sz w:val="24"/>
          <w:szCs w:val="24"/>
          <w:shd w:val="clear" w:color="auto" w:fill="FFFFFF"/>
          <w:lang w:val="vi-VN"/>
        </w:rPr>
      </w:pPr>
      <w:bookmarkStart w:id="1" w:name="_Hlk78301859"/>
      <w:r w:rsidRPr="00F95AFC">
        <w:rPr>
          <w:rFonts w:ascii="Times New Roman" w:hAnsi="Times New Roman"/>
          <w:i/>
          <w:iCs/>
          <w:color w:val="000000"/>
          <w:sz w:val="24"/>
          <w:szCs w:val="24"/>
          <w:shd w:val="clear" w:color="auto" w:fill="FFFFFF"/>
          <w:lang w:val="vi-VN"/>
        </w:rPr>
        <w:t xml:space="preserve"> </w:t>
      </w:r>
      <w:r w:rsidR="00351EEF" w:rsidRPr="00F95AFC">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95AFC">
        <w:rPr>
          <w:rFonts w:ascii="Times New Roman" w:hAnsi="Times New Roman"/>
          <w:i/>
          <w:iCs/>
          <w:color w:val="000000"/>
          <w:sz w:val="24"/>
          <w:szCs w:val="24"/>
          <w:shd w:val="clear" w:color="auto" w:fill="FFFFFF"/>
        </w:rPr>
        <w:t>BTC</w:t>
      </w:r>
      <w:r w:rsidR="00351EEF" w:rsidRPr="00F95AFC">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71"/>
        <w:gridCol w:w="6040"/>
      </w:tblGrid>
      <w:tr w:rsidR="00351EEF" w:rsidRPr="00F95AFC" w14:paraId="7496B5AA" w14:textId="77777777" w:rsidTr="00F95AFC">
        <w:trPr>
          <w:trHeight w:val="1990"/>
          <w:tblCellSpacing w:w="0" w:type="dxa"/>
        </w:trPr>
        <w:tc>
          <w:tcPr>
            <w:tcW w:w="3671" w:type="dxa"/>
            <w:shd w:val="clear" w:color="auto" w:fill="FFFFFF"/>
            <w:tcMar>
              <w:top w:w="0" w:type="dxa"/>
              <w:left w:w="108" w:type="dxa"/>
              <w:bottom w:w="0" w:type="dxa"/>
              <w:right w:w="108" w:type="dxa"/>
            </w:tcMar>
            <w:hideMark/>
          </w:tcPr>
          <w:bookmarkEnd w:id="1"/>
          <w:p w14:paraId="42FE19D4" w14:textId="0EA09CC5" w:rsidR="00351EEF" w:rsidRPr="00F95AFC" w:rsidRDefault="00351EEF" w:rsidP="00F95AFC">
            <w:pPr>
              <w:spacing w:before="120" w:after="120" w:line="360" w:lineRule="auto"/>
              <w:jc w:val="center"/>
              <w:rPr>
                <w:rFonts w:ascii="Times New Roman" w:hAnsi="Times New Roman"/>
                <w:color w:val="000000"/>
                <w:sz w:val="24"/>
                <w:szCs w:val="24"/>
                <w:lang w:val="en-SG" w:eastAsia="en-SG"/>
              </w:rPr>
            </w:pPr>
            <w:r w:rsidRPr="00F95AFC">
              <w:rPr>
                <w:rFonts w:ascii="Times New Roman" w:hAnsi="Times New Roman"/>
                <w:b/>
                <w:bCs/>
                <w:color w:val="000000"/>
                <w:sz w:val="24"/>
                <w:szCs w:val="24"/>
                <w:lang w:val="vi-VN" w:eastAsia="en-SG"/>
              </w:rPr>
              <w:t>CÔNG TY</w:t>
            </w:r>
            <w:r w:rsidRPr="00F95AFC">
              <w:rPr>
                <w:rFonts w:ascii="Times New Roman" w:hAnsi="Times New Roman"/>
                <w:b/>
                <w:bCs/>
                <w:color w:val="000000"/>
                <w:sz w:val="24"/>
                <w:szCs w:val="24"/>
                <w:lang w:eastAsia="en-SG"/>
              </w:rPr>
              <w:t>TNHH MTV</w:t>
            </w:r>
            <w:r w:rsidRPr="00F95AFC">
              <w:rPr>
                <w:rFonts w:ascii="Times New Roman" w:hAnsi="Times New Roman"/>
                <w:b/>
                <w:bCs/>
                <w:color w:val="000000"/>
                <w:sz w:val="24"/>
                <w:szCs w:val="24"/>
                <w:lang w:val="vi-VN" w:eastAsia="en-SG"/>
              </w:rPr>
              <w:br/>
              <w:t>QUẢN LÝ QUỸ</w:t>
            </w:r>
            <w:r w:rsidRPr="00F95AFC">
              <w:rPr>
                <w:rFonts w:ascii="Times New Roman" w:hAnsi="Times New Roman"/>
                <w:b/>
                <w:bCs/>
                <w:color w:val="000000"/>
                <w:sz w:val="24"/>
                <w:szCs w:val="24"/>
                <w:lang w:eastAsia="en-SG"/>
              </w:rPr>
              <w:t xml:space="preserve"> CHUBB LIFE</w:t>
            </w:r>
            <w:r w:rsidRPr="00F95AFC">
              <w:rPr>
                <w:rFonts w:ascii="Times New Roman" w:hAnsi="Times New Roman"/>
                <w:b/>
                <w:bCs/>
                <w:color w:val="000000"/>
                <w:sz w:val="24"/>
                <w:szCs w:val="24"/>
                <w:lang w:val="vi-VN" w:eastAsia="en-SG"/>
              </w:rPr>
              <w:br/>
              <w:t>-------</w:t>
            </w:r>
          </w:p>
        </w:tc>
        <w:tc>
          <w:tcPr>
            <w:tcW w:w="6040" w:type="dxa"/>
            <w:shd w:val="clear" w:color="auto" w:fill="FFFFFF"/>
            <w:tcMar>
              <w:top w:w="0" w:type="dxa"/>
              <w:left w:w="108" w:type="dxa"/>
              <w:bottom w:w="0" w:type="dxa"/>
              <w:right w:w="108" w:type="dxa"/>
            </w:tcMar>
            <w:hideMark/>
          </w:tcPr>
          <w:p w14:paraId="2931BFC5" w14:textId="77777777" w:rsidR="00351EEF" w:rsidRPr="00F95AFC" w:rsidRDefault="00351EEF" w:rsidP="00F95AFC">
            <w:pPr>
              <w:spacing w:before="120" w:after="120" w:line="360" w:lineRule="auto"/>
              <w:jc w:val="center"/>
              <w:rPr>
                <w:rFonts w:ascii="Times New Roman" w:hAnsi="Times New Roman"/>
                <w:color w:val="000000"/>
                <w:sz w:val="24"/>
                <w:szCs w:val="24"/>
                <w:lang w:val="en-SG" w:eastAsia="en-SG"/>
              </w:rPr>
            </w:pPr>
            <w:r w:rsidRPr="00F95AFC">
              <w:rPr>
                <w:rFonts w:ascii="Times New Roman" w:hAnsi="Times New Roman"/>
                <w:b/>
                <w:bCs/>
                <w:color w:val="000000"/>
                <w:sz w:val="24"/>
                <w:szCs w:val="24"/>
                <w:lang w:val="vi-VN" w:eastAsia="en-SG"/>
              </w:rPr>
              <w:t>CỘNG HÒA XÃ HỘI CHỦ NGHĨA VIỆT NAM</w:t>
            </w:r>
            <w:r w:rsidRPr="00F95AFC">
              <w:rPr>
                <w:rFonts w:ascii="Times New Roman" w:hAnsi="Times New Roman"/>
                <w:b/>
                <w:bCs/>
                <w:color w:val="000000"/>
                <w:sz w:val="24"/>
                <w:szCs w:val="24"/>
                <w:lang w:val="vi-VN" w:eastAsia="en-SG"/>
              </w:rPr>
              <w:br/>
              <w:t>Độc lập - Tự do - Hạnh phúc</w:t>
            </w:r>
            <w:r w:rsidRPr="00F95AFC">
              <w:rPr>
                <w:rFonts w:ascii="Times New Roman" w:hAnsi="Times New Roman"/>
                <w:b/>
                <w:bCs/>
                <w:color w:val="000000"/>
                <w:sz w:val="24"/>
                <w:szCs w:val="24"/>
                <w:lang w:val="vi-VN" w:eastAsia="en-SG"/>
              </w:rPr>
              <w:br/>
              <w:t>---------------</w:t>
            </w:r>
          </w:p>
        </w:tc>
      </w:tr>
      <w:tr w:rsidR="00351EEF" w:rsidRPr="00F95AFC" w14:paraId="500B0529" w14:textId="77777777" w:rsidTr="00F95AFC">
        <w:trPr>
          <w:trHeight w:val="695"/>
          <w:tblCellSpacing w:w="0" w:type="dxa"/>
        </w:trPr>
        <w:tc>
          <w:tcPr>
            <w:tcW w:w="3671" w:type="dxa"/>
            <w:shd w:val="clear" w:color="auto" w:fill="FFFFFF"/>
            <w:tcMar>
              <w:top w:w="0" w:type="dxa"/>
              <w:left w:w="108" w:type="dxa"/>
              <w:bottom w:w="0" w:type="dxa"/>
              <w:right w:w="108" w:type="dxa"/>
            </w:tcMar>
            <w:hideMark/>
          </w:tcPr>
          <w:p w14:paraId="54C43770" w14:textId="373EB743" w:rsidR="00351EEF" w:rsidRPr="00F95AFC" w:rsidRDefault="00351EEF" w:rsidP="00F95AFC">
            <w:pPr>
              <w:spacing w:before="120" w:after="120" w:line="360" w:lineRule="auto"/>
              <w:jc w:val="center"/>
              <w:rPr>
                <w:rFonts w:ascii="Times New Roman" w:hAnsi="Times New Roman"/>
                <w:color w:val="000000"/>
                <w:sz w:val="24"/>
                <w:szCs w:val="24"/>
                <w:lang w:eastAsia="en-SG"/>
              </w:rPr>
            </w:pPr>
            <w:r w:rsidRPr="00F95AFC">
              <w:rPr>
                <w:rFonts w:ascii="Times New Roman" w:hAnsi="Times New Roman"/>
                <w:color w:val="000000"/>
                <w:sz w:val="24"/>
                <w:szCs w:val="24"/>
                <w:lang w:val="vi-VN" w:eastAsia="en-SG"/>
              </w:rPr>
              <w:t>Số:</w:t>
            </w:r>
            <w:r w:rsidR="00E85F49" w:rsidRPr="00F95AFC">
              <w:rPr>
                <w:rFonts w:ascii="Times New Roman" w:hAnsi="Times New Roman"/>
                <w:color w:val="000000"/>
                <w:sz w:val="24"/>
                <w:szCs w:val="24"/>
                <w:lang w:eastAsia="en-SG"/>
              </w:rPr>
              <w:t xml:space="preserve"> </w:t>
            </w:r>
            <w:r w:rsidR="00905CFF" w:rsidRPr="00F95AFC">
              <w:rPr>
                <w:rFonts w:ascii="Times New Roman" w:hAnsi="Times New Roman"/>
                <w:color w:val="000000"/>
                <w:sz w:val="24"/>
                <w:szCs w:val="24"/>
                <w:lang w:eastAsia="en-SG"/>
              </w:rPr>
              <w:t>CFMCACEN230095V</w:t>
            </w:r>
          </w:p>
        </w:tc>
        <w:tc>
          <w:tcPr>
            <w:tcW w:w="6040" w:type="dxa"/>
            <w:shd w:val="clear" w:color="auto" w:fill="FFFFFF"/>
            <w:tcMar>
              <w:top w:w="0" w:type="dxa"/>
              <w:left w:w="108" w:type="dxa"/>
              <w:bottom w:w="0" w:type="dxa"/>
              <w:right w:w="108" w:type="dxa"/>
            </w:tcMar>
            <w:hideMark/>
          </w:tcPr>
          <w:p w14:paraId="068FA71F" w14:textId="612A10AC" w:rsidR="00351EEF" w:rsidRPr="00F95AFC" w:rsidRDefault="00460248" w:rsidP="00F95AFC">
            <w:pPr>
              <w:spacing w:before="120" w:after="120" w:line="360" w:lineRule="auto"/>
              <w:jc w:val="right"/>
              <w:rPr>
                <w:rFonts w:ascii="Times New Roman" w:hAnsi="Times New Roman"/>
                <w:color w:val="000000"/>
                <w:sz w:val="24"/>
                <w:szCs w:val="24"/>
                <w:lang w:eastAsia="en-SG"/>
              </w:rPr>
            </w:pPr>
            <w:r w:rsidRPr="00F95AFC">
              <w:rPr>
                <w:rFonts w:ascii="Times New Roman" w:hAnsi="Times New Roman"/>
                <w:i/>
                <w:iCs/>
                <w:color w:val="000000"/>
                <w:sz w:val="24"/>
                <w:szCs w:val="24"/>
                <w:lang w:eastAsia="en-SG"/>
              </w:rPr>
              <w:t>TP.HCM</w:t>
            </w:r>
            <w:r w:rsidR="00351EEF" w:rsidRPr="00F95AFC">
              <w:rPr>
                <w:rFonts w:ascii="Times New Roman" w:hAnsi="Times New Roman"/>
                <w:i/>
                <w:iCs/>
                <w:color w:val="000000"/>
                <w:sz w:val="24"/>
                <w:szCs w:val="24"/>
                <w:lang w:val="vi-VN" w:eastAsia="en-SG"/>
              </w:rPr>
              <w:t xml:space="preserve">, ngày </w:t>
            </w:r>
            <w:r w:rsidR="006F0FA5">
              <w:rPr>
                <w:rFonts w:ascii="Times New Roman" w:hAnsi="Times New Roman"/>
                <w:i/>
                <w:iCs/>
                <w:color w:val="000000"/>
                <w:sz w:val="24"/>
                <w:szCs w:val="24"/>
                <w:lang w:eastAsia="en-SG"/>
              </w:rPr>
              <w:t>14</w:t>
            </w:r>
            <w:r w:rsidR="00812F6A" w:rsidRPr="00F95AFC">
              <w:rPr>
                <w:rFonts w:ascii="Times New Roman" w:hAnsi="Times New Roman"/>
                <w:i/>
                <w:iCs/>
                <w:color w:val="000000"/>
                <w:sz w:val="24"/>
                <w:szCs w:val="24"/>
                <w:lang w:eastAsia="en-SG"/>
              </w:rPr>
              <w:t xml:space="preserve"> </w:t>
            </w:r>
            <w:r w:rsidR="00351EEF" w:rsidRPr="00F95AFC">
              <w:rPr>
                <w:rFonts w:ascii="Times New Roman" w:hAnsi="Times New Roman"/>
                <w:i/>
                <w:iCs/>
                <w:color w:val="000000"/>
                <w:sz w:val="24"/>
                <w:szCs w:val="24"/>
                <w:lang w:val="vi-VN" w:eastAsia="en-SG"/>
              </w:rPr>
              <w:t xml:space="preserve">tháng </w:t>
            </w:r>
            <w:r w:rsidRPr="00F95AFC">
              <w:rPr>
                <w:rFonts w:ascii="Times New Roman" w:hAnsi="Times New Roman"/>
                <w:i/>
                <w:iCs/>
                <w:color w:val="000000"/>
                <w:sz w:val="24"/>
                <w:szCs w:val="24"/>
                <w:lang w:eastAsia="en-SG"/>
              </w:rPr>
              <w:t>08</w:t>
            </w:r>
            <w:r w:rsidR="00351EEF" w:rsidRPr="00F95AFC">
              <w:rPr>
                <w:rFonts w:ascii="Times New Roman" w:hAnsi="Times New Roman"/>
                <w:i/>
                <w:iCs/>
                <w:color w:val="000000"/>
                <w:sz w:val="24"/>
                <w:szCs w:val="24"/>
                <w:lang w:val="vi-VN" w:eastAsia="en-SG"/>
              </w:rPr>
              <w:t xml:space="preserve"> năm </w:t>
            </w:r>
            <w:r w:rsidRPr="00F95AFC">
              <w:rPr>
                <w:rFonts w:ascii="Times New Roman" w:hAnsi="Times New Roman"/>
                <w:i/>
                <w:iCs/>
                <w:color w:val="000000"/>
                <w:sz w:val="24"/>
                <w:szCs w:val="24"/>
                <w:lang w:eastAsia="en-SG"/>
              </w:rPr>
              <w:t>202</w:t>
            </w:r>
            <w:r w:rsidR="00905CFF" w:rsidRPr="00F95AFC">
              <w:rPr>
                <w:rFonts w:ascii="Times New Roman" w:hAnsi="Times New Roman"/>
                <w:i/>
                <w:iCs/>
                <w:color w:val="000000"/>
                <w:sz w:val="24"/>
                <w:szCs w:val="24"/>
                <w:lang w:eastAsia="en-SG"/>
              </w:rPr>
              <w:t>3</w:t>
            </w:r>
          </w:p>
        </w:tc>
      </w:tr>
    </w:tbl>
    <w:p w14:paraId="074AEB7B" w14:textId="29315DA8" w:rsidR="00351EEF" w:rsidRPr="00F95AFC" w:rsidRDefault="00351EEF" w:rsidP="00F95AFC">
      <w:pPr>
        <w:spacing w:before="120" w:line="360" w:lineRule="auto"/>
        <w:jc w:val="center"/>
        <w:rPr>
          <w:rFonts w:ascii="Times New Roman" w:hAnsi="Times New Roman"/>
          <w:b/>
          <w:sz w:val="28"/>
          <w:szCs w:val="28"/>
        </w:rPr>
      </w:pPr>
      <w:bookmarkStart w:id="2" w:name="_Hlk78301867"/>
      <w:r w:rsidRPr="00F95AFC">
        <w:rPr>
          <w:rFonts w:ascii="Times New Roman" w:hAnsi="Times New Roman"/>
          <w:b/>
          <w:sz w:val="28"/>
          <w:szCs w:val="28"/>
        </w:rPr>
        <w:t>BÁO CÁO</w:t>
      </w:r>
    </w:p>
    <w:p w14:paraId="65E2AE00" w14:textId="53313F5D" w:rsidR="00351EEF" w:rsidRPr="00F95AFC" w:rsidRDefault="00351EEF" w:rsidP="00F95AFC">
      <w:pPr>
        <w:spacing w:before="120" w:line="360" w:lineRule="auto"/>
        <w:jc w:val="center"/>
        <w:rPr>
          <w:rFonts w:ascii="Times New Roman" w:hAnsi="Times New Roman"/>
          <w:b/>
          <w:sz w:val="28"/>
          <w:szCs w:val="28"/>
        </w:rPr>
      </w:pPr>
      <w:r w:rsidRPr="00F95AFC">
        <w:rPr>
          <w:rFonts w:ascii="Times New Roman" w:hAnsi="Times New Roman"/>
          <w:b/>
          <w:sz w:val="28"/>
          <w:szCs w:val="28"/>
        </w:rPr>
        <w:t>TỔNG KẾT HOẠT ĐỘNG QUẢN LÝ QUỸ</w:t>
      </w:r>
    </w:p>
    <w:p w14:paraId="2358B099" w14:textId="0BC699B8" w:rsidR="00351EEF" w:rsidRPr="00F95AFC" w:rsidRDefault="00351EEF"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Bán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niên</w:t>
      </w:r>
      <w:proofErr w:type="spellEnd"/>
      <w:r w:rsidRPr="00F95AFC">
        <w:rPr>
          <w:rFonts w:ascii="Times New Roman" w:hAnsi="Times New Roman"/>
          <w:b/>
          <w:sz w:val="24"/>
          <w:szCs w:val="24"/>
        </w:rPr>
        <w:t xml:space="preserve"> 202</w:t>
      </w:r>
      <w:r w:rsidR="00905CFF" w:rsidRPr="00F95AFC">
        <w:rPr>
          <w:rFonts w:ascii="Times New Roman" w:hAnsi="Times New Roman"/>
          <w:b/>
          <w:sz w:val="24"/>
          <w:szCs w:val="24"/>
        </w:rPr>
        <w:t>3</w:t>
      </w:r>
    </w:p>
    <w:bookmarkEnd w:id="2"/>
    <w:p w14:paraId="55C9B81D" w14:textId="142F0176" w:rsidR="003F0046" w:rsidRPr="00F95AFC" w:rsidRDefault="00346023"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Kính</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gửi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Ủy</w:t>
      </w:r>
      <w:proofErr w:type="spellEnd"/>
      <w:r w:rsidRPr="00F95AFC">
        <w:rPr>
          <w:rFonts w:ascii="Times New Roman" w:hAnsi="Times New Roman"/>
          <w:b/>
          <w:sz w:val="24"/>
          <w:szCs w:val="24"/>
        </w:rPr>
        <w:t xml:space="preserve"> ban Chứng khoán </w:t>
      </w:r>
      <w:proofErr w:type="spellStart"/>
      <w:r w:rsidRPr="00F95AFC">
        <w:rPr>
          <w:rFonts w:ascii="Times New Roman" w:hAnsi="Times New Roman"/>
          <w:b/>
          <w:sz w:val="24"/>
          <w:szCs w:val="24"/>
        </w:rPr>
        <w:t>Nhà</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nước</w:t>
      </w:r>
      <w:proofErr w:type="spellEnd"/>
    </w:p>
    <w:p w14:paraId="36A90D99" w14:textId="77777777" w:rsidR="003F0046" w:rsidRPr="00F95AFC" w:rsidRDefault="003F0046" w:rsidP="00F95AFC">
      <w:pPr>
        <w:spacing w:before="120" w:line="360" w:lineRule="auto"/>
        <w:jc w:val="both"/>
        <w:rPr>
          <w:rFonts w:ascii="Times New Roman" w:hAnsi="Times New Roman"/>
          <w:b/>
          <w:sz w:val="24"/>
          <w:szCs w:val="24"/>
        </w:rPr>
      </w:pPr>
      <w:r w:rsidRPr="00F95AFC">
        <w:rPr>
          <w:rFonts w:ascii="Times New Roman" w:hAnsi="Times New Roman"/>
          <w:b/>
          <w:sz w:val="24"/>
          <w:szCs w:val="24"/>
        </w:rPr>
        <w:t xml:space="preserve">1. Thông tin </w:t>
      </w:r>
      <w:proofErr w:type="spellStart"/>
      <w:r w:rsidRPr="00F95AFC">
        <w:rPr>
          <w:rFonts w:ascii="Times New Roman" w:hAnsi="Times New Roman"/>
          <w:b/>
          <w:sz w:val="24"/>
          <w:szCs w:val="24"/>
        </w:rPr>
        <w:t>về</w:t>
      </w:r>
      <w:proofErr w:type="spellEnd"/>
      <w:r w:rsidRPr="00F95AFC">
        <w:rPr>
          <w:rFonts w:ascii="Times New Roman" w:hAnsi="Times New Roman"/>
          <w:b/>
          <w:sz w:val="24"/>
          <w:szCs w:val="24"/>
        </w:rPr>
        <w:t xml:space="preserve"> quỹ</w:t>
      </w:r>
    </w:p>
    <w:p w14:paraId="30AA5B8C" w14:textId="5E546EBD" w:rsidR="009C1BA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a) </w:t>
      </w:r>
      <w:proofErr w:type="spellStart"/>
      <w:r w:rsidR="00B4531A" w:rsidRPr="00F95AFC">
        <w:rPr>
          <w:rFonts w:ascii="Times New Roman" w:hAnsi="Times New Roman"/>
          <w:sz w:val="24"/>
          <w:szCs w:val="24"/>
        </w:rPr>
        <w:t>T</w:t>
      </w:r>
      <w:r w:rsidR="00B948CB" w:rsidRPr="00F95AFC">
        <w:rPr>
          <w:rFonts w:ascii="Times New Roman" w:hAnsi="Times New Roman"/>
          <w:sz w:val="24"/>
          <w:szCs w:val="24"/>
        </w:rPr>
        <w:t>ên</w:t>
      </w:r>
      <w:proofErr w:type="spellEnd"/>
      <w:r w:rsidR="00B948CB" w:rsidRPr="00F95AFC">
        <w:rPr>
          <w:rFonts w:ascii="Times New Roman" w:hAnsi="Times New Roman"/>
          <w:sz w:val="24"/>
          <w:szCs w:val="24"/>
        </w:rPr>
        <w:t xml:space="preserve"> </w:t>
      </w:r>
      <w:proofErr w:type="spellStart"/>
      <w:r w:rsidR="00B948CB" w:rsidRPr="00F95AFC">
        <w:rPr>
          <w:rFonts w:ascii="Times New Roman" w:hAnsi="Times New Roman"/>
          <w:sz w:val="24"/>
          <w:szCs w:val="24"/>
        </w:rPr>
        <w:t>của</w:t>
      </w:r>
      <w:proofErr w:type="spellEnd"/>
      <w:r w:rsidR="00B948CB" w:rsidRPr="00F95AFC">
        <w:rPr>
          <w:rFonts w:ascii="Times New Roman" w:hAnsi="Times New Roman"/>
          <w:sz w:val="24"/>
          <w:szCs w:val="24"/>
        </w:rPr>
        <w:t xml:space="preserve"> quỹ:</w:t>
      </w:r>
      <w:r w:rsidR="00346023" w:rsidRPr="00F95AFC">
        <w:rPr>
          <w:rFonts w:ascii="Times New Roman" w:hAnsi="Times New Roman"/>
          <w:sz w:val="24"/>
          <w:szCs w:val="24"/>
        </w:rPr>
        <w:t xml:space="preserve"> </w:t>
      </w:r>
      <w:r w:rsidR="00B948CB" w:rsidRPr="00F95AFC">
        <w:rPr>
          <w:rFonts w:ascii="Times New Roman" w:hAnsi="Times New Roman"/>
          <w:b/>
          <w:sz w:val="24"/>
          <w:szCs w:val="24"/>
        </w:rPr>
        <w:t xml:space="preserve">Quỹ </w:t>
      </w:r>
      <w:proofErr w:type="spellStart"/>
      <w:r w:rsidR="00187782" w:rsidRPr="00F95AFC">
        <w:rPr>
          <w:rFonts w:ascii="Times New Roman" w:hAnsi="Times New Roman"/>
          <w:b/>
          <w:sz w:val="24"/>
          <w:szCs w:val="24"/>
        </w:rPr>
        <w:t>Đầu</w:t>
      </w:r>
      <w:proofErr w:type="spellEnd"/>
      <w:r w:rsidR="00187782"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tư</w:t>
      </w:r>
      <w:proofErr w:type="spellEnd"/>
      <w:r w:rsidR="00187782"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T</w:t>
      </w:r>
      <w:r w:rsidR="00B948CB" w:rsidRPr="00F95AFC">
        <w:rPr>
          <w:rFonts w:ascii="Times New Roman" w:hAnsi="Times New Roman"/>
          <w:b/>
          <w:sz w:val="24"/>
          <w:szCs w:val="24"/>
        </w:rPr>
        <w:t>rái</w:t>
      </w:r>
      <w:proofErr w:type="spellEnd"/>
      <w:r w:rsidR="00B948CB" w:rsidRPr="00F95AFC">
        <w:rPr>
          <w:rFonts w:ascii="Times New Roman" w:hAnsi="Times New Roman"/>
          <w:b/>
          <w:sz w:val="24"/>
          <w:szCs w:val="24"/>
        </w:rPr>
        <w:t xml:space="preserve"> </w:t>
      </w:r>
      <w:proofErr w:type="spellStart"/>
      <w:r w:rsidR="00B948CB" w:rsidRPr="00F95AFC">
        <w:rPr>
          <w:rFonts w:ascii="Times New Roman" w:hAnsi="Times New Roman"/>
          <w:b/>
          <w:sz w:val="24"/>
          <w:szCs w:val="24"/>
        </w:rPr>
        <w:t>phiếu</w:t>
      </w:r>
      <w:proofErr w:type="spellEnd"/>
      <w:r w:rsidR="00B948CB"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M</w:t>
      </w:r>
      <w:r w:rsidR="00B948CB" w:rsidRPr="00F95AFC">
        <w:rPr>
          <w:rFonts w:ascii="Times New Roman" w:hAnsi="Times New Roman"/>
          <w:b/>
          <w:sz w:val="24"/>
          <w:szCs w:val="24"/>
        </w:rPr>
        <w:t>ở</w:t>
      </w:r>
      <w:proofErr w:type="spellEnd"/>
      <w:r w:rsidR="00B948CB" w:rsidRPr="00F95AFC">
        <w:rPr>
          <w:rFonts w:ascii="Times New Roman" w:hAnsi="Times New Roman"/>
          <w:b/>
          <w:sz w:val="24"/>
          <w:szCs w:val="24"/>
        </w:rPr>
        <w:t xml:space="preserve"> </w:t>
      </w:r>
      <w:proofErr w:type="spellStart"/>
      <w:r w:rsidR="00B948CB" w:rsidRPr="00F95AFC">
        <w:rPr>
          <w:rFonts w:ascii="Times New Roman" w:hAnsi="Times New Roman"/>
          <w:b/>
          <w:sz w:val="24"/>
          <w:szCs w:val="24"/>
        </w:rPr>
        <w:t>rộ</w:t>
      </w:r>
      <w:r w:rsidR="00B4531A" w:rsidRPr="00F95AFC">
        <w:rPr>
          <w:rFonts w:ascii="Times New Roman" w:hAnsi="Times New Roman"/>
          <w:b/>
          <w:sz w:val="24"/>
          <w:szCs w:val="24"/>
        </w:rPr>
        <w:t>ng</w:t>
      </w:r>
      <w:proofErr w:type="spellEnd"/>
      <w:r w:rsidR="00B4531A" w:rsidRPr="00F95AFC">
        <w:rPr>
          <w:rFonts w:ascii="Times New Roman" w:hAnsi="Times New Roman"/>
          <w:b/>
          <w:sz w:val="24"/>
          <w:szCs w:val="24"/>
        </w:rPr>
        <w:t xml:space="preserve"> Chubb </w:t>
      </w:r>
      <w:r w:rsidR="000460E7" w:rsidRPr="00F95AFC">
        <w:rPr>
          <w:rFonts w:ascii="Times New Roman" w:hAnsi="Times New Roman"/>
          <w:b/>
          <w:sz w:val="24"/>
          <w:szCs w:val="24"/>
        </w:rPr>
        <w:t>(CBPF)</w:t>
      </w:r>
      <w:r w:rsidR="00B4531A" w:rsidRPr="00F95AFC">
        <w:rPr>
          <w:rFonts w:ascii="Times New Roman" w:hAnsi="Times New Roman"/>
          <w:sz w:val="24"/>
          <w:szCs w:val="24"/>
        </w:rPr>
        <w:t xml:space="preserve">           </w:t>
      </w:r>
      <w:r w:rsidR="00B948CB" w:rsidRPr="00F95AFC">
        <w:rPr>
          <w:rFonts w:ascii="Times New Roman" w:hAnsi="Times New Roman"/>
          <w:sz w:val="24"/>
          <w:szCs w:val="24"/>
        </w:rPr>
        <w:t xml:space="preserve">            </w:t>
      </w:r>
      <w:r w:rsidR="00B4531A" w:rsidRPr="00F95AFC">
        <w:rPr>
          <w:rFonts w:ascii="Times New Roman" w:hAnsi="Times New Roman"/>
          <w:sz w:val="24"/>
          <w:szCs w:val="24"/>
        </w:rPr>
        <w:t xml:space="preserve">   </w:t>
      </w:r>
    </w:p>
    <w:p w14:paraId="5C8693F0" w14:textId="77777777" w:rsidR="009C1BA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00B4531A" w:rsidRPr="00F95AFC">
        <w:rPr>
          <w:rFonts w:ascii="Times New Roman" w:hAnsi="Times New Roman"/>
          <w:sz w:val="24"/>
          <w:szCs w:val="24"/>
        </w:rPr>
        <w:t xml:space="preserve">quỹ: </w:t>
      </w:r>
    </w:p>
    <w:p w14:paraId="31E64CDC" w14:textId="305E9120" w:rsidR="009C1BA6" w:rsidRPr="00F95AFC" w:rsidRDefault="009C1BA6" w:rsidP="00F95AFC">
      <w:pPr>
        <w:pStyle w:val="Default"/>
        <w:keepNext/>
        <w:spacing w:before="120" w:after="120" w:line="360" w:lineRule="auto"/>
        <w:jc w:val="both"/>
        <w:rPr>
          <w:lang w:val="vi-VN"/>
        </w:rPr>
      </w:pPr>
      <w:r w:rsidRPr="00F95AFC">
        <w:rPr>
          <w:lang w:val="vi-VN"/>
        </w:rPr>
        <w:t>Mục tiêu đầu tư của Quỹ là tối đa hóa lợi nhuận đồng thời bảo toàn vốn cho Nhà Đầu tư thông qua việc đầu tư vào các tài sản có thu nhập cố định</w:t>
      </w:r>
      <w:r w:rsidR="00D145A0" w:rsidRPr="00F95AFC">
        <w:t>,</w:t>
      </w:r>
      <w:r w:rsidRPr="00F95AFC">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4E79C47E"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c) Thời hạn hoạt động của </w:t>
      </w:r>
      <w:r w:rsidR="001E3198" w:rsidRPr="00F95AFC">
        <w:rPr>
          <w:rFonts w:ascii="Times New Roman" w:hAnsi="Times New Roman"/>
          <w:sz w:val="24"/>
          <w:szCs w:val="24"/>
          <w:lang w:val="vi-VN"/>
        </w:rPr>
        <w:t>quỹ</w:t>
      </w:r>
      <w:r w:rsidR="00B4531A" w:rsidRPr="00F95AFC">
        <w:rPr>
          <w:rFonts w:ascii="Times New Roman" w:hAnsi="Times New Roman"/>
          <w:sz w:val="24"/>
          <w:szCs w:val="24"/>
          <w:lang w:val="vi-VN"/>
        </w:rPr>
        <w:t xml:space="preserve">: </w:t>
      </w:r>
      <w:r w:rsidR="00576849" w:rsidRPr="00F95AFC">
        <w:rPr>
          <w:rFonts w:ascii="Times New Roman" w:hAnsi="Times New Roman"/>
          <w:color w:val="000000"/>
          <w:sz w:val="24"/>
          <w:szCs w:val="24"/>
          <w:lang w:val="vi-VN"/>
        </w:rPr>
        <w:t>Quỹ không giới hạn về thời gian hoạt động</w:t>
      </w:r>
    </w:p>
    <w:p w14:paraId="2BA3B2FA" w14:textId="3255DE3B"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d) Danh mục tham chiếu </w:t>
      </w:r>
      <w:r w:rsidR="008F4856" w:rsidRPr="00F95AFC">
        <w:rPr>
          <w:rFonts w:ascii="Times New Roman" w:hAnsi="Times New Roman"/>
          <w:sz w:val="24"/>
          <w:szCs w:val="24"/>
          <w:lang w:val="vi-VN"/>
        </w:rPr>
        <w:t>(benchmark portfolio)</w:t>
      </w:r>
      <w:r w:rsidR="00B4531A" w:rsidRPr="00F95AFC">
        <w:rPr>
          <w:rFonts w:ascii="Times New Roman" w:hAnsi="Times New Roman"/>
          <w:sz w:val="24"/>
          <w:szCs w:val="24"/>
          <w:lang w:val="vi-VN"/>
        </w:rPr>
        <w:t xml:space="preserve"> : Không </w:t>
      </w:r>
      <w:r w:rsidR="0008061C" w:rsidRPr="00F95AFC">
        <w:rPr>
          <w:rFonts w:ascii="Times New Roman" w:hAnsi="Times New Roman"/>
          <w:sz w:val="24"/>
          <w:szCs w:val="24"/>
          <w:lang w:val="vi-VN"/>
        </w:rPr>
        <w:t>áp dụng</w:t>
      </w:r>
    </w:p>
    <w:p w14:paraId="4215E42E" w14:textId="3219357C"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e) Chính sách phân </w:t>
      </w:r>
      <w:r w:rsidR="00B4531A" w:rsidRPr="00F95AFC">
        <w:rPr>
          <w:rFonts w:ascii="Times New Roman" w:hAnsi="Times New Roman"/>
          <w:sz w:val="24"/>
          <w:szCs w:val="24"/>
          <w:lang w:val="vi-VN"/>
        </w:rPr>
        <w:t xml:space="preserve">chia lợi nhuận: </w:t>
      </w:r>
      <w:r w:rsidR="00333F89" w:rsidRPr="00F95AFC">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30A7E3AF"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f) Số lượng đơn vị quỹ đang </w:t>
      </w:r>
      <w:r w:rsidR="00B4531A" w:rsidRPr="00F95AFC">
        <w:rPr>
          <w:rFonts w:ascii="Times New Roman" w:hAnsi="Times New Roman"/>
          <w:sz w:val="24"/>
          <w:szCs w:val="24"/>
          <w:lang w:val="vi-VN"/>
        </w:rPr>
        <w:t>lưu hành:</w:t>
      </w:r>
      <w:r w:rsidR="00B62781" w:rsidRPr="00F95AFC">
        <w:rPr>
          <w:rFonts w:ascii="Times New Roman" w:hAnsi="Times New Roman"/>
          <w:sz w:val="24"/>
          <w:szCs w:val="24"/>
          <w:lang w:val="vi-VN"/>
        </w:rPr>
        <w:t xml:space="preserve">  </w:t>
      </w:r>
      <w:r w:rsidR="00D3707E" w:rsidRPr="006F0FA5">
        <w:rPr>
          <w:rFonts w:ascii="Times New Roman" w:hAnsi="Times New Roman"/>
          <w:sz w:val="24"/>
          <w:szCs w:val="24"/>
          <w:lang w:val="nl-NL"/>
        </w:rPr>
        <w:t>9.994.419,08</w:t>
      </w:r>
      <w:r w:rsidR="00D3707E" w:rsidRPr="00F95AFC">
        <w:rPr>
          <w:rFonts w:ascii="Times New Roman" w:hAnsi="Times New Roman"/>
          <w:sz w:val="24"/>
          <w:szCs w:val="24"/>
          <w:lang w:val="nl-NL"/>
        </w:rPr>
        <w:t xml:space="preserve"> </w:t>
      </w:r>
      <w:r w:rsidR="00B62781" w:rsidRPr="00F95AFC">
        <w:rPr>
          <w:rFonts w:ascii="Times New Roman" w:hAnsi="Times New Roman"/>
          <w:sz w:val="24"/>
          <w:szCs w:val="24"/>
          <w:lang w:val="vi-VN"/>
        </w:rPr>
        <w:t>đơn vị quỹ</w:t>
      </w:r>
    </w:p>
    <w:p w14:paraId="053E5BE3" w14:textId="6A8D30CA" w:rsidR="006641CC"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lang w:val="vi-VN"/>
        </w:rPr>
        <w:t>g) Nội dung thay đổi t</w:t>
      </w:r>
      <w:r w:rsidR="00375101" w:rsidRPr="00F95AFC">
        <w:rPr>
          <w:rFonts w:ascii="Times New Roman" w:hAnsi="Times New Roman"/>
          <w:sz w:val="24"/>
          <w:szCs w:val="24"/>
          <w:lang w:val="vi-VN"/>
        </w:rPr>
        <w:t>ại Điều lệ Quỹ trong kỳ báo cáo</w:t>
      </w:r>
      <w:r w:rsidR="00B62781" w:rsidRPr="00F95AFC">
        <w:rPr>
          <w:rFonts w:ascii="Times New Roman" w:hAnsi="Times New Roman"/>
          <w:sz w:val="24"/>
          <w:szCs w:val="24"/>
          <w:lang w:val="vi-VN"/>
        </w:rPr>
        <w:t xml:space="preserve">: </w:t>
      </w:r>
      <w:proofErr w:type="spellStart"/>
      <w:r w:rsidR="00D3707E" w:rsidRPr="00F95AFC">
        <w:rPr>
          <w:rFonts w:ascii="Times New Roman" w:hAnsi="Times New Roman"/>
          <w:sz w:val="24"/>
          <w:szCs w:val="24"/>
        </w:rPr>
        <w:t>Không</w:t>
      </w:r>
      <w:proofErr w:type="spellEnd"/>
    </w:p>
    <w:p w14:paraId="2FDA00DF" w14:textId="7A31FAA3" w:rsidR="00F32A3D"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h) Nội dung Nghị quyết Đại hội nhà đ</w:t>
      </w:r>
      <w:r w:rsidR="00375101" w:rsidRPr="00F95AFC">
        <w:rPr>
          <w:rFonts w:ascii="Times New Roman" w:hAnsi="Times New Roman"/>
          <w:sz w:val="24"/>
          <w:szCs w:val="24"/>
          <w:lang w:val="vi-VN"/>
        </w:rPr>
        <w:t>ầu tư trong kỳ báo cáo</w:t>
      </w:r>
      <w:r w:rsidR="00B62781" w:rsidRPr="00F95AFC">
        <w:rPr>
          <w:rFonts w:ascii="Times New Roman" w:hAnsi="Times New Roman"/>
          <w:sz w:val="24"/>
          <w:szCs w:val="24"/>
          <w:lang w:val="vi-VN"/>
        </w:rPr>
        <w:t xml:space="preserve">: </w:t>
      </w:r>
      <w:r w:rsidR="000435CC" w:rsidRPr="00F95AFC">
        <w:rPr>
          <w:rFonts w:ascii="Times New Roman" w:hAnsi="Times New Roman"/>
          <w:sz w:val="24"/>
          <w:szCs w:val="24"/>
          <w:lang w:val="vi-VN"/>
        </w:rPr>
        <w:t>Công ty Quản lý Quỹ</w:t>
      </w:r>
      <w:r w:rsidR="006D5D37" w:rsidRPr="00F95AFC">
        <w:rPr>
          <w:rFonts w:ascii="Times New Roman" w:hAnsi="Times New Roman"/>
          <w:sz w:val="24"/>
          <w:szCs w:val="24"/>
          <w:lang w:val="vi-VN"/>
        </w:rPr>
        <w:t xml:space="preserve"> </w:t>
      </w:r>
      <w:r w:rsidR="00F32A3D" w:rsidRPr="00F95AFC">
        <w:rPr>
          <w:rFonts w:ascii="Times New Roman" w:hAnsi="Times New Roman"/>
          <w:sz w:val="24"/>
          <w:szCs w:val="24"/>
          <w:lang w:val="vi-VN"/>
        </w:rPr>
        <w:t xml:space="preserve">thực hiện tổ chức Đại hội Nhà đầu tư </w:t>
      </w:r>
      <w:r w:rsidR="004A72DE" w:rsidRPr="00F95AFC">
        <w:rPr>
          <w:rFonts w:ascii="Times New Roman" w:hAnsi="Times New Roman"/>
          <w:sz w:val="24"/>
          <w:szCs w:val="24"/>
          <w:lang w:val="vi-VN"/>
        </w:rPr>
        <w:t>năm 20</w:t>
      </w:r>
      <w:r w:rsidR="00EA1149" w:rsidRPr="00F95AFC">
        <w:rPr>
          <w:rFonts w:ascii="Times New Roman" w:hAnsi="Times New Roman"/>
          <w:sz w:val="24"/>
          <w:szCs w:val="24"/>
        </w:rPr>
        <w:t>2</w:t>
      </w:r>
      <w:r w:rsidR="00D3707E" w:rsidRPr="00F95AFC">
        <w:rPr>
          <w:rFonts w:ascii="Times New Roman" w:hAnsi="Times New Roman"/>
          <w:sz w:val="24"/>
          <w:szCs w:val="24"/>
        </w:rPr>
        <w:t>2</w:t>
      </w:r>
      <w:r w:rsidR="004A72DE" w:rsidRPr="00F95AFC">
        <w:rPr>
          <w:rFonts w:ascii="Times New Roman" w:hAnsi="Times New Roman"/>
          <w:sz w:val="24"/>
          <w:szCs w:val="24"/>
          <w:lang w:val="vi-VN"/>
        </w:rPr>
        <w:t xml:space="preserve"> </w:t>
      </w:r>
      <w:r w:rsidR="00F5320A" w:rsidRPr="00F95AFC">
        <w:rPr>
          <w:rFonts w:ascii="Times New Roman" w:hAnsi="Times New Roman"/>
          <w:sz w:val="24"/>
          <w:szCs w:val="24"/>
          <w:lang w:val="vi-VN"/>
        </w:rPr>
        <w:t>với các nội dung được thông qua như</w:t>
      </w:r>
      <w:r w:rsidR="00F32A3D" w:rsidRPr="00F95AFC">
        <w:rPr>
          <w:rFonts w:ascii="Times New Roman" w:hAnsi="Times New Roman"/>
          <w:sz w:val="24"/>
          <w:szCs w:val="24"/>
          <w:lang w:val="vi-VN"/>
        </w:rPr>
        <w:t xml:space="preserve"> sau:</w:t>
      </w:r>
    </w:p>
    <w:p w14:paraId="6A6949C1" w14:textId="77777777" w:rsidR="0031547D" w:rsidRPr="00F95AFC" w:rsidRDefault="0031547D" w:rsidP="00F95AFC">
      <w:pPr>
        <w:spacing w:before="120" w:line="360" w:lineRule="auto"/>
        <w:jc w:val="both"/>
        <w:rPr>
          <w:rFonts w:ascii="Times New Roman" w:hAnsi="Times New Roman"/>
          <w:sz w:val="24"/>
          <w:szCs w:val="24"/>
          <w:lang w:val="vi-VN"/>
        </w:rPr>
      </w:pPr>
    </w:p>
    <w:p w14:paraId="7D8E9316" w14:textId="06654433" w:rsidR="00D3707E" w:rsidRPr="00F95AFC" w:rsidRDefault="00D3707E" w:rsidP="00F95AFC">
      <w:pPr>
        <w:pStyle w:val="ListParagraph"/>
        <w:numPr>
          <w:ilvl w:val="0"/>
          <w:numId w:val="39"/>
        </w:numPr>
        <w:tabs>
          <w:tab w:val="left" w:pos="1080"/>
        </w:tabs>
        <w:spacing w:line="360" w:lineRule="auto"/>
        <w:jc w:val="both"/>
        <w:rPr>
          <w:rFonts w:eastAsiaTheme="minorEastAsia"/>
          <w:b w:val="0"/>
          <w:bCs/>
          <w:iCs/>
        </w:rPr>
      </w:pPr>
      <w:bookmarkStart w:id="3" w:name="_Hlk97301532"/>
      <w:bookmarkStart w:id="4" w:name="_Hlk33090484"/>
      <w:bookmarkStart w:id="5" w:name="_Hlk35889701"/>
      <w:r w:rsidRPr="00F95AFC">
        <w:rPr>
          <w:rFonts w:eastAsiaTheme="minorEastAsia"/>
          <w:b w:val="0"/>
          <w:bCs/>
          <w:iCs/>
        </w:rPr>
        <w:t xml:space="preserve">Thông qua </w:t>
      </w:r>
      <w:proofErr w:type="spellStart"/>
      <w:r w:rsidRPr="00F95AFC">
        <w:rPr>
          <w:rFonts w:eastAsiaTheme="minorEastAsia"/>
          <w:b w:val="0"/>
          <w:bCs/>
          <w:iCs/>
        </w:rPr>
        <w:t>Báo</w:t>
      </w:r>
      <w:proofErr w:type="spellEnd"/>
      <w:r w:rsidRPr="00F95AFC">
        <w:rPr>
          <w:rFonts w:eastAsiaTheme="minorEastAsia"/>
          <w:b w:val="0"/>
          <w:bCs/>
          <w:iCs/>
        </w:rPr>
        <w:t xml:space="preserve"> </w:t>
      </w:r>
      <w:proofErr w:type="spellStart"/>
      <w:r w:rsidRPr="00F95AFC">
        <w:rPr>
          <w:rFonts w:eastAsiaTheme="minorEastAsia"/>
          <w:b w:val="0"/>
          <w:bCs/>
          <w:iCs/>
        </w:rPr>
        <w:t>cáo</w:t>
      </w:r>
      <w:proofErr w:type="spellEnd"/>
      <w:r w:rsidRPr="00F95AFC">
        <w:rPr>
          <w:rFonts w:eastAsiaTheme="minorEastAsia"/>
          <w:b w:val="0"/>
          <w:bCs/>
          <w:iCs/>
        </w:rPr>
        <w:t xml:space="preserve"> </w:t>
      </w:r>
      <w:proofErr w:type="spellStart"/>
      <w:r w:rsidRPr="00F95AFC">
        <w:rPr>
          <w:rFonts w:eastAsiaTheme="minorEastAsia"/>
          <w:b w:val="0"/>
          <w:bCs/>
          <w:iCs/>
        </w:rPr>
        <w:t>kết</w:t>
      </w:r>
      <w:proofErr w:type="spellEnd"/>
      <w:r w:rsidRPr="00F95AFC">
        <w:rPr>
          <w:rFonts w:eastAsiaTheme="minorEastAsia"/>
          <w:b w:val="0"/>
          <w:bCs/>
          <w:iCs/>
        </w:rPr>
        <w:t xml:space="preserve"> </w:t>
      </w:r>
      <w:proofErr w:type="spellStart"/>
      <w:r w:rsidRPr="00F95AFC">
        <w:rPr>
          <w:rFonts w:eastAsiaTheme="minorEastAsia"/>
          <w:b w:val="0"/>
          <w:bCs/>
          <w:iCs/>
        </w:rPr>
        <w:t>quả</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bookmarkEnd w:id="3"/>
      <w:bookmarkEnd w:id="4"/>
      <w:r w:rsidRPr="00F95AFC">
        <w:rPr>
          <w:rFonts w:eastAsiaTheme="minorEastAsia"/>
          <w:b w:val="0"/>
          <w:bCs/>
          <w:iCs/>
        </w:rPr>
        <w:t>2.</w:t>
      </w:r>
    </w:p>
    <w:p w14:paraId="5DDD6CA3" w14:textId="7D845DE9" w:rsidR="00D3707E" w:rsidRPr="00F95AFC" w:rsidRDefault="00D3707E" w:rsidP="00F95AFC">
      <w:pPr>
        <w:pStyle w:val="ListParagraph"/>
        <w:numPr>
          <w:ilvl w:val="0"/>
          <w:numId w:val="39"/>
        </w:numPr>
        <w:tabs>
          <w:tab w:val="left" w:pos="1080"/>
        </w:tabs>
        <w:spacing w:line="360" w:lineRule="auto"/>
        <w:jc w:val="both"/>
        <w:rPr>
          <w:rFonts w:eastAsiaTheme="minorEastAsia"/>
          <w:b w:val="0"/>
          <w:bCs/>
          <w:iCs/>
        </w:rPr>
      </w:pPr>
      <w:bookmarkStart w:id="6" w:name="_Hlk35889502"/>
      <w:r w:rsidRPr="00F95AFC">
        <w:rPr>
          <w:rFonts w:eastAsiaTheme="minorEastAsia"/>
          <w:b w:val="0"/>
          <w:bCs/>
          <w:iCs/>
        </w:rPr>
        <w:t xml:space="preserve">Thông qua </w:t>
      </w:r>
      <w:proofErr w:type="spellStart"/>
      <w:r w:rsidRPr="00F95AFC">
        <w:rPr>
          <w:rFonts w:eastAsiaTheme="minorEastAsia"/>
          <w:b w:val="0"/>
          <w:bCs/>
          <w:iCs/>
        </w:rPr>
        <w:t>Báo</w:t>
      </w:r>
      <w:proofErr w:type="spellEnd"/>
      <w:r w:rsidRPr="00F95AFC">
        <w:rPr>
          <w:rFonts w:eastAsiaTheme="minorEastAsia"/>
          <w:b w:val="0"/>
          <w:bCs/>
          <w:iCs/>
        </w:rPr>
        <w:t xml:space="preserve"> </w:t>
      </w:r>
      <w:proofErr w:type="spellStart"/>
      <w:r w:rsidRPr="00F95AFC">
        <w:rPr>
          <w:rFonts w:eastAsiaTheme="minorEastAsia"/>
          <w:b w:val="0"/>
          <w:bCs/>
          <w:iCs/>
        </w:rPr>
        <w:t>cáo</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w:t>
      </w:r>
      <w:proofErr w:type="spellStart"/>
      <w:r w:rsidRPr="00F95AFC">
        <w:rPr>
          <w:rFonts w:eastAsiaTheme="minorEastAsia"/>
          <w:b w:val="0"/>
          <w:bCs/>
          <w:iCs/>
        </w:rPr>
        <w:t>năm</w:t>
      </w:r>
      <w:proofErr w:type="spellEnd"/>
      <w:r w:rsidRPr="00F95AFC">
        <w:rPr>
          <w:rFonts w:eastAsiaTheme="minorEastAsia"/>
          <w:b w:val="0"/>
          <w:bCs/>
          <w:iCs/>
        </w:rPr>
        <w:t xml:space="preserve"> 2022 đã </w:t>
      </w:r>
      <w:proofErr w:type="spellStart"/>
      <w:r w:rsidRPr="00F95AFC">
        <w:rPr>
          <w:rFonts w:eastAsiaTheme="minorEastAsia"/>
          <w:b w:val="0"/>
          <w:bCs/>
          <w:iCs/>
        </w:rPr>
        <w:t>kiểm</w:t>
      </w:r>
      <w:proofErr w:type="spellEnd"/>
      <w:r w:rsidRPr="00F95AFC">
        <w:rPr>
          <w:rFonts w:eastAsiaTheme="minorEastAsia"/>
          <w:b w:val="0"/>
          <w:bCs/>
          <w:iCs/>
        </w:rPr>
        <w:t xml:space="preserve"> </w:t>
      </w:r>
      <w:proofErr w:type="spellStart"/>
      <w:r w:rsidRPr="00F95AFC">
        <w:rPr>
          <w:rFonts w:eastAsiaTheme="minorEastAsia"/>
          <w:b w:val="0"/>
          <w:bCs/>
          <w:iCs/>
        </w:rPr>
        <w:t>toán</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w:t>
      </w:r>
      <w:bookmarkEnd w:id="6"/>
    </w:p>
    <w:p w14:paraId="40F89367" w14:textId="406E1503" w:rsidR="00D3707E" w:rsidRPr="00F95AFC" w:rsidRDefault="00D3707E" w:rsidP="00F95AFC">
      <w:pPr>
        <w:pStyle w:val="ListParagraph"/>
        <w:numPr>
          <w:ilvl w:val="0"/>
          <w:numId w:val="39"/>
        </w:numPr>
        <w:tabs>
          <w:tab w:val="left" w:pos="1080"/>
        </w:tabs>
        <w:spacing w:line="360" w:lineRule="auto"/>
        <w:jc w:val="both"/>
        <w:rPr>
          <w:rFonts w:eastAsiaTheme="minorEastAsia"/>
          <w:b w:val="0"/>
          <w:bCs/>
          <w:iCs/>
        </w:rPr>
      </w:pPr>
      <w:bookmarkStart w:id="7" w:name="_Hlk35889594"/>
      <w:r w:rsidRPr="00F95AFC">
        <w:rPr>
          <w:rFonts w:eastAsiaTheme="minorEastAsia"/>
          <w:b w:val="0"/>
          <w:bCs/>
          <w:iCs/>
        </w:rPr>
        <w:t xml:space="preserve">Thông qua Phương </w:t>
      </w:r>
      <w:proofErr w:type="spellStart"/>
      <w:r w:rsidRPr="00F95AFC">
        <w:rPr>
          <w:rFonts w:eastAsiaTheme="minorEastAsia"/>
          <w:b w:val="0"/>
          <w:bCs/>
          <w:iCs/>
        </w:rPr>
        <w:t>án</w:t>
      </w:r>
      <w:proofErr w:type="spellEnd"/>
      <w:r w:rsidRPr="00F95AFC">
        <w:rPr>
          <w:rFonts w:eastAsiaTheme="minorEastAsia"/>
          <w:b w:val="0"/>
          <w:bCs/>
          <w:iCs/>
        </w:rPr>
        <w:t xml:space="preserve"> </w:t>
      </w:r>
      <w:proofErr w:type="spellStart"/>
      <w:r w:rsidRPr="00F95AFC">
        <w:rPr>
          <w:rFonts w:eastAsiaTheme="minorEastAsia"/>
          <w:b w:val="0"/>
          <w:bCs/>
          <w:iCs/>
        </w:rPr>
        <w:t>phân</w:t>
      </w:r>
      <w:proofErr w:type="spellEnd"/>
      <w:r w:rsidRPr="00F95AFC">
        <w:rPr>
          <w:rFonts w:eastAsiaTheme="minorEastAsia"/>
          <w:b w:val="0"/>
          <w:bCs/>
          <w:iCs/>
        </w:rPr>
        <w:t xml:space="preserve"> </w:t>
      </w:r>
      <w:proofErr w:type="spellStart"/>
      <w:r w:rsidRPr="00F95AFC">
        <w:rPr>
          <w:rFonts w:eastAsiaTheme="minorEastAsia"/>
          <w:b w:val="0"/>
          <w:bCs/>
          <w:iCs/>
        </w:rPr>
        <w:t>phối</w:t>
      </w:r>
      <w:proofErr w:type="spellEnd"/>
      <w:r w:rsidRPr="00F95AFC">
        <w:rPr>
          <w:rFonts w:eastAsiaTheme="minorEastAsia"/>
          <w:b w:val="0"/>
          <w:bCs/>
          <w:iCs/>
        </w:rPr>
        <w:t xml:space="preserve"> </w:t>
      </w:r>
      <w:proofErr w:type="spellStart"/>
      <w:r w:rsidRPr="00F95AFC">
        <w:rPr>
          <w:rFonts w:eastAsiaTheme="minorEastAsia"/>
          <w:b w:val="0"/>
          <w:bCs/>
          <w:iCs/>
        </w:rPr>
        <w:t>lợi</w:t>
      </w:r>
      <w:proofErr w:type="spellEnd"/>
      <w:r w:rsidRPr="00F95AFC">
        <w:rPr>
          <w:rFonts w:eastAsiaTheme="minorEastAsia"/>
          <w:b w:val="0"/>
          <w:bCs/>
          <w:iCs/>
        </w:rPr>
        <w:t xml:space="preserve"> </w:t>
      </w:r>
      <w:proofErr w:type="spellStart"/>
      <w:r w:rsidRPr="00F95AFC">
        <w:rPr>
          <w:rFonts w:eastAsiaTheme="minorEastAsia"/>
          <w:b w:val="0"/>
          <w:bCs/>
          <w:iCs/>
        </w:rPr>
        <w:t>nhuận</w:t>
      </w:r>
      <w:proofErr w:type="spellEnd"/>
      <w:r w:rsidRPr="00F95AFC">
        <w:rPr>
          <w:rFonts w:eastAsiaTheme="minorEastAsia"/>
          <w:b w:val="0"/>
          <w:bCs/>
          <w:iCs/>
        </w:rPr>
        <w:t xml:space="preserve">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2022 </w:t>
      </w:r>
      <w:proofErr w:type="spellStart"/>
      <w:r w:rsidRPr="00F95AFC">
        <w:rPr>
          <w:rFonts w:eastAsiaTheme="minorEastAsia"/>
          <w:b w:val="0"/>
          <w:bCs/>
          <w:iCs/>
        </w:rPr>
        <w:t>của</w:t>
      </w:r>
      <w:proofErr w:type="spellEnd"/>
      <w:r w:rsidRPr="00F95AFC">
        <w:rPr>
          <w:rFonts w:eastAsiaTheme="minorEastAsia"/>
          <w:b w:val="0"/>
          <w:bCs/>
          <w:iCs/>
        </w:rPr>
        <w:t xml:space="preserve"> Quỹ, chi </w:t>
      </w:r>
      <w:proofErr w:type="spellStart"/>
      <w:r w:rsidRPr="00F95AFC">
        <w:rPr>
          <w:rFonts w:eastAsiaTheme="minorEastAsia"/>
          <w:b w:val="0"/>
          <w:bCs/>
          <w:iCs/>
        </w:rPr>
        <w:t>tiết</w:t>
      </w:r>
      <w:proofErr w:type="spellEnd"/>
      <w:r w:rsidRPr="00F95AFC">
        <w:rPr>
          <w:rFonts w:eastAsiaTheme="minorEastAsia"/>
          <w:b w:val="0"/>
          <w:bCs/>
          <w:iCs/>
        </w:rPr>
        <w:t xml:space="preserve"> </w:t>
      </w:r>
      <w:proofErr w:type="spellStart"/>
      <w:r w:rsidRPr="00F95AFC">
        <w:rPr>
          <w:rFonts w:eastAsiaTheme="minorEastAsia"/>
          <w:b w:val="0"/>
          <w:bCs/>
          <w:iCs/>
        </w:rPr>
        <w:t>như</w:t>
      </w:r>
      <w:proofErr w:type="spellEnd"/>
      <w:r w:rsidRPr="00F95AFC">
        <w:rPr>
          <w:rFonts w:eastAsiaTheme="minorEastAsia"/>
          <w:b w:val="0"/>
          <w:bCs/>
          <w:iCs/>
        </w:rPr>
        <w:t xml:space="preserve"> </w:t>
      </w:r>
      <w:proofErr w:type="spellStart"/>
      <w:r w:rsidRPr="00F95AFC">
        <w:rPr>
          <w:rFonts w:eastAsiaTheme="minorEastAsia"/>
          <w:b w:val="0"/>
          <w:bCs/>
          <w:iCs/>
        </w:rPr>
        <w:t>sau</w:t>
      </w:r>
      <w:proofErr w:type="spellEnd"/>
      <w:r w:rsidRPr="00F95AFC">
        <w:rPr>
          <w:rFonts w:eastAsiaTheme="minorEastAsia"/>
          <w:b w:val="0"/>
          <w:bCs/>
          <w:iCs/>
        </w:rPr>
        <w:t xml:space="preserve">: </w:t>
      </w:r>
    </w:p>
    <w:p w14:paraId="5C448161" w14:textId="3FAEB140" w:rsidR="00D3707E" w:rsidRPr="00F95AFC" w:rsidRDefault="0031547D" w:rsidP="00F95AFC">
      <w:pPr>
        <w:tabs>
          <w:tab w:val="left" w:pos="720"/>
        </w:tabs>
        <w:spacing w:line="360" w:lineRule="auto"/>
        <w:ind w:left="720" w:hanging="360"/>
        <w:jc w:val="both"/>
        <w:rPr>
          <w:rFonts w:ascii="Times New Roman" w:eastAsiaTheme="minorEastAsia" w:hAnsi="Times New Roman"/>
          <w:bCs/>
          <w:iCs/>
          <w:sz w:val="24"/>
          <w:szCs w:val="24"/>
        </w:rPr>
      </w:pPr>
      <w:r w:rsidRPr="00F95AFC">
        <w:rPr>
          <w:rFonts w:ascii="Times New Roman" w:eastAsiaTheme="minorEastAsia" w:hAnsi="Times New Roman"/>
          <w:bCs/>
          <w:iCs/>
          <w:sz w:val="24"/>
          <w:szCs w:val="24"/>
          <w:lang w:val="vi-VN"/>
        </w:rPr>
        <w:tab/>
      </w:r>
      <w:r w:rsidR="00D3707E" w:rsidRPr="00F95AFC">
        <w:rPr>
          <w:rFonts w:ascii="Times New Roman" w:eastAsiaTheme="minorEastAsia" w:hAnsi="Times New Roman"/>
          <w:bCs/>
          <w:iCs/>
          <w:sz w:val="24"/>
          <w:szCs w:val="24"/>
          <w:lang w:val="vi-VN"/>
        </w:rPr>
        <w:t xml:space="preserve">Quỹ </w:t>
      </w:r>
      <w:proofErr w:type="spellStart"/>
      <w:r w:rsidR="00D3707E" w:rsidRPr="00F95AFC">
        <w:rPr>
          <w:rFonts w:ascii="Times New Roman" w:eastAsiaTheme="minorEastAsia" w:hAnsi="Times New Roman"/>
          <w:bCs/>
          <w:iCs/>
          <w:sz w:val="24"/>
          <w:szCs w:val="24"/>
        </w:rPr>
        <w:t>không</w:t>
      </w:r>
      <w:proofErr w:type="spellEnd"/>
      <w:r w:rsidR="00D3707E" w:rsidRPr="00F95AFC">
        <w:rPr>
          <w:rFonts w:ascii="Times New Roman" w:eastAsiaTheme="minorEastAsia" w:hAnsi="Times New Roman"/>
          <w:bCs/>
          <w:iCs/>
          <w:sz w:val="24"/>
          <w:szCs w:val="24"/>
          <w:lang w:val="vi-VN"/>
        </w:rPr>
        <w:t xml:space="preserve"> thực hiện</w:t>
      </w:r>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phân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phối</w:t>
      </w:r>
      <w:proofErr w:type="spellEnd"/>
      <w:r w:rsidR="00D3707E" w:rsidRPr="00F95AFC">
        <w:rPr>
          <w:rFonts w:ascii="Times New Roman" w:eastAsiaTheme="minorEastAsia" w:hAnsi="Times New Roman"/>
          <w:bCs/>
          <w:iCs/>
          <w:sz w:val="24"/>
          <w:szCs w:val="24"/>
          <w:lang w:val="vi-VN"/>
        </w:rPr>
        <w:t xml:space="preserve"> </w:t>
      </w:r>
      <w:proofErr w:type="spellStart"/>
      <w:r w:rsidR="00D3707E" w:rsidRPr="00F95AFC">
        <w:rPr>
          <w:rFonts w:ascii="Times New Roman" w:eastAsiaTheme="minorEastAsia" w:hAnsi="Times New Roman"/>
          <w:bCs/>
          <w:iCs/>
          <w:sz w:val="24"/>
          <w:szCs w:val="24"/>
        </w:rPr>
        <w:t>lợi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nhuận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năm</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tài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chính</w:t>
      </w:r>
      <w:proofErr w:type="spellEnd"/>
      <w:r w:rsidR="00D3707E" w:rsidRPr="00F95AFC">
        <w:rPr>
          <w:rFonts w:ascii="Times New Roman" w:eastAsiaTheme="minorEastAsia" w:hAnsi="Times New Roman"/>
          <w:bCs/>
          <w:iCs/>
          <w:sz w:val="24"/>
          <w:szCs w:val="24"/>
        </w:rPr>
        <w:t xml:space="preserve"> 2022 </w:t>
      </w:r>
      <w:proofErr w:type="spellStart"/>
      <w:r w:rsidR="00D3707E" w:rsidRPr="00F95AFC">
        <w:rPr>
          <w:rFonts w:ascii="Times New Roman" w:eastAsiaTheme="minorEastAsia" w:hAnsi="Times New Roman"/>
          <w:bCs/>
          <w:iCs/>
          <w:sz w:val="24"/>
          <w:szCs w:val="24"/>
        </w:rPr>
        <w:t>và</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sẽ</w:t>
      </w:r>
      <w:proofErr w:type="spellEnd"/>
      <w:r w:rsidR="00D3707E" w:rsidRPr="00F95AFC">
        <w:rPr>
          <w:rFonts w:ascii="Times New Roman" w:eastAsiaTheme="minorEastAsia" w:hAnsi="Times New Roman"/>
          <w:bCs/>
          <w:iCs/>
          <w:sz w:val="24"/>
          <w:szCs w:val="24"/>
          <w:lang w:val="vi-VN"/>
        </w:rPr>
        <w:t xml:space="preserve"> </w:t>
      </w:r>
      <w:proofErr w:type="spellStart"/>
      <w:r w:rsidR="00D3707E" w:rsidRPr="00F95AFC">
        <w:rPr>
          <w:rFonts w:ascii="Times New Roman" w:eastAsiaTheme="minorEastAsia" w:hAnsi="Times New Roman"/>
          <w:bCs/>
          <w:iCs/>
          <w:sz w:val="24"/>
          <w:szCs w:val="24"/>
        </w:rPr>
        <w:t>tái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đầu</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tư</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toàn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bộ</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lợi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nhuận</w:t>
      </w:r>
      <w:proofErr w:type="spellEnd"/>
      <w:r w:rsidR="00D3707E" w:rsidRPr="00F95AFC">
        <w:rPr>
          <w:rFonts w:ascii="Times New Roman" w:eastAsiaTheme="minorEastAsia" w:hAnsi="Times New Roman"/>
          <w:bCs/>
          <w:iCs/>
          <w:sz w:val="24"/>
          <w:szCs w:val="24"/>
        </w:rPr>
        <w:t>.</w:t>
      </w:r>
      <w:bookmarkEnd w:id="7"/>
    </w:p>
    <w:p w14:paraId="5BD3A3C9" w14:textId="5F2971E5" w:rsidR="00D3707E" w:rsidRPr="00F95AFC" w:rsidRDefault="00D3707E" w:rsidP="00F95AFC">
      <w:pPr>
        <w:pStyle w:val="ListParagraph"/>
        <w:numPr>
          <w:ilvl w:val="0"/>
          <w:numId w:val="39"/>
        </w:numPr>
        <w:tabs>
          <w:tab w:val="left" w:pos="1080"/>
        </w:tabs>
        <w:spacing w:line="360" w:lineRule="auto"/>
        <w:jc w:val="both"/>
        <w:rPr>
          <w:rFonts w:eastAsiaTheme="minorEastAsia"/>
          <w:b w:val="0"/>
          <w:bCs/>
          <w:iCs/>
        </w:rPr>
      </w:pPr>
      <w:bookmarkStart w:id="8" w:name="_Hlk97301562"/>
      <w:bookmarkStart w:id="9" w:name="_Hlk35889609"/>
      <w:bookmarkStart w:id="10" w:name="_Hlk33090500"/>
      <w:r w:rsidRPr="00F95AFC">
        <w:rPr>
          <w:rFonts w:eastAsiaTheme="minorEastAsia"/>
          <w:b w:val="0"/>
          <w:bCs/>
          <w:iCs/>
        </w:rPr>
        <w:t xml:space="preserve">Thông qua </w:t>
      </w:r>
      <w:proofErr w:type="spellStart"/>
      <w:r w:rsidRPr="00F95AFC">
        <w:rPr>
          <w:rFonts w:eastAsiaTheme="minorEastAsia"/>
          <w:b w:val="0"/>
          <w:bCs/>
          <w:iCs/>
        </w:rPr>
        <w:t>Kế</w:t>
      </w:r>
      <w:proofErr w:type="spellEnd"/>
      <w:r w:rsidRPr="00F95AFC">
        <w:rPr>
          <w:rFonts w:eastAsiaTheme="minorEastAsia"/>
          <w:b w:val="0"/>
          <w:bCs/>
          <w:iCs/>
        </w:rPr>
        <w:t xml:space="preserve"> </w:t>
      </w:r>
      <w:proofErr w:type="spellStart"/>
      <w:r w:rsidRPr="00F95AFC">
        <w:rPr>
          <w:rFonts w:eastAsiaTheme="minorEastAsia"/>
          <w:b w:val="0"/>
          <w:bCs/>
          <w:iCs/>
        </w:rPr>
        <w:t>hoạch</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2023.</w:t>
      </w:r>
    </w:p>
    <w:p w14:paraId="613F4B48" w14:textId="77777777" w:rsidR="00D3707E" w:rsidRPr="00F95AFC" w:rsidRDefault="00D3707E" w:rsidP="00F95AFC">
      <w:pPr>
        <w:spacing w:line="360" w:lineRule="auto"/>
        <w:ind w:left="720" w:hanging="360"/>
        <w:rPr>
          <w:rFonts w:ascii="Times New Roman" w:eastAsiaTheme="minorEastAsia" w:hAnsi="Times New Roman"/>
          <w:bCs/>
          <w:iCs/>
          <w:sz w:val="24"/>
          <w:szCs w:val="24"/>
          <w:lang w:val="vi-VN"/>
        </w:rPr>
      </w:pPr>
    </w:p>
    <w:p w14:paraId="5437ED42" w14:textId="77777777" w:rsidR="00D3707E" w:rsidRPr="00F95AFC" w:rsidRDefault="00D3707E" w:rsidP="00F95AFC">
      <w:pPr>
        <w:pStyle w:val="ListParagraph"/>
        <w:numPr>
          <w:ilvl w:val="0"/>
          <w:numId w:val="39"/>
        </w:numPr>
        <w:tabs>
          <w:tab w:val="left" w:pos="1080"/>
        </w:tabs>
        <w:spacing w:line="360" w:lineRule="auto"/>
        <w:jc w:val="both"/>
        <w:rPr>
          <w:rFonts w:eastAsiaTheme="minorEastAsia"/>
          <w:b w:val="0"/>
          <w:bCs/>
          <w:iCs/>
        </w:rPr>
      </w:pPr>
      <w:r w:rsidRPr="00F95AFC">
        <w:rPr>
          <w:rFonts w:eastAsiaTheme="minorEastAsia"/>
          <w:b w:val="0"/>
          <w:bCs/>
          <w:iCs/>
          <w:lang w:val="vi-VN"/>
        </w:rPr>
        <w:t xml:space="preserve">Báo cáo chi phí hoạt động của Ban </w:t>
      </w:r>
      <w:r w:rsidRPr="00F95AFC">
        <w:rPr>
          <w:rFonts w:eastAsiaTheme="minorEastAsia"/>
          <w:b w:val="0"/>
          <w:bCs/>
          <w:iCs/>
        </w:rPr>
        <w:t>Đ</w:t>
      </w:r>
      <w:r w:rsidRPr="00F95AFC">
        <w:rPr>
          <w:rFonts w:eastAsiaTheme="minorEastAsia"/>
          <w:b w:val="0"/>
          <w:bCs/>
          <w:iCs/>
          <w:lang w:val="vi-VN"/>
        </w:rPr>
        <w:t>ại diện Quỹ năm 20</w:t>
      </w:r>
      <w:r w:rsidRPr="00F95AFC">
        <w:rPr>
          <w:rFonts w:eastAsiaTheme="minorEastAsia"/>
          <w:b w:val="0"/>
          <w:bCs/>
          <w:iCs/>
        </w:rPr>
        <w:t>22</w:t>
      </w:r>
      <w:r w:rsidRPr="00F95AFC">
        <w:rPr>
          <w:rFonts w:eastAsiaTheme="minorEastAsia"/>
          <w:b w:val="0"/>
          <w:bCs/>
          <w:iCs/>
          <w:lang w:val="vi-VN"/>
        </w:rPr>
        <w:t xml:space="preserve"> và </w:t>
      </w:r>
      <w:proofErr w:type="spellStart"/>
      <w:r w:rsidRPr="00F95AFC">
        <w:rPr>
          <w:rFonts w:eastAsiaTheme="minorEastAsia"/>
          <w:b w:val="0"/>
          <w:bCs/>
          <w:iCs/>
        </w:rPr>
        <w:t>ngân</w:t>
      </w:r>
      <w:proofErr w:type="spellEnd"/>
      <w:r w:rsidRPr="00F95AFC">
        <w:rPr>
          <w:rFonts w:eastAsiaTheme="minorEastAsia"/>
          <w:b w:val="0"/>
          <w:bCs/>
          <w:iCs/>
        </w:rPr>
        <w:t xml:space="preserve"> </w:t>
      </w:r>
      <w:proofErr w:type="spellStart"/>
      <w:r w:rsidRPr="00F95AFC">
        <w:rPr>
          <w:rFonts w:eastAsiaTheme="minorEastAsia"/>
          <w:b w:val="0"/>
          <w:bCs/>
          <w:iCs/>
        </w:rPr>
        <w:t>sách</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Ban </w:t>
      </w:r>
      <w:proofErr w:type="spellStart"/>
      <w:r w:rsidRPr="00F95AFC">
        <w:rPr>
          <w:rFonts w:eastAsiaTheme="minorEastAsia"/>
          <w:b w:val="0"/>
          <w:bCs/>
          <w:iCs/>
        </w:rPr>
        <w:t>Đại</w:t>
      </w:r>
      <w:proofErr w:type="spellEnd"/>
      <w:r w:rsidRPr="00F95AFC">
        <w:rPr>
          <w:rFonts w:eastAsiaTheme="minorEastAsia"/>
          <w:b w:val="0"/>
          <w:bCs/>
          <w:iCs/>
        </w:rPr>
        <w:t xml:space="preserve"> </w:t>
      </w:r>
      <w:proofErr w:type="spellStart"/>
      <w:r w:rsidRPr="00F95AFC">
        <w:rPr>
          <w:rFonts w:eastAsiaTheme="minorEastAsia"/>
          <w:b w:val="0"/>
          <w:bCs/>
          <w:iCs/>
        </w:rPr>
        <w:t>diện</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202</w:t>
      </w:r>
      <w:bookmarkEnd w:id="8"/>
      <w:bookmarkEnd w:id="9"/>
      <w:bookmarkEnd w:id="10"/>
      <w:r w:rsidRPr="00F95AFC">
        <w:rPr>
          <w:rFonts w:eastAsiaTheme="minorEastAsia"/>
          <w:b w:val="0"/>
          <w:bCs/>
          <w:iCs/>
        </w:rPr>
        <w:t>3.</w:t>
      </w:r>
    </w:p>
    <w:tbl>
      <w:tblPr>
        <w:tblStyle w:val="TableGrid"/>
        <w:tblW w:w="0" w:type="auto"/>
        <w:tblInd w:w="759" w:type="dxa"/>
        <w:tblLook w:val="04A0" w:firstRow="1" w:lastRow="0" w:firstColumn="1" w:lastColumn="0" w:noHBand="0" w:noVBand="1"/>
      </w:tblPr>
      <w:tblGrid>
        <w:gridCol w:w="1031"/>
        <w:gridCol w:w="2415"/>
        <w:gridCol w:w="2084"/>
        <w:gridCol w:w="2084"/>
        <w:gridCol w:w="1427"/>
      </w:tblGrid>
      <w:tr w:rsidR="007033ED" w:rsidRPr="00F95AFC" w14:paraId="6D872675" w14:textId="77777777" w:rsidTr="0031547D">
        <w:trPr>
          <w:trHeight w:val="497"/>
        </w:trPr>
        <w:tc>
          <w:tcPr>
            <w:tcW w:w="670" w:type="dxa"/>
            <w:vAlign w:val="center"/>
          </w:tcPr>
          <w:p w14:paraId="0095F098"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STT</w:t>
            </w:r>
          </w:p>
        </w:tc>
        <w:tc>
          <w:tcPr>
            <w:tcW w:w="2583" w:type="dxa"/>
            <w:vAlign w:val="center"/>
          </w:tcPr>
          <w:p w14:paraId="133BB51D" w14:textId="77777777" w:rsidR="00D3707E" w:rsidRPr="00F95AFC" w:rsidRDefault="00D3707E" w:rsidP="00F95AFC">
            <w:pPr>
              <w:pStyle w:val="ListParagraph"/>
              <w:tabs>
                <w:tab w:val="left" w:pos="450"/>
              </w:tabs>
              <w:spacing w:line="360" w:lineRule="auto"/>
              <w:ind w:hanging="360"/>
              <w:jc w:val="center"/>
              <w:rPr>
                <w:rFonts w:eastAsiaTheme="minorEastAsia"/>
                <w:iCs/>
              </w:rPr>
            </w:pPr>
            <w:proofErr w:type="spellStart"/>
            <w:r w:rsidRPr="00F95AFC">
              <w:rPr>
                <w:rFonts w:eastAsiaTheme="minorEastAsia"/>
                <w:iCs/>
              </w:rPr>
              <w:t>Loại</w:t>
            </w:r>
            <w:proofErr w:type="spellEnd"/>
            <w:r w:rsidRPr="00F95AFC">
              <w:rPr>
                <w:rFonts w:eastAsiaTheme="minorEastAsia"/>
                <w:iCs/>
              </w:rPr>
              <w:t xml:space="preserve"> chi </w:t>
            </w:r>
            <w:proofErr w:type="spellStart"/>
            <w:r w:rsidRPr="00F95AFC">
              <w:rPr>
                <w:rFonts w:eastAsiaTheme="minorEastAsia"/>
                <w:iCs/>
              </w:rPr>
              <w:t>phí</w:t>
            </w:r>
            <w:proofErr w:type="spellEnd"/>
          </w:p>
        </w:tc>
        <w:tc>
          <w:tcPr>
            <w:tcW w:w="2136" w:type="dxa"/>
            <w:vAlign w:val="center"/>
          </w:tcPr>
          <w:p w14:paraId="749FCE5C" w14:textId="77777777" w:rsidR="00D3707E" w:rsidRPr="00F95AFC" w:rsidRDefault="00D3707E" w:rsidP="00F95AFC">
            <w:pPr>
              <w:tabs>
                <w:tab w:val="left" w:pos="450"/>
              </w:tabs>
              <w:spacing w:line="360" w:lineRule="auto"/>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 xml:space="preserve">Ngân </w:t>
            </w:r>
            <w:proofErr w:type="spellStart"/>
            <w:r w:rsidRPr="00F95AFC">
              <w:rPr>
                <w:rFonts w:ascii="Times New Roman" w:eastAsiaTheme="minorEastAsia" w:hAnsi="Times New Roman"/>
                <w:b/>
                <w:iCs/>
                <w:sz w:val="24"/>
                <w:szCs w:val="24"/>
              </w:rPr>
              <w:t>sách</w:t>
            </w:r>
            <w:proofErr w:type="spellEnd"/>
            <w:r w:rsidRPr="00F95AFC">
              <w:rPr>
                <w:rFonts w:ascii="Times New Roman" w:eastAsiaTheme="minorEastAsia" w:hAnsi="Times New Roman"/>
                <w:b/>
                <w:iCs/>
                <w:sz w:val="24"/>
                <w:szCs w:val="24"/>
              </w:rPr>
              <w:t xml:space="preserve"> 2023</w:t>
            </w:r>
          </w:p>
        </w:tc>
        <w:tc>
          <w:tcPr>
            <w:tcW w:w="2136" w:type="dxa"/>
            <w:vAlign w:val="center"/>
          </w:tcPr>
          <w:p w14:paraId="31BC86F0"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proofErr w:type="spellStart"/>
            <w:r w:rsidRPr="00F95AFC">
              <w:rPr>
                <w:rFonts w:ascii="Times New Roman" w:eastAsiaTheme="minorEastAsia" w:hAnsi="Times New Roman"/>
                <w:b/>
                <w:iCs/>
                <w:sz w:val="24"/>
                <w:szCs w:val="24"/>
              </w:rPr>
              <w:t>Thực</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tế</w:t>
            </w:r>
            <w:proofErr w:type="spellEnd"/>
            <w:r w:rsidRPr="00F95AFC">
              <w:rPr>
                <w:rFonts w:ascii="Times New Roman" w:eastAsiaTheme="minorEastAsia" w:hAnsi="Times New Roman"/>
                <w:b/>
                <w:iCs/>
                <w:sz w:val="24"/>
                <w:szCs w:val="24"/>
              </w:rPr>
              <w:t xml:space="preserve"> 2022</w:t>
            </w:r>
          </w:p>
        </w:tc>
        <w:tc>
          <w:tcPr>
            <w:tcW w:w="1510" w:type="dxa"/>
            <w:vAlign w:val="center"/>
          </w:tcPr>
          <w:p w14:paraId="28916973" w14:textId="77777777" w:rsidR="00D3707E" w:rsidRPr="00F95AFC" w:rsidRDefault="00D3707E" w:rsidP="00F95AFC">
            <w:pPr>
              <w:tabs>
                <w:tab w:val="left" w:pos="450"/>
              </w:tabs>
              <w:spacing w:line="360" w:lineRule="auto"/>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 xml:space="preserve">% </w:t>
            </w:r>
            <w:proofErr w:type="spellStart"/>
            <w:proofErr w:type="gramStart"/>
            <w:r w:rsidRPr="00F95AFC">
              <w:rPr>
                <w:rFonts w:ascii="Times New Roman" w:eastAsiaTheme="minorEastAsia" w:hAnsi="Times New Roman"/>
                <w:b/>
                <w:iCs/>
                <w:sz w:val="24"/>
                <w:szCs w:val="24"/>
              </w:rPr>
              <w:t>thay</w:t>
            </w:r>
            <w:proofErr w:type="spellEnd"/>
            <w:proofErr w:type="gram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đổi</w:t>
            </w:r>
            <w:proofErr w:type="spellEnd"/>
          </w:p>
        </w:tc>
      </w:tr>
      <w:tr w:rsidR="007033ED" w:rsidRPr="00F95AFC" w14:paraId="4EDD5FB3" w14:textId="77777777" w:rsidTr="0031547D">
        <w:trPr>
          <w:trHeight w:val="377"/>
        </w:trPr>
        <w:tc>
          <w:tcPr>
            <w:tcW w:w="670" w:type="dxa"/>
            <w:vAlign w:val="center"/>
          </w:tcPr>
          <w:p w14:paraId="74DB53D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w:t>
            </w:r>
          </w:p>
        </w:tc>
        <w:tc>
          <w:tcPr>
            <w:tcW w:w="2583" w:type="dxa"/>
            <w:vAlign w:val="center"/>
          </w:tcPr>
          <w:p w14:paraId="1D2CF46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proofErr w:type="spellStart"/>
            <w:r w:rsidRPr="00F95AFC">
              <w:rPr>
                <w:rFonts w:ascii="Times New Roman" w:eastAsiaTheme="minorEastAsia" w:hAnsi="Times New Roman"/>
                <w:bCs/>
                <w:iCs/>
                <w:sz w:val="24"/>
                <w:szCs w:val="24"/>
              </w:rPr>
              <w:t>Thù</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lao</w:t>
            </w:r>
            <w:proofErr w:type="spellEnd"/>
          </w:p>
        </w:tc>
        <w:tc>
          <w:tcPr>
            <w:tcW w:w="2136" w:type="dxa"/>
            <w:vAlign w:val="center"/>
          </w:tcPr>
          <w:p w14:paraId="60A96A1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180.000.000</w:t>
            </w:r>
          </w:p>
        </w:tc>
        <w:tc>
          <w:tcPr>
            <w:tcW w:w="2136" w:type="dxa"/>
            <w:vAlign w:val="center"/>
          </w:tcPr>
          <w:p w14:paraId="5E57B731"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180.000.000</w:t>
            </w:r>
          </w:p>
        </w:tc>
        <w:tc>
          <w:tcPr>
            <w:tcW w:w="1510" w:type="dxa"/>
            <w:vAlign w:val="center"/>
          </w:tcPr>
          <w:p w14:paraId="661BAD89"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5F380DEF" w14:textId="77777777" w:rsidTr="0031547D">
        <w:trPr>
          <w:trHeight w:val="340"/>
        </w:trPr>
        <w:tc>
          <w:tcPr>
            <w:tcW w:w="670" w:type="dxa"/>
            <w:vAlign w:val="center"/>
          </w:tcPr>
          <w:p w14:paraId="1DAD245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II</w:t>
            </w:r>
          </w:p>
        </w:tc>
        <w:tc>
          <w:tcPr>
            <w:tcW w:w="2583" w:type="dxa"/>
            <w:vAlign w:val="center"/>
          </w:tcPr>
          <w:p w14:paraId="16577D3D"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 xml:space="preserve">Chi </w:t>
            </w:r>
            <w:proofErr w:type="spellStart"/>
            <w:r w:rsidRPr="00F95AFC">
              <w:rPr>
                <w:rFonts w:ascii="Times New Roman" w:eastAsiaTheme="minorEastAsia" w:hAnsi="Times New Roman"/>
                <w:bCs/>
                <w:iCs/>
                <w:sz w:val="24"/>
                <w:szCs w:val="24"/>
              </w:rPr>
              <w:t>phí</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đi</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lại</w:t>
            </w:r>
            <w:proofErr w:type="spellEnd"/>
          </w:p>
        </w:tc>
        <w:tc>
          <w:tcPr>
            <w:tcW w:w="2136" w:type="dxa"/>
            <w:vAlign w:val="center"/>
          </w:tcPr>
          <w:p w14:paraId="356C550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c>
          <w:tcPr>
            <w:tcW w:w="2136" w:type="dxa"/>
            <w:vAlign w:val="center"/>
          </w:tcPr>
          <w:p w14:paraId="18065BB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c>
          <w:tcPr>
            <w:tcW w:w="1510" w:type="dxa"/>
            <w:vAlign w:val="center"/>
          </w:tcPr>
          <w:p w14:paraId="46F9261D" w14:textId="3BC67D14"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3024ED94" w14:textId="77777777" w:rsidTr="0031547D">
        <w:trPr>
          <w:trHeight w:val="341"/>
        </w:trPr>
        <w:tc>
          <w:tcPr>
            <w:tcW w:w="670" w:type="dxa"/>
            <w:vAlign w:val="center"/>
          </w:tcPr>
          <w:p w14:paraId="047B7D25"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III</w:t>
            </w:r>
          </w:p>
        </w:tc>
        <w:tc>
          <w:tcPr>
            <w:tcW w:w="2583" w:type="dxa"/>
            <w:vAlign w:val="center"/>
          </w:tcPr>
          <w:p w14:paraId="107C967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 xml:space="preserve">Chi </w:t>
            </w:r>
            <w:proofErr w:type="spellStart"/>
            <w:r w:rsidRPr="00F95AFC">
              <w:rPr>
                <w:rFonts w:ascii="Times New Roman" w:eastAsiaTheme="minorEastAsia" w:hAnsi="Times New Roman"/>
                <w:bCs/>
                <w:iCs/>
                <w:sz w:val="24"/>
                <w:szCs w:val="24"/>
              </w:rPr>
              <w:t>phí</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khác</w:t>
            </w:r>
            <w:proofErr w:type="spellEnd"/>
          </w:p>
        </w:tc>
        <w:tc>
          <w:tcPr>
            <w:tcW w:w="2136" w:type="dxa"/>
            <w:vAlign w:val="center"/>
          </w:tcPr>
          <w:p w14:paraId="16A4F22E"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lang w:val="vi-VN"/>
              </w:rPr>
            </w:pPr>
            <w:r w:rsidRPr="00F95AFC">
              <w:rPr>
                <w:rFonts w:ascii="Times New Roman" w:eastAsiaTheme="minorEastAsia" w:hAnsi="Times New Roman"/>
                <w:bCs/>
                <w:iCs/>
                <w:sz w:val="24"/>
                <w:szCs w:val="24"/>
                <w:lang w:val="vi-VN"/>
              </w:rPr>
              <w:t>0</w:t>
            </w:r>
          </w:p>
        </w:tc>
        <w:tc>
          <w:tcPr>
            <w:tcW w:w="2136" w:type="dxa"/>
            <w:vAlign w:val="center"/>
          </w:tcPr>
          <w:p w14:paraId="50EB82DC"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lang w:val="vi-VN"/>
              </w:rPr>
            </w:pPr>
            <w:r w:rsidRPr="00F95AFC">
              <w:rPr>
                <w:rFonts w:ascii="Times New Roman" w:eastAsiaTheme="minorEastAsia" w:hAnsi="Times New Roman"/>
                <w:bCs/>
                <w:iCs/>
                <w:sz w:val="24"/>
                <w:szCs w:val="24"/>
                <w:lang w:val="vi-VN"/>
              </w:rPr>
              <w:t>0</w:t>
            </w:r>
          </w:p>
        </w:tc>
        <w:tc>
          <w:tcPr>
            <w:tcW w:w="1510" w:type="dxa"/>
            <w:vAlign w:val="center"/>
          </w:tcPr>
          <w:p w14:paraId="76081BF1" w14:textId="48B936DD"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06C0BE9C" w14:textId="77777777" w:rsidTr="0031547D">
        <w:trPr>
          <w:trHeight w:val="340"/>
        </w:trPr>
        <w:tc>
          <w:tcPr>
            <w:tcW w:w="670" w:type="dxa"/>
            <w:vAlign w:val="center"/>
          </w:tcPr>
          <w:p w14:paraId="13BB1884" w14:textId="77777777" w:rsidR="00D3707E" w:rsidRPr="00F95AFC" w:rsidRDefault="00D3707E" w:rsidP="00F95AFC">
            <w:pPr>
              <w:pStyle w:val="ListParagraph"/>
              <w:tabs>
                <w:tab w:val="left" w:pos="450"/>
              </w:tabs>
              <w:spacing w:line="360" w:lineRule="auto"/>
              <w:ind w:hanging="360"/>
              <w:jc w:val="center"/>
              <w:rPr>
                <w:rFonts w:eastAsiaTheme="minorEastAsia"/>
                <w:b w:val="0"/>
                <w:bCs/>
                <w:iCs/>
              </w:rPr>
            </w:pPr>
          </w:p>
        </w:tc>
        <w:tc>
          <w:tcPr>
            <w:tcW w:w="2583" w:type="dxa"/>
            <w:vAlign w:val="center"/>
          </w:tcPr>
          <w:p w14:paraId="0BA839F3"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proofErr w:type="spellStart"/>
            <w:r w:rsidRPr="00F95AFC">
              <w:rPr>
                <w:rFonts w:ascii="Times New Roman" w:eastAsiaTheme="minorEastAsia" w:hAnsi="Times New Roman"/>
                <w:b/>
                <w:iCs/>
                <w:sz w:val="24"/>
                <w:szCs w:val="24"/>
              </w:rPr>
              <w:t>Tổng</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cộng</w:t>
            </w:r>
            <w:proofErr w:type="spellEnd"/>
          </w:p>
        </w:tc>
        <w:tc>
          <w:tcPr>
            <w:tcW w:w="2136" w:type="dxa"/>
            <w:vAlign w:val="center"/>
          </w:tcPr>
          <w:p w14:paraId="4FC3E961"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180.000.000</w:t>
            </w:r>
          </w:p>
        </w:tc>
        <w:tc>
          <w:tcPr>
            <w:tcW w:w="2136" w:type="dxa"/>
            <w:vAlign w:val="center"/>
          </w:tcPr>
          <w:p w14:paraId="29DD20B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180.000.000</w:t>
            </w:r>
          </w:p>
        </w:tc>
        <w:tc>
          <w:tcPr>
            <w:tcW w:w="1510" w:type="dxa"/>
            <w:vAlign w:val="center"/>
          </w:tcPr>
          <w:p w14:paraId="233D6E6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0%</w:t>
            </w:r>
          </w:p>
        </w:tc>
      </w:tr>
    </w:tbl>
    <w:p w14:paraId="2B5D16B4" w14:textId="77777777" w:rsidR="00D3707E" w:rsidRPr="00F95AFC" w:rsidRDefault="00D3707E" w:rsidP="00F95AFC">
      <w:pPr>
        <w:pStyle w:val="ListParagraph"/>
        <w:tabs>
          <w:tab w:val="left" w:pos="1080"/>
        </w:tabs>
        <w:spacing w:line="360" w:lineRule="auto"/>
        <w:ind w:hanging="360"/>
        <w:jc w:val="both"/>
        <w:rPr>
          <w:rFonts w:eastAsiaTheme="minorEastAsia"/>
          <w:b w:val="0"/>
          <w:bCs/>
          <w:iCs/>
        </w:rPr>
      </w:pPr>
    </w:p>
    <w:p w14:paraId="1FADA7E7" w14:textId="2A87904C" w:rsidR="00EA1149" w:rsidRPr="00F95AFC" w:rsidRDefault="00D3707E" w:rsidP="00F95AFC">
      <w:pPr>
        <w:pStyle w:val="ListParagraph"/>
        <w:numPr>
          <w:ilvl w:val="0"/>
          <w:numId w:val="39"/>
        </w:numPr>
        <w:tabs>
          <w:tab w:val="left" w:pos="1080"/>
        </w:tabs>
        <w:spacing w:line="360" w:lineRule="auto"/>
        <w:jc w:val="both"/>
        <w:rPr>
          <w:rFonts w:eastAsiaTheme="minorEastAsia"/>
          <w:b w:val="0"/>
          <w:bCs/>
          <w:iCs/>
        </w:rPr>
      </w:pPr>
      <w:bookmarkStart w:id="11" w:name="_Hlk33090682"/>
      <w:bookmarkStart w:id="12" w:name="_Hlk35889661"/>
      <w:bookmarkStart w:id="13" w:name="_Hlk97301619"/>
      <w:proofErr w:type="spellStart"/>
      <w:r w:rsidRPr="00F95AFC">
        <w:rPr>
          <w:rFonts w:eastAsiaTheme="minorEastAsia"/>
          <w:b w:val="0"/>
          <w:bCs/>
          <w:iCs/>
        </w:rPr>
        <w:t>Chấp</w:t>
      </w:r>
      <w:proofErr w:type="spellEnd"/>
      <w:r w:rsidRPr="00F95AFC">
        <w:rPr>
          <w:rFonts w:eastAsiaTheme="minorEastAsia"/>
          <w:b w:val="0"/>
          <w:bCs/>
          <w:iCs/>
        </w:rPr>
        <w:t xml:space="preserve"> </w:t>
      </w:r>
      <w:proofErr w:type="spellStart"/>
      <w:r w:rsidRPr="00F95AFC">
        <w:rPr>
          <w:rFonts w:eastAsiaTheme="minorEastAsia"/>
          <w:b w:val="0"/>
          <w:bCs/>
          <w:iCs/>
        </w:rPr>
        <w:t>thuận</w:t>
      </w:r>
      <w:proofErr w:type="spellEnd"/>
      <w:r w:rsidRPr="00F95AFC">
        <w:rPr>
          <w:rFonts w:eastAsiaTheme="minorEastAsia"/>
          <w:b w:val="0"/>
          <w:bCs/>
          <w:iCs/>
        </w:rPr>
        <w:t xml:space="preserve"> </w:t>
      </w:r>
      <w:proofErr w:type="spellStart"/>
      <w:r w:rsidRPr="00F95AFC">
        <w:rPr>
          <w:rFonts w:eastAsiaTheme="minorEastAsia"/>
          <w:b w:val="0"/>
          <w:bCs/>
          <w:iCs/>
        </w:rPr>
        <w:t>ủy</w:t>
      </w:r>
      <w:proofErr w:type="spellEnd"/>
      <w:r w:rsidRPr="00F95AFC">
        <w:rPr>
          <w:rFonts w:eastAsiaTheme="minorEastAsia"/>
          <w:b w:val="0"/>
          <w:bCs/>
          <w:iCs/>
        </w:rPr>
        <w:t xml:space="preserve"> </w:t>
      </w:r>
      <w:proofErr w:type="spellStart"/>
      <w:r w:rsidRPr="00F95AFC">
        <w:rPr>
          <w:rFonts w:eastAsiaTheme="minorEastAsia"/>
          <w:b w:val="0"/>
          <w:bCs/>
          <w:iCs/>
        </w:rPr>
        <w:t>quyền</w:t>
      </w:r>
      <w:proofErr w:type="spellEnd"/>
      <w:r w:rsidRPr="00F95AFC">
        <w:rPr>
          <w:rFonts w:eastAsiaTheme="minorEastAsia"/>
          <w:b w:val="0"/>
          <w:bCs/>
          <w:iCs/>
        </w:rPr>
        <w:t xml:space="preserve"> </w:t>
      </w:r>
      <w:proofErr w:type="spellStart"/>
      <w:r w:rsidRPr="00F95AFC">
        <w:rPr>
          <w:rFonts w:eastAsiaTheme="minorEastAsia"/>
          <w:b w:val="0"/>
          <w:bCs/>
          <w:iCs/>
        </w:rPr>
        <w:t>cho</w:t>
      </w:r>
      <w:proofErr w:type="spellEnd"/>
      <w:r w:rsidRPr="00F95AFC">
        <w:rPr>
          <w:rFonts w:eastAsiaTheme="minorEastAsia"/>
          <w:b w:val="0"/>
          <w:bCs/>
          <w:iCs/>
        </w:rPr>
        <w:t xml:space="preserve"> Ban </w:t>
      </w:r>
      <w:proofErr w:type="spellStart"/>
      <w:r w:rsidRPr="00F95AFC">
        <w:rPr>
          <w:rFonts w:eastAsiaTheme="minorEastAsia"/>
          <w:b w:val="0"/>
          <w:bCs/>
          <w:iCs/>
        </w:rPr>
        <w:t>Đại</w:t>
      </w:r>
      <w:proofErr w:type="spellEnd"/>
      <w:r w:rsidRPr="00F95AFC">
        <w:rPr>
          <w:rFonts w:eastAsiaTheme="minorEastAsia"/>
          <w:b w:val="0"/>
          <w:bCs/>
          <w:iCs/>
        </w:rPr>
        <w:t xml:space="preserve"> </w:t>
      </w:r>
      <w:proofErr w:type="spellStart"/>
      <w:r w:rsidRPr="00F95AFC">
        <w:rPr>
          <w:rFonts w:eastAsiaTheme="minorEastAsia"/>
          <w:b w:val="0"/>
          <w:bCs/>
          <w:iCs/>
        </w:rPr>
        <w:t>diện</w:t>
      </w:r>
      <w:proofErr w:type="spellEnd"/>
      <w:r w:rsidRPr="00F95AFC">
        <w:rPr>
          <w:rFonts w:eastAsiaTheme="minorEastAsia"/>
          <w:b w:val="0"/>
          <w:bCs/>
          <w:iCs/>
        </w:rPr>
        <w:t xml:space="preserve"> Quỹ </w:t>
      </w:r>
      <w:proofErr w:type="spellStart"/>
      <w:r w:rsidRPr="00F95AFC">
        <w:rPr>
          <w:rFonts w:eastAsiaTheme="minorEastAsia"/>
          <w:b w:val="0"/>
          <w:bCs/>
          <w:iCs/>
        </w:rPr>
        <w:t>lựa</w:t>
      </w:r>
      <w:proofErr w:type="spellEnd"/>
      <w:r w:rsidRPr="00F95AFC">
        <w:rPr>
          <w:rFonts w:eastAsiaTheme="minorEastAsia"/>
          <w:b w:val="0"/>
          <w:bCs/>
          <w:iCs/>
        </w:rPr>
        <w:t xml:space="preserve"> </w:t>
      </w:r>
      <w:proofErr w:type="spellStart"/>
      <w:r w:rsidRPr="00F95AFC">
        <w:rPr>
          <w:rFonts w:eastAsiaTheme="minorEastAsia"/>
          <w:b w:val="0"/>
          <w:bCs/>
          <w:iCs/>
        </w:rPr>
        <w:t>chọn</w:t>
      </w:r>
      <w:proofErr w:type="spellEnd"/>
      <w:r w:rsidRPr="00F95AFC">
        <w:rPr>
          <w:rFonts w:eastAsiaTheme="minorEastAsia"/>
          <w:b w:val="0"/>
          <w:bCs/>
          <w:iCs/>
        </w:rPr>
        <w:t xml:space="preserve"> </w:t>
      </w:r>
      <w:proofErr w:type="spellStart"/>
      <w:r w:rsidRPr="00F95AFC">
        <w:rPr>
          <w:rFonts w:eastAsiaTheme="minorEastAsia"/>
          <w:b w:val="0"/>
          <w:bCs/>
          <w:iCs/>
        </w:rPr>
        <w:t>tổ</w:t>
      </w:r>
      <w:proofErr w:type="spellEnd"/>
      <w:r w:rsidRPr="00F95AFC">
        <w:rPr>
          <w:rFonts w:eastAsiaTheme="minorEastAsia"/>
          <w:b w:val="0"/>
          <w:bCs/>
          <w:iCs/>
        </w:rPr>
        <w:t xml:space="preserve"> </w:t>
      </w:r>
      <w:proofErr w:type="spellStart"/>
      <w:r w:rsidRPr="00F95AFC">
        <w:rPr>
          <w:rFonts w:eastAsiaTheme="minorEastAsia"/>
          <w:b w:val="0"/>
          <w:bCs/>
          <w:iCs/>
        </w:rPr>
        <w:t>chức</w:t>
      </w:r>
      <w:proofErr w:type="spellEnd"/>
      <w:r w:rsidRPr="00F95AFC">
        <w:rPr>
          <w:rFonts w:eastAsiaTheme="minorEastAsia"/>
          <w:b w:val="0"/>
          <w:bCs/>
          <w:iCs/>
        </w:rPr>
        <w:t xml:space="preserve"> </w:t>
      </w:r>
      <w:proofErr w:type="spellStart"/>
      <w:r w:rsidRPr="00F95AFC">
        <w:rPr>
          <w:rFonts w:eastAsiaTheme="minorEastAsia"/>
          <w:b w:val="0"/>
          <w:bCs/>
          <w:iCs/>
        </w:rPr>
        <w:t>kiểm</w:t>
      </w:r>
      <w:proofErr w:type="spellEnd"/>
      <w:r w:rsidRPr="00F95AFC">
        <w:rPr>
          <w:rFonts w:eastAsiaTheme="minorEastAsia"/>
          <w:b w:val="0"/>
          <w:bCs/>
          <w:iCs/>
        </w:rPr>
        <w:t xml:space="preserve"> </w:t>
      </w:r>
      <w:proofErr w:type="spellStart"/>
      <w:r w:rsidRPr="00F95AFC">
        <w:rPr>
          <w:rFonts w:eastAsiaTheme="minorEastAsia"/>
          <w:b w:val="0"/>
          <w:bCs/>
          <w:iCs/>
        </w:rPr>
        <w:t>toán</w:t>
      </w:r>
      <w:proofErr w:type="spellEnd"/>
      <w:r w:rsidRPr="00F95AFC">
        <w:rPr>
          <w:rFonts w:eastAsiaTheme="minorEastAsia"/>
          <w:b w:val="0"/>
          <w:bCs/>
          <w:iCs/>
        </w:rPr>
        <w:t xml:space="preserve"> </w:t>
      </w:r>
      <w:proofErr w:type="spellStart"/>
      <w:r w:rsidRPr="00F95AFC">
        <w:rPr>
          <w:rFonts w:eastAsiaTheme="minorEastAsia"/>
          <w:b w:val="0"/>
          <w:bCs/>
          <w:iCs/>
        </w:rPr>
        <w:t>cho</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bookmarkEnd w:id="11"/>
      <w:bookmarkEnd w:id="12"/>
      <w:bookmarkEnd w:id="13"/>
      <w:r w:rsidRPr="00F95AFC">
        <w:rPr>
          <w:rFonts w:eastAsiaTheme="minorEastAsia"/>
          <w:b w:val="0"/>
          <w:bCs/>
          <w:iCs/>
        </w:rPr>
        <w:t>3.</w:t>
      </w:r>
      <w:r w:rsidR="00EA1149" w:rsidRPr="00F95AFC">
        <w:rPr>
          <w:rFonts w:eastAsiaTheme="minorEastAsia"/>
          <w:b w:val="0"/>
          <w:bCs/>
          <w:iCs/>
        </w:rPr>
        <w:t xml:space="preserve"> </w:t>
      </w:r>
      <w:bookmarkEnd w:id="5"/>
    </w:p>
    <w:p w14:paraId="29438EF9" w14:textId="656F73D1" w:rsidR="003F0046" w:rsidRPr="00F95AFC" w:rsidRDefault="003F0046" w:rsidP="00F95AFC">
      <w:pPr>
        <w:tabs>
          <w:tab w:val="left" w:pos="720"/>
        </w:tabs>
        <w:spacing w:after="200" w:line="360" w:lineRule="auto"/>
        <w:jc w:val="both"/>
        <w:rPr>
          <w:rFonts w:ascii="Times New Roman" w:eastAsiaTheme="minorEastAsia" w:hAnsi="Times New Roman"/>
          <w:i/>
          <w:iCs/>
          <w:sz w:val="24"/>
          <w:szCs w:val="24"/>
        </w:rPr>
      </w:pPr>
      <w:bookmarkStart w:id="14" w:name="_Hlk78301956"/>
      <w:r w:rsidRPr="00F95AFC">
        <w:rPr>
          <w:rFonts w:ascii="Times New Roman" w:hAnsi="Times New Roman"/>
          <w:sz w:val="24"/>
          <w:szCs w:val="24"/>
          <w:lang w:val="vi-VN"/>
        </w:rPr>
        <w:t>i)</w:t>
      </w:r>
      <w:r w:rsidR="00EA1149" w:rsidRPr="00F95AFC">
        <w:rPr>
          <w:rFonts w:ascii="Times New Roman" w:eastAsiaTheme="minorEastAsia" w:hAnsi="Times New Roman"/>
          <w:i/>
          <w:iCs/>
          <w:sz w:val="24"/>
          <w:szCs w:val="24"/>
        </w:rPr>
        <w:t xml:space="preserve"> </w:t>
      </w:r>
      <w:r w:rsidRPr="00F95AFC">
        <w:rPr>
          <w:rFonts w:ascii="Times New Roman" w:hAnsi="Times New Roman"/>
          <w:sz w:val="24"/>
          <w:szCs w:val="24"/>
          <w:lang w:val="vi-VN"/>
        </w:rPr>
        <w:t xml:space="preserve">Ý kiến nhận xét của Ngân hàng giám sát về các nội dung quy định tại </w:t>
      </w:r>
      <w:r w:rsidR="00346023" w:rsidRPr="00F95AFC">
        <w:rPr>
          <w:rFonts w:ascii="Times New Roman" w:hAnsi="Times New Roman"/>
          <w:sz w:val="24"/>
          <w:szCs w:val="24"/>
          <w:lang w:val="vi-VN"/>
        </w:rPr>
        <w:t>Thông tư hướng dẫn về hoạt động và quản lý các quỹ đầu tư chứng khoán</w:t>
      </w:r>
      <w:r w:rsidR="005B6283" w:rsidRPr="00F95AFC">
        <w:rPr>
          <w:rFonts w:ascii="Times New Roman" w:hAnsi="Times New Roman"/>
          <w:sz w:val="24"/>
          <w:szCs w:val="24"/>
          <w:lang w:val="vi-VN"/>
        </w:rPr>
        <w:t>:</w:t>
      </w:r>
    </w:p>
    <w:bookmarkEnd w:id="14"/>
    <w:p w14:paraId="644D2E84" w14:textId="7B1A8B35" w:rsidR="00021FF6" w:rsidRPr="00F95AFC" w:rsidRDefault="008964B6" w:rsidP="00F95AFC">
      <w:pPr>
        <w:shd w:val="clear" w:color="auto" w:fill="FFFFFF"/>
        <w:spacing w:before="120" w:after="120" w:line="360" w:lineRule="auto"/>
        <w:jc w:val="both"/>
        <w:rPr>
          <w:rFonts w:ascii="Times New Roman" w:hAnsi="Times New Roman"/>
          <w:sz w:val="24"/>
          <w:szCs w:val="24"/>
          <w:lang w:val="vi-VN"/>
        </w:rPr>
      </w:pPr>
      <w:r w:rsidRPr="00F95AFC">
        <w:rPr>
          <w:rFonts w:ascii="Times New Roman" w:hAnsi="Times New Roman"/>
          <w:sz w:val="24"/>
          <w:szCs w:val="24"/>
          <w:lang w:val="vi-VN"/>
        </w:rPr>
        <w:t>Xin xem chi tiết tại Mục 4. Báo cáo về hoạt động giám sát của ngân hàng giám sát</w:t>
      </w:r>
      <w:r w:rsidR="000E2C49" w:rsidRPr="00F95AFC">
        <w:rPr>
          <w:rFonts w:ascii="Times New Roman" w:hAnsi="Times New Roman"/>
          <w:sz w:val="24"/>
          <w:szCs w:val="24"/>
          <w:lang w:val="vi-VN"/>
        </w:rPr>
        <w:t>.</w:t>
      </w:r>
      <w:r w:rsidR="00021FF6" w:rsidRPr="00F95AFC">
        <w:rPr>
          <w:rFonts w:ascii="Times New Roman" w:hAnsi="Times New Roman"/>
          <w:sz w:val="24"/>
          <w:szCs w:val="24"/>
          <w:lang w:val="vi-VN"/>
        </w:rPr>
        <w:t xml:space="preserve"> </w:t>
      </w:r>
    </w:p>
    <w:p w14:paraId="25208449" w14:textId="77777777" w:rsidR="003F0046"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b/>
          <w:sz w:val="24"/>
          <w:szCs w:val="24"/>
          <w:lang w:val="nl-NL"/>
        </w:rPr>
        <w:t>2.</w:t>
      </w:r>
      <w:r w:rsidRPr="00F95AFC">
        <w:rPr>
          <w:rFonts w:ascii="Times New Roman" w:hAnsi="Times New Roman"/>
          <w:sz w:val="24"/>
          <w:szCs w:val="24"/>
          <w:lang w:val="nl-NL"/>
        </w:rPr>
        <w:t xml:space="preserve"> </w:t>
      </w:r>
      <w:r w:rsidRPr="00F95AFC">
        <w:rPr>
          <w:rFonts w:ascii="Times New Roman" w:hAnsi="Times New Roman"/>
          <w:b/>
          <w:sz w:val="24"/>
          <w:szCs w:val="24"/>
          <w:lang w:val="nl-NL"/>
        </w:rPr>
        <w:t>Báo cáo về kết quả hoạt động của quỹ</w:t>
      </w:r>
    </w:p>
    <w:p w14:paraId="6B7FA93A" w14:textId="77B24305" w:rsidR="003F0046"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sz w:val="24"/>
          <w:szCs w:val="24"/>
          <w:lang w:val="nl-NL"/>
        </w:rPr>
        <w:t>a) Thông tin về danh mục đầu tư và giá trị tài sản ròng của quỹ, cụ thể:</w:t>
      </w:r>
    </w:p>
    <w:p w14:paraId="03A2BF8B" w14:textId="17419EE0" w:rsidR="00304D08"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sz w:val="24"/>
          <w:szCs w:val="24"/>
          <w:lang w:val="nl-NL"/>
        </w:rPr>
        <w:t xml:space="preserve">- Danh mục đầu tư của quỹ </w:t>
      </w:r>
      <w:r w:rsidR="00495D48" w:rsidRPr="00F95AFC">
        <w:rPr>
          <w:rFonts w:ascii="Times New Roman" w:hAnsi="Times New Roman"/>
          <w:sz w:val="24"/>
          <w:szCs w:val="24"/>
          <w:lang w:val="nl-NL"/>
        </w:rPr>
        <w:t>tại thời điểm 30/06/202</w:t>
      </w:r>
      <w:r w:rsidR="00B05AA2" w:rsidRPr="00F95AFC">
        <w:rPr>
          <w:rFonts w:ascii="Times New Roman" w:hAnsi="Times New Roman"/>
          <w:sz w:val="24"/>
          <w:szCs w:val="24"/>
          <w:lang w:val="nl-NL"/>
        </w:rPr>
        <w:t>3</w:t>
      </w:r>
      <w:r w:rsidR="007A3DAD" w:rsidRPr="00F95AFC">
        <w:rPr>
          <w:rFonts w:ascii="Times New Roman" w:hAnsi="Times New Roman"/>
          <w:sz w:val="24"/>
          <w:szCs w:val="24"/>
          <w:lang w:val="nl-NL"/>
        </w:rPr>
        <w:t>:</w:t>
      </w:r>
    </w:p>
    <w:tbl>
      <w:tblPr>
        <w:tblStyle w:val="TableGrid"/>
        <w:tblW w:w="0" w:type="auto"/>
        <w:tblLook w:val="04A0" w:firstRow="1" w:lastRow="0" w:firstColumn="1" w:lastColumn="0" w:noHBand="0" w:noVBand="1"/>
      </w:tblPr>
      <w:tblGrid>
        <w:gridCol w:w="4787"/>
        <w:gridCol w:w="4817"/>
      </w:tblGrid>
      <w:tr w:rsidR="00375101" w:rsidRPr="00F95AFC" w14:paraId="404088B5" w14:textId="77777777" w:rsidTr="00F95AFC">
        <w:trPr>
          <w:trHeight w:val="287"/>
        </w:trPr>
        <w:tc>
          <w:tcPr>
            <w:tcW w:w="4787" w:type="dxa"/>
            <w:shd w:val="clear" w:color="auto" w:fill="B8CCE4" w:themeFill="accent1" w:themeFillTint="66"/>
            <w:vAlign w:val="center"/>
          </w:tcPr>
          <w:p w14:paraId="681B4102" w14:textId="06C95C34" w:rsidR="00375101" w:rsidRPr="00F95AFC" w:rsidRDefault="00375101"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Tài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đầu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tư</w:t>
            </w:r>
            <w:proofErr w:type="spellEnd"/>
          </w:p>
        </w:tc>
        <w:tc>
          <w:tcPr>
            <w:tcW w:w="4817" w:type="dxa"/>
            <w:shd w:val="clear" w:color="auto" w:fill="B8CCE4" w:themeFill="accent1" w:themeFillTint="66"/>
            <w:vAlign w:val="center"/>
          </w:tcPr>
          <w:p w14:paraId="7899D2FF" w14:textId="711451F2" w:rsidR="00375101" w:rsidRPr="00F95AFC" w:rsidRDefault="00CD728C"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Giá</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trị</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đến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30/06/202</w:t>
            </w:r>
            <w:r w:rsidR="00B05AA2" w:rsidRPr="00F95AFC">
              <w:rPr>
                <w:rFonts w:ascii="Times New Roman" w:hAnsi="Times New Roman"/>
                <w:b/>
                <w:sz w:val="24"/>
                <w:szCs w:val="24"/>
              </w:rPr>
              <w:t>3</w:t>
            </w:r>
          </w:p>
        </w:tc>
      </w:tr>
      <w:tr w:rsidR="00620377" w:rsidRPr="00F95AFC" w14:paraId="04FCD56B" w14:textId="77777777" w:rsidTr="00F95AFC">
        <w:trPr>
          <w:trHeight w:val="377"/>
        </w:trPr>
        <w:tc>
          <w:tcPr>
            <w:tcW w:w="4787" w:type="dxa"/>
            <w:shd w:val="clear" w:color="auto" w:fill="auto"/>
            <w:vAlign w:val="center"/>
          </w:tcPr>
          <w:p w14:paraId="5BC2349A" w14:textId="10C27C69" w:rsidR="00620377" w:rsidRPr="00F95AFC" w:rsidRDefault="00620377" w:rsidP="00F95AFC">
            <w:pPr>
              <w:rPr>
                <w:rFonts w:ascii="Times New Roman" w:hAnsi="Times New Roman"/>
                <w:sz w:val="24"/>
                <w:szCs w:val="24"/>
                <w:lang w:val="nl-NL"/>
              </w:rPr>
            </w:pPr>
            <w:r w:rsidRPr="00F95AFC">
              <w:rPr>
                <w:rFonts w:ascii="Times New Roman" w:hAnsi="Times New Roman"/>
                <w:sz w:val="24"/>
                <w:szCs w:val="24"/>
                <w:lang w:val="nl-NL"/>
              </w:rPr>
              <w:t>Trái phiếu chưa niêm yết</w:t>
            </w:r>
          </w:p>
        </w:tc>
        <w:tc>
          <w:tcPr>
            <w:tcW w:w="4817" w:type="dxa"/>
            <w:shd w:val="clear" w:color="auto" w:fill="auto"/>
            <w:vAlign w:val="center"/>
          </w:tcPr>
          <w:p w14:paraId="4468D694" w14:textId="6395FAD1" w:rsidR="00620377" w:rsidRPr="00F95AFC" w:rsidRDefault="00B05AA2" w:rsidP="00F95AFC">
            <w:pPr>
              <w:jc w:val="right"/>
              <w:rPr>
                <w:rFonts w:ascii="Times New Roman" w:hAnsi="Times New Roman"/>
                <w:sz w:val="24"/>
                <w:szCs w:val="24"/>
                <w:lang w:val="nl-NL"/>
              </w:rPr>
            </w:pPr>
            <w:r w:rsidRPr="00F95AFC">
              <w:rPr>
                <w:rFonts w:ascii="Times New Roman" w:hAnsi="Times New Roman"/>
                <w:sz w:val="24"/>
                <w:szCs w:val="24"/>
                <w:lang w:val="nl-NL"/>
              </w:rPr>
              <w:t>0</w:t>
            </w:r>
          </w:p>
        </w:tc>
      </w:tr>
      <w:tr w:rsidR="004D1DE6" w:rsidRPr="00F95AFC" w14:paraId="2E37552C" w14:textId="77777777" w:rsidTr="00F95AFC">
        <w:trPr>
          <w:trHeight w:val="440"/>
        </w:trPr>
        <w:tc>
          <w:tcPr>
            <w:tcW w:w="4787" w:type="dxa"/>
            <w:vAlign w:val="center"/>
          </w:tcPr>
          <w:p w14:paraId="12C77119" w14:textId="1DD9EBE8"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Tiền gửi ngân hàng</w:t>
            </w:r>
          </w:p>
        </w:tc>
        <w:tc>
          <w:tcPr>
            <w:tcW w:w="4817" w:type="dxa"/>
          </w:tcPr>
          <w:p w14:paraId="084A875B" w14:textId="25744FCA" w:rsidR="004D1DE6" w:rsidRPr="00F95AFC" w:rsidRDefault="00B05AA2" w:rsidP="00F95AFC">
            <w:pPr>
              <w:jc w:val="right"/>
              <w:rPr>
                <w:rFonts w:ascii="Times New Roman" w:hAnsi="Times New Roman"/>
                <w:sz w:val="24"/>
                <w:szCs w:val="24"/>
              </w:rPr>
            </w:pPr>
            <w:r w:rsidRPr="00F95AFC">
              <w:rPr>
                <w:rFonts w:ascii="Times New Roman" w:hAnsi="Times New Roman"/>
                <w:sz w:val="24"/>
                <w:szCs w:val="24"/>
              </w:rPr>
              <w:t>1.394.381.410</w:t>
            </w:r>
          </w:p>
        </w:tc>
      </w:tr>
      <w:tr w:rsidR="004D1DE6" w:rsidRPr="00F95AFC" w14:paraId="4E1DE792" w14:textId="77777777" w:rsidTr="00F95AFC">
        <w:trPr>
          <w:trHeight w:val="440"/>
        </w:trPr>
        <w:tc>
          <w:tcPr>
            <w:tcW w:w="4787" w:type="dxa"/>
            <w:vAlign w:val="center"/>
          </w:tcPr>
          <w:p w14:paraId="65CCF2FC" w14:textId="4C3BE19F"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Các khoản tương đương tiền</w:t>
            </w:r>
          </w:p>
        </w:tc>
        <w:tc>
          <w:tcPr>
            <w:tcW w:w="4817" w:type="dxa"/>
          </w:tcPr>
          <w:p w14:paraId="0292A057" w14:textId="0A1C5C0A" w:rsidR="004D1DE6" w:rsidRPr="00F95AFC" w:rsidRDefault="00D65F75" w:rsidP="00F95AFC">
            <w:pPr>
              <w:jc w:val="right"/>
              <w:rPr>
                <w:rFonts w:ascii="Times New Roman" w:hAnsi="Times New Roman"/>
                <w:sz w:val="24"/>
                <w:szCs w:val="24"/>
              </w:rPr>
            </w:pPr>
            <w:r w:rsidRPr="00F95AFC">
              <w:rPr>
                <w:rFonts w:ascii="Times New Roman" w:hAnsi="Times New Roman"/>
                <w:sz w:val="24"/>
                <w:szCs w:val="24"/>
              </w:rPr>
              <w:t>0</w:t>
            </w:r>
          </w:p>
        </w:tc>
      </w:tr>
      <w:tr w:rsidR="004D1DE6" w:rsidRPr="00F95AFC" w14:paraId="3C76BD46" w14:textId="77777777" w:rsidTr="00F95AFC">
        <w:trPr>
          <w:trHeight w:val="440"/>
        </w:trPr>
        <w:tc>
          <w:tcPr>
            <w:tcW w:w="4787" w:type="dxa"/>
            <w:vAlign w:val="center"/>
          </w:tcPr>
          <w:p w14:paraId="313079D2" w14:textId="58FD5F57"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Tiền gửi kỳ hạn trên 3 tháng</w:t>
            </w:r>
          </w:p>
        </w:tc>
        <w:tc>
          <w:tcPr>
            <w:tcW w:w="4817" w:type="dxa"/>
          </w:tcPr>
          <w:p w14:paraId="2BBE3EAA" w14:textId="71389BA6" w:rsidR="004D1DE6" w:rsidRPr="00F95AFC" w:rsidRDefault="00DB5D2B" w:rsidP="00F95AFC">
            <w:pPr>
              <w:jc w:val="right"/>
              <w:rPr>
                <w:rFonts w:ascii="Times New Roman" w:hAnsi="Times New Roman"/>
                <w:sz w:val="24"/>
                <w:szCs w:val="24"/>
              </w:rPr>
            </w:pPr>
            <w:r w:rsidRPr="00F95AFC">
              <w:rPr>
                <w:rFonts w:ascii="Times New Roman" w:hAnsi="Times New Roman"/>
                <w:sz w:val="24"/>
                <w:szCs w:val="24"/>
              </w:rPr>
              <w:t>10</w:t>
            </w:r>
            <w:r w:rsidR="00B05AA2" w:rsidRPr="00F95AFC">
              <w:rPr>
                <w:rFonts w:ascii="Times New Roman" w:hAnsi="Times New Roman"/>
                <w:sz w:val="24"/>
                <w:szCs w:val="24"/>
              </w:rPr>
              <w:t>1</w:t>
            </w:r>
            <w:r w:rsidR="00D65F75" w:rsidRPr="00F95AFC">
              <w:rPr>
                <w:rFonts w:ascii="Times New Roman" w:hAnsi="Times New Roman"/>
                <w:sz w:val="24"/>
                <w:szCs w:val="24"/>
              </w:rPr>
              <w:t>.</w:t>
            </w:r>
            <w:r w:rsidR="00B05AA2" w:rsidRPr="00F95AFC">
              <w:rPr>
                <w:rFonts w:ascii="Times New Roman" w:hAnsi="Times New Roman"/>
                <w:sz w:val="24"/>
                <w:szCs w:val="24"/>
              </w:rPr>
              <w:t>0</w:t>
            </w:r>
            <w:r w:rsidR="00D65F75" w:rsidRPr="00F95AFC">
              <w:rPr>
                <w:rFonts w:ascii="Times New Roman" w:hAnsi="Times New Roman"/>
                <w:sz w:val="24"/>
                <w:szCs w:val="24"/>
              </w:rPr>
              <w:t>00</w:t>
            </w:r>
            <w:r w:rsidR="004D1DE6" w:rsidRPr="00F95AFC">
              <w:rPr>
                <w:rFonts w:ascii="Times New Roman" w:hAnsi="Times New Roman"/>
                <w:sz w:val="24"/>
                <w:szCs w:val="24"/>
              </w:rPr>
              <w:t>.000.000</w:t>
            </w:r>
          </w:p>
        </w:tc>
      </w:tr>
      <w:tr w:rsidR="004D1DE6" w:rsidRPr="00F95AFC" w14:paraId="772EF903" w14:textId="77777777" w:rsidTr="00F95AFC">
        <w:trPr>
          <w:trHeight w:val="440"/>
        </w:trPr>
        <w:tc>
          <w:tcPr>
            <w:tcW w:w="4787" w:type="dxa"/>
            <w:vAlign w:val="center"/>
          </w:tcPr>
          <w:p w14:paraId="04EB96F2" w14:textId="1AF0AD96"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Chứng chỉ tiền gửi</w:t>
            </w:r>
          </w:p>
        </w:tc>
        <w:tc>
          <w:tcPr>
            <w:tcW w:w="4817" w:type="dxa"/>
          </w:tcPr>
          <w:p w14:paraId="5D0A8220" w14:textId="31135BDC" w:rsidR="004D1DE6" w:rsidRPr="00F95AFC" w:rsidRDefault="00B05AA2" w:rsidP="00F95AFC">
            <w:pPr>
              <w:jc w:val="right"/>
              <w:rPr>
                <w:rFonts w:ascii="Times New Roman" w:hAnsi="Times New Roman"/>
                <w:sz w:val="24"/>
                <w:szCs w:val="24"/>
              </w:rPr>
            </w:pPr>
            <w:r w:rsidRPr="00F95AFC">
              <w:rPr>
                <w:rFonts w:ascii="Times New Roman" w:hAnsi="Times New Roman"/>
                <w:sz w:val="24"/>
                <w:szCs w:val="24"/>
              </w:rPr>
              <w:t>13.000.000.000</w:t>
            </w:r>
          </w:p>
        </w:tc>
      </w:tr>
      <w:tr w:rsidR="004D1DE6" w:rsidRPr="00F95AFC" w14:paraId="1A42813F" w14:textId="77777777" w:rsidTr="00F95AFC">
        <w:trPr>
          <w:trHeight w:val="440"/>
        </w:trPr>
        <w:tc>
          <w:tcPr>
            <w:tcW w:w="4787" w:type="dxa"/>
            <w:vAlign w:val="center"/>
          </w:tcPr>
          <w:p w14:paraId="60E3B292" w14:textId="1DB37797"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Khác</w:t>
            </w:r>
          </w:p>
        </w:tc>
        <w:tc>
          <w:tcPr>
            <w:tcW w:w="4817" w:type="dxa"/>
          </w:tcPr>
          <w:p w14:paraId="1A46694D" w14:textId="497D5908" w:rsidR="004D1DE6" w:rsidRPr="00F95AFC" w:rsidRDefault="00B05AA2" w:rsidP="00F95AFC">
            <w:pPr>
              <w:jc w:val="right"/>
              <w:rPr>
                <w:rFonts w:ascii="Times New Roman" w:hAnsi="Times New Roman"/>
                <w:sz w:val="24"/>
                <w:szCs w:val="24"/>
              </w:rPr>
            </w:pPr>
            <w:r w:rsidRPr="00F95AFC">
              <w:rPr>
                <w:rFonts w:ascii="Times New Roman" w:hAnsi="Times New Roman"/>
                <w:sz w:val="24"/>
                <w:szCs w:val="24"/>
              </w:rPr>
              <w:t>5.260.958.219</w:t>
            </w:r>
          </w:p>
        </w:tc>
      </w:tr>
      <w:tr w:rsidR="00375101" w:rsidRPr="00F95AFC" w14:paraId="28D1C12F" w14:textId="77777777" w:rsidTr="00F95AFC">
        <w:trPr>
          <w:trHeight w:val="440"/>
        </w:trPr>
        <w:tc>
          <w:tcPr>
            <w:tcW w:w="4787" w:type="dxa"/>
          </w:tcPr>
          <w:p w14:paraId="10B34876" w14:textId="11ECFFE5" w:rsidR="00375101" w:rsidRPr="00F95AFC" w:rsidRDefault="00375101" w:rsidP="00F95AFC">
            <w:pPr>
              <w:jc w:val="center"/>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p>
        </w:tc>
        <w:tc>
          <w:tcPr>
            <w:tcW w:w="4817" w:type="dxa"/>
          </w:tcPr>
          <w:p w14:paraId="48EF8BC4" w14:textId="6BA73173" w:rsidR="00375101" w:rsidRPr="00F95AFC" w:rsidRDefault="00B05AA2" w:rsidP="00F95AFC">
            <w:pPr>
              <w:jc w:val="right"/>
              <w:rPr>
                <w:rFonts w:ascii="Times New Roman" w:hAnsi="Times New Roman"/>
                <w:b/>
                <w:sz w:val="24"/>
                <w:szCs w:val="24"/>
              </w:rPr>
            </w:pPr>
            <w:r w:rsidRPr="00F95AFC">
              <w:rPr>
                <w:rFonts w:ascii="Times New Roman" w:hAnsi="Times New Roman"/>
                <w:b/>
                <w:sz w:val="24"/>
                <w:szCs w:val="24"/>
              </w:rPr>
              <w:t>120.655.339.629</w:t>
            </w:r>
          </w:p>
        </w:tc>
      </w:tr>
    </w:tbl>
    <w:p w14:paraId="6317F21E" w14:textId="74759BDD" w:rsidR="007A3DAD" w:rsidRPr="00F95AFC" w:rsidRDefault="007A3DAD" w:rsidP="00F95AFC">
      <w:pPr>
        <w:spacing w:before="120" w:line="360" w:lineRule="auto"/>
        <w:jc w:val="both"/>
        <w:rPr>
          <w:rFonts w:ascii="Times New Roman" w:hAnsi="Times New Roman"/>
          <w:b/>
          <w:i/>
          <w:sz w:val="24"/>
          <w:szCs w:val="24"/>
        </w:rPr>
      </w:pPr>
    </w:p>
    <w:p w14:paraId="304D0C90" w14:textId="72F2BD00" w:rsidR="004C5125"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w:t>
      </w:r>
      <w:r w:rsidR="00381E33" w:rsidRPr="00F95AFC">
        <w:rPr>
          <w:rFonts w:ascii="Times New Roman" w:hAnsi="Times New Roman"/>
          <w:sz w:val="24"/>
          <w:szCs w:val="24"/>
        </w:rPr>
        <w:t xml:space="preserve"> </w:t>
      </w:r>
      <w:r w:rsidR="00381E33" w:rsidRPr="00F95AFC">
        <w:rPr>
          <w:rFonts w:ascii="Times New Roman" w:hAnsi="Times New Roman"/>
          <w:sz w:val="24"/>
          <w:szCs w:val="24"/>
          <w:lang w:val="nl-NL"/>
        </w:rPr>
        <w:t>tại thời điểm 30/06/20</w:t>
      </w:r>
      <w:r w:rsidR="00B13212" w:rsidRPr="00F95AFC">
        <w:rPr>
          <w:rFonts w:ascii="Times New Roman" w:hAnsi="Times New Roman"/>
          <w:sz w:val="24"/>
          <w:szCs w:val="24"/>
          <w:lang w:val="nl-NL"/>
        </w:rPr>
        <w:t>2</w:t>
      </w:r>
      <w:r w:rsidR="00B05AA2" w:rsidRPr="00F95AFC">
        <w:rPr>
          <w:rFonts w:ascii="Times New Roman" w:hAnsi="Times New Roman"/>
          <w:sz w:val="24"/>
          <w:szCs w:val="24"/>
          <w:lang w:val="nl-NL"/>
        </w:rPr>
        <w:t>3</w:t>
      </w:r>
      <w:r w:rsidR="00381E33" w:rsidRPr="00F95AFC">
        <w:rPr>
          <w:rFonts w:ascii="Times New Roman" w:hAnsi="Times New Roman"/>
          <w:sz w:val="24"/>
          <w:szCs w:val="24"/>
          <w:lang w:val="nl-NL"/>
        </w:rPr>
        <w:t>:</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2"/>
        <w:gridCol w:w="2018"/>
      </w:tblGrid>
      <w:tr w:rsidR="00C91CCA" w:rsidRPr="00F95AFC" w14:paraId="4DA5F94C" w14:textId="77777777" w:rsidTr="00FF72F7">
        <w:trPr>
          <w:trHeight w:val="548"/>
        </w:trPr>
        <w:tc>
          <w:tcPr>
            <w:tcW w:w="8062" w:type="dxa"/>
            <w:shd w:val="clear" w:color="auto" w:fill="B8CCE4" w:themeFill="accent1" w:themeFillTint="66"/>
            <w:vAlign w:val="center"/>
            <w:hideMark/>
          </w:tcPr>
          <w:p w14:paraId="16E7B3AD" w14:textId="3AA8E26F" w:rsidR="00C91CCA" w:rsidRPr="00F95AFC" w:rsidRDefault="00BD0547" w:rsidP="00F95AFC">
            <w:pPr>
              <w:spacing w:line="360" w:lineRule="auto"/>
              <w:jc w:val="center"/>
              <w:rPr>
                <w:rFonts w:ascii="Times New Roman" w:hAnsi="Times New Roman"/>
                <w:b/>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2018" w:type="dxa"/>
            <w:shd w:val="clear" w:color="auto" w:fill="B8CCE4" w:themeFill="accent1" w:themeFillTint="66"/>
            <w:vAlign w:val="center"/>
          </w:tcPr>
          <w:p w14:paraId="51E4B2A3" w14:textId="7EDB21CF" w:rsidR="00C91CCA" w:rsidRPr="00F95AFC" w:rsidRDefault="00A60343"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B05AA2" w:rsidRPr="00F95AFC">
              <w:rPr>
                <w:rFonts w:ascii="Times New Roman" w:hAnsi="Times New Roman"/>
                <w:b/>
                <w:sz w:val="24"/>
                <w:szCs w:val="24"/>
              </w:rPr>
              <w:t>3</w:t>
            </w:r>
          </w:p>
        </w:tc>
      </w:tr>
      <w:tr w:rsidR="00C91CCA" w:rsidRPr="00F95AFC" w14:paraId="40125741" w14:textId="77777777" w:rsidTr="009D6DBC">
        <w:trPr>
          <w:trHeight w:val="358"/>
        </w:trPr>
        <w:tc>
          <w:tcPr>
            <w:tcW w:w="8062" w:type="dxa"/>
            <w:shd w:val="clear" w:color="auto" w:fill="auto"/>
            <w:vAlign w:val="bottom"/>
            <w:hideMark/>
          </w:tcPr>
          <w:p w14:paraId="7359A987" w14:textId="046A0DEC" w:rsidR="00C91CCA" w:rsidRPr="00F95AFC" w:rsidRDefault="00C91CCA" w:rsidP="00F95AFC">
            <w:pPr>
              <w:spacing w:line="360" w:lineRule="auto"/>
              <w:rPr>
                <w:rFonts w:ascii="Times New Roman" w:hAnsi="Times New Roman"/>
                <w:sz w:val="24"/>
                <w:szCs w:val="24"/>
              </w:rPr>
            </w:pP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ngày</w:t>
            </w:r>
            <w:proofErr w:type="spellEnd"/>
            <w:r w:rsidRPr="00F95AFC">
              <w:rPr>
                <w:rFonts w:ascii="Times New Roman" w:hAnsi="Times New Roman"/>
                <w:sz w:val="24"/>
                <w:szCs w:val="24"/>
              </w:rPr>
              <w:t xml:space="preserve"> </w:t>
            </w:r>
            <w:r w:rsidR="008463F5" w:rsidRPr="00F95AFC">
              <w:rPr>
                <w:rFonts w:ascii="Times New Roman" w:hAnsi="Times New Roman"/>
                <w:sz w:val="24"/>
                <w:szCs w:val="24"/>
              </w:rPr>
              <w:t>30/06/20</w:t>
            </w:r>
            <w:r w:rsidR="00A60343" w:rsidRPr="00F95AFC">
              <w:rPr>
                <w:rFonts w:ascii="Times New Roman" w:hAnsi="Times New Roman"/>
                <w:sz w:val="24"/>
                <w:szCs w:val="24"/>
              </w:rPr>
              <w:t>2</w:t>
            </w:r>
            <w:r w:rsidR="00B05AA2" w:rsidRPr="00F95AFC">
              <w:rPr>
                <w:rFonts w:ascii="Times New Roman" w:hAnsi="Times New Roman"/>
                <w:sz w:val="24"/>
                <w:szCs w:val="24"/>
              </w:rPr>
              <w:t>3</w:t>
            </w:r>
          </w:p>
        </w:tc>
        <w:tc>
          <w:tcPr>
            <w:tcW w:w="2018" w:type="dxa"/>
            <w:vAlign w:val="center"/>
          </w:tcPr>
          <w:p w14:paraId="51C9A6D7" w14:textId="2997256C" w:rsidR="00C91CCA" w:rsidRPr="00F95AFC" w:rsidRDefault="00D24287" w:rsidP="00F95AFC">
            <w:pPr>
              <w:spacing w:line="360" w:lineRule="auto"/>
              <w:ind w:right="90"/>
              <w:jc w:val="right"/>
              <w:rPr>
                <w:rFonts w:ascii="Times New Roman" w:hAnsi="Times New Roman"/>
                <w:sz w:val="24"/>
                <w:szCs w:val="24"/>
                <w:highlight w:val="yellow"/>
              </w:rPr>
            </w:pPr>
            <w:r w:rsidRPr="00F95AFC">
              <w:rPr>
                <w:rFonts w:ascii="Times New Roman" w:hAnsi="Times New Roman"/>
                <w:bCs/>
                <w:color w:val="000000"/>
                <w:sz w:val="24"/>
                <w:szCs w:val="24"/>
                <w:lang w:val="en-SG" w:eastAsia="en-SG"/>
              </w:rPr>
              <w:t>120.403.919.940</w:t>
            </w:r>
          </w:p>
        </w:tc>
      </w:tr>
      <w:tr w:rsidR="00C91CCA" w:rsidRPr="00F95AFC" w14:paraId="5F5FD3CE" w14:textId="77777777" w:rsidTr="009D6DBC">
        <w:trPr>
          <w:trHeight w:val="358"/>
        </w:trPr>
        <w:tc>
          <w:tcPr>
            <w:tcW w:w="8062" w:type="dxa"/>
            <w:shd w:val="clear" w:color="auto" w:fill="auto"/>
            <w:vAlign w:val="bottom"/>
            <w:hideMark/>
          </w:tcPr>
          <w:p w14:paraId="1AAA2797" w14:textId="77777777"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lang w:val="nl-NL"/>
              </w:rPr>
              <w:t>Giá trị tài sản ròng trên một đơn vị quỹ, số lượng chứng chỉ quỹ đang lưu hành</w:t>
            </w:r>
          </w:p>
        </w:tc>
        <w:tc>
          <w:tcPr>
            <w:tcW w:w="2018" w:type="dxa"/>
            <w:vAlign w:val="center"/>
          </w:tcPr>
          <w:p w14:paraId="0CBD9091" w14:textId="77777777" w:rsidR="00C91CCA" w:rsidRPr="00F95AFC" w:rsidRDefault="00C91CCA" w:rsidP="00F95AFC">
            <w:pPr>
              <w:spacing w:line="360" w:lineRule="auto"/>
              <w:ind w:right="90"/>
              <w:jc w:val="right"/>
              <w:rPr>
                <w:rFonts w:ascii="Times New Roman" w:hAnsi="Times New Roman"/>
                <w:sz w:val="24"/>
                <w:szCs w:val="24"/>
                <w:highlight w:val="yellow"/>
              </w:rPr>
            </w:pPr>
          </w:p>
        </w:tc>
      </w:tr>
      <w:tr w:rsidR="00C91CCA" w:rsidRPr="00F95AFC" w14:paraId="46E5F51C" w14:textId="77777777" w:rsidTr="009D6DBC">
        <w:trPr>
          <w:trHeight w:val="358"/>
        </w:trPr>
        <w:tc>
          <w:tcPr>
            <w:tcW w:w="8062" w:type="dxa"/>
            <w:shd w:val="clear" w:color="auto" w:fill="auto"/>
            <w:vAlign w:val="bottom"/>
          </w:tcPr>
          <w:p w14:paraId="7A4D6A76" w14:textId="1594D848" w:rsidR="00C91CCA" w:rsidRPr="00F95AFC" w:rsidRDefault="00C91CCA" w:rsidP="00F95AFC">
            <w:pPr>
              <w:pStyle w:val="ListParagraph"/>
              <w:numPr>
                <w:ilvl w:val="0"/>
                <w:numId w:val="7"/>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w:t>
            </w:r>
            <w:proofErr w:type="spellStart"/>
            <w:r w:rsidRPr="00F95AFC">
              <w:rPr>
                <w:b w:val="0"/>
              </w:rPr>
              <w:t>tại</w:t>
            </w:r>
            <w:proofErr w:type="spellEnd"/>
            <w:r w:rsidRPr="00F95AFC">
              <w:rPr>
                <w:b w:val="0"/>
              </w:rPr>
              <w:t xml:space="preserve"> </w:t>
            </w:r>
            <w:proofErr w:type="spellStart"/>
            <w:r w:rsidRPr="00F95AFC">
              <w:rPr>
                <w:b w:val="0"/>
              </w:rPr>
              <w:t>ngày</w:t>
            </w:r>
            <w:proofErr w:type="spellEnd"/>
            <w:r w:rsidRPr="00F95AFC">
              <w:rPr>
                <w:b w:val="0"/>
              </w:rPr>
              <w:t xml:space="preserve"> </w:t>
            </w:r>
            <w:r w:rsidR="008463F5" w:rsidRPr="00F95AFC">
              <w:rPr>
                <w:b w:val="0"/>
              </w:rPr>
              <w:t>30/06/20</w:t>
            </w:r>
            <w:r w:rsidR="00A60343" w:rsidRPr="00F95AFC">
              <w:rPr>
                <w:b w:val="0"/>
              </w:rPr>
              <w:t>2</w:t>
            </w:r>
            <w:r w:rsidR="00B05AA2" w:rsidRPr="00F95AFC">
              <w:rPr>
                <w:b w:val="0"/>
              </w:rPr>
              <w:t>3</w:t>
            </w:r>
          </w:p>
        </w:tc>
        <w:tc>
          <w:tcPr>
            <w:tcW w:w="2018" w:type="dxa"/>
            <w:vAlign w:val="center"/>
          </w:tcPr>
          <w:p w14:paraId="06FA2EE7" w14:textId="128A6088" w:rsidR="00C91CCA" w:rsidRPr="00F95AFC" w:rsidRDefault="00D24287" w:rsidP="00F95AFC">
            <w:pPr>
              <w:spacing w:line="360" w:lineRule="auto"/>
              <w:ind w:right="90"/>
              <w:jc w:val="right"/>
              <w:rPr>
                <w:rFonts w:ascii="Times New Roman" w:hAnsi="Times New Roman"/>
                <w:sz w:val="24"/>
                <w:szCs w:val="24"/>
                <w:highlight w:val="yellow"/>
              </w:rPr>
            </w:pPr>
            <w:r w:rsidRPr="00F95AFC">
              <w:rPr>
                <w:rFonts w:ascii="Times New Roman" w:hAnsi="Times New Roman"/>
                <w:sz w:val="24"/>
                <w:szCs w:val="24"/>
                <w:lang w:val="nl-NL"/>
              </w:rPr>
              <w:t>12.047,11</w:t>
            </w:r>
          </w:p>
        </w:tc>
      </w:tr>
      <w:tr w:rsidR="00C91CCA" w:rsidRPr="00F95AFC" w14:paraId="1DF4D72D" w14:textId="77777777" w:rsidTr="009D6DBC">
        <w:trPr>
          <w:trHeight w:val="358"/>
        </w:trPr>
        <w:tc>
          <w:tcPr>
            <w:tcW w:w="8062" w:type="dxa"/>
            <w:shd w:val="clear" w:color="auto" w:fill="auto"/>
            <w:vAlign w:val="bottom"/>
            <w:hideMark/>
          </w:tcPr>
          <w:p w14:paraId="7EF91EEA" w14:textId="6DB64C54" w:rsidR="00C91CCA" w:rsidRPr="00F95AFC" w:rsidRDefault="00C91CCA" w:rsidP="00F95AFC">
            <w:pPr>
              <w:pStyle w:val="ListParagraph"/>
              <w:numPr>
                <w:ilvl w:val="0"/>
                <w:numId w:val="7"/>
              </w:numPr>
              <w:spacing w:line="360" w:lineRule="auto"/>
              <w:rPr>
                <w:b w:val="0"/>
              </w:rPr>
            </w:pPr>
            <w:proofErr w:type="spellStart"/>
            <w:r w:rsidRPr="00F95AFC">
              <w:rPr>
                <w:b w:val="0"/>
              </w:rPr>
              <w:t>Số</w:t>
            </w:r>
            <w:proofErr w:type="spellEnd"/>
            <w:r w:rsidRPr="00F95AFC">
              <w:rPr>
                <w:b w:val="0"/>
              </w:rPr>
              <w:t xml:space="preserve"> </w:t>
            </w:r>
            <w:proofErr w:type="spellStart"/>
            <w:r w:rsidRPr="00F95AFC">
              <w:rPr>
                <w:b w:val="0"/>
              </w:rPr>
              <w:t>lượng</w:t>
            </w:r>
            <w:proofErr w:type="spellEnd"/>
            <w:r w:rsidRPr="00F95AFC">
              <w:rPr>
                <w:b w:val="0"/>
              </w:rPr>
              <w:t xml:space="preserve"> </w:t>
            </w:r>
            <w:proofErr w:type="spellStart"/>
            <w:r w:rsidRPr="00F95AFC">
              <w:rPr>
                <w:b w:val="0"/>
              </w:rPr>
              <w:t>chứng</w:t>
            </w:r>
            <w:proofErr w:type="spellEnd"/>
            <w:r w:rsidRPr="00F95AFC">
              <w:rPr>
                <w:b w:val="0"/>
              </w:rPr>
              <w:t xml:space="preserve"> </w:t>
            </w:r>
            <w:proofErr w:type="spellStart"/>
            <w:r w:rsidRPr="00F95AFC">
              <w:rPr>
                <w:b w:val="0"/>
              </w:rPr>
              <w:t>chỉ</w:t>
            </w:r>
            <w:proofErr w:type="spellEnd"/>
            <w:r w:rsidRPr="00F95AFC">
              <w:rPr>
                <w:b w:val="0"/>
              </w:rPr>
              <w:t xml:space="preserve"> quỹ </w:t>
            </w:r>
            <w:proofErr w:type="spellStart"/>
            <w:r w:rsidRPr="00F95AFC">
              <w:rPr>
                <w:b w:val="0"/>
              </w:rPr>
              <w:t>đang</w:t>
            </w:r>
            <w:proofErr w:type="spellEnd"/>
            <w:r w:rsidRPr="00F95AFC">
              <w:rPr>
                <w:b w:val="0"/>
              </w:rPr>
              <w:t xml:space="preserve"> </w:t>
            </w:r>
            <w:proofErr w:type="spellStart"/>
            <w:r w:rsidRPr="00F95AFC">
              <w:rPr>
                <w:b w:val="0"/>
              </w:rPr>
              <w:t>lưu</w:t>
            </w:r>
            <w:proofErr w:type="spellEnd"/>
            <w:r w:rsidRPr="00F95AFC">
              <w:rPr>
                <w:b w:val="0"/>
              </w:rPr>
              <w:t xml:space="preserve"> </w:t>
            </w:r>
            <w:proofErr w:type="spellStart"/>
            <w:r w:rsidRPr="00F95AFC">
              <w:rPr>
                <w:b w:val="0"/>
              </w:rPr>
              <w:t>hành</w:t>
            </w:r>
            <w:proofErr w:type="spellEnd"/>
            <w:r w:rsidRPr="00F95AFC">
              <w:rPr>
                <w:b w:val="0"/>
              </w:rPr>
              <w:t xml:space="preserve"> </w:t>
            </w:r>
            <w:proofErr w:type="spellStart"/>
            <w:r w:rsidRPr="00F95AFC">
              <w:rPr>
                <w:b w:val="0"/>
              </w:rPr>
              <w:t>tại</w:t>
            </w:r>
            <w:proofErr w:type="spellEnd"/>
            <w:r w:rsidRPr="00F95AFC">
              <w:rPr>
                <w:b w:val="0"/>
              </w:rPr>
              <w:t xml:space="preserve"> </w:t>
            </w:r>
            <w:proofErr w:type="spellStart"/>
            <w:r w:rsidRPr="00F95AFC">
              <w:rPr>
                <w:b w:val="0"/>
              </w:rPr>
              <w:t>ngày</w:t>
            </w:r>
            <w:proofErr w:type="spellEnd"/>
            <w:r w:rsidRPr="00F95AFC">
              <w:rPr>
                <w:b w:val="0"/>
              </w:rPr>
              <w:t xml:space="preserve"> </w:t>
            </w:r>
            <w:r w:rsidR="00A60343" w:rsidRPr="00F95AFC">
              <w:rPr>
                <w:b w:val="0"/>
              </w:rPr>
              <w:t>30/06/202</w:t>
            </w:r>
            <w:r w:rsidR="00B05AA2" w:rsidRPr="00F95AFC">
              <w:rPr>
                <w:b w:val="0"/>
              </w:rPr>
              <w:t>3</w:t>
            </w:r>
          </w:p>
        </w:tc>
        <w:tc>
          <w:tcPr>
            <w:tcW w:w="2018" w:type="dxa"/>
            <w:vAlign w:val="center"/>
          </w:tcPr>
          <w:p w14:paraId="3623FEDB" w14:textId="0B73A080" w:rsidR="00C91CCA" w:rsidRPr="00F95AFC" w:rsidRDefault="00D24287" w:rsidP="00F95AFC">
            <w:pPr>
              <w:spacing w:line="360" w:lineRule="auto"/>
              <w:ind w:right="90"/>
              <w:jc w:val="right"/>
              <w:rPr>
                <w:rFonts w:ascii="Times New Roman" w:hAnsi="Times New Roman"/>
                <w:sz w:val="24"/>
                <w:szCs w:val="24"/>
                <w:highlight w:val="yellow"/>
              </w:rPr>
            </w:pPr>
            <w:r w:rsidRPr="00F95AFC">
              <w:rPr>
                <w:rFonts w:ascii="Times New Roman" w:hAnsi="Times New Roman"/>
                <w:sz w:val="24"/>
                <w:szCs w:val="24"/>
                <w:lang w:val="nl-NL"/>
              </w:rPr>
              <w:t>9.994.419,08</w:t>
            </w:r>
          </w:p>
        </w:tc>
      </w:tr>
      <w:tr w:rsidR="00C91CCA" w:rsidRPr="00F95AFC" w14:paraId="0549FBA1" w14:textId="77777777" w:rsidTr="009D6DBC">
        <w:trPr>
          <w:trHeight w:val="358"/>
        </w:trPr>
        <w:tc>
          <w:tcPr>
            <w:tcW w:w="8062" w:type="dxa"/>
            <w:shd w:val="clear" w:color="auto" w:fill="auto"/>
            <w:vAlign w:val="bottom"/>
            <w:hideMark/>
          </w:tcPr>
          <w:p w14:paraId="54EF94FD" w14:textId="62342899"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lang w:val="nl-NL"/>
              </w:rPr>
              <w:t>Giá trị tài sản ròng trên một đơn vị quỹ cao nhất/thấp nhất trong</w:t>
            </w:r>
            <w:r w:rsidR="00E77A50" w:rsidRPr="00F95AFC">
              <w:rPr>
                <w:rFonts w:ascii="Times New Roman" w:hAnsi="Times New Roman"/>
                <w:sz w:val="24"/>
                <w:szCs w:val="24"/>
                <w:lang w:val="nl-NL"/>
              </w:rPr>
              <w:t xml:space="preserve"> kỳ</w:t>
            </w:r>
          </w:p>
        </w:tc>
        <w:tc>
          <w:tcPr>
            <w:tcW w:w="2018" w:type="dxa"/>
            <w:vAlign w:val="center"/>
          </w:tcPr>
          <w:p w14:paraId="06339E3B" w14:textId="77777777" w:rsidR="00C91CCA" w:rsidRPr="00F95AFC" w:rsidRDefault="00C91CCA" w:rsidP="00F95AFC">
            <w:pPr>
              <w:spacing w:line="360" w:lineRule="auto"/>
              <w:ind w:right="90"/>
              <w:jc w:val="right"/>
              <w:rPr>
                <w:rFonts w:ascii="Times New Roman" w:hAnsi="Times New Roman"/>
                <w:sz w:val="24"/>
                <w:szCs w:val="24"/>
                <w:highlight w:val="yellow"/>
              </w:rPr>
            </w:pPr>
          </w:p>
        </w:tc>
      </w:tr>
      <w:tr w:rsidR="00C91CCA" w:rsidRPr="00F95AFC" w14:paraId="0880C527" w14:textId="77777777" w:rsidTr="009D6DBC">
        <w:trPr>
          <w:trHeight w:val="358"/>
        </w:trPr>
        <w:tc>
          <w:tcPr>
            <w:tcW w:w="8062" w:type="dxa"/>
            <w:shd w:val="clear" w:color="auto" w:fill="auto"/>
            <w:vAlign w:val="bottom"/>
          </w:tcPr>
          <w:p w14:paraId="0246F9D4" w14:textId="7863EC74" w:rsidR="00C91CCA" w:rsidRPr="00F95AFC" w:rsidRDefault="00C91CCA" w:rsidP="00F95AFC">
            <w:pPr>
              <w:pStyle w:val="ListParagraph"/>
              <w:numPr>
                <w:ilvl w:val="0"/>
                <w:numId w:val="7"/>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cao </w:t>
            </w:r>
            <w:proofErr w:type="spellStart"/>
            <w:r w:rsidRPr="00F95AFC">
              <w:rPr>
                <w:b w:val="0"/>
              </w:rPr>
              <w:t>nhất</w:t>
            </w:r>
            <w:proofErr w:type="spellEnd"/>
            <w:r w:rsidRPr="00F95AFC">
              <w:rPr>
                <w:b w:val="0"/>
              </w:rPr>
              <w:t xml:space="preserve"> </w:t>
            </w:r>
          </w:p>
        </w:tc>
        <w:tc>
          <w:tcPr>
            <w:tcW w:w="2018" w:type="dxa"/>
            <w:vAlign w:val="center"/>
          </w:tcPr>
          <w:p w14:paraId="77EADF2D" w14:textId="66DD3395" w:rsidR="00C91CCA" w:rsidRPr="00F95AFC" w:rsidRDefault="00D24287" w:rsidP="00F95AFC">
            <w:pPr>
              <w:spacing w:line="360" w:lineRule="auto"/>
              <w:ind w:right="90"/>
              <w:jc w:val="right"/>
              <w:rPr>
                <w:rFonts w:ascii="Times New Roman" w:hAnsi="Times New Roman"/>
                <w:sz w:val="24"/>
                <w:szCs w:val="24"/>
                <w:highlight w:val="yellow"/>
              </w:rPr>
            </w:pPr>
            <w:r w:rsidRPr="00F95AFC">
              <w:rPr>
                <w:rFonts w:ascii="Times New Roman" w:hAnsi="Times New Roman"/>
                <w:sz w:val="24"/>
                <w:szCs w:val="24"/>
                <w:lang w:val="nl-NL"/>
              </w:rPr>
              <w:t>12.047,11</w:t>
            </w:r>
          </w:p>
        </w:tc>
      </w:tr>
      <w:tr w:rsidR="00C91CCA" w:rsidRPr="00F95AFC" w14:paraId="17DE3186" w14:textId="77777777" w:rsidTr="009D6DBC">
        <w:trPr>
          <w:trHeight w:val="358"/>
        </w:trPr>
        <w:tc>
          <w:tcPr>
            <w:tcW w:w="8062" w:type="dxa"/>
            <w:shd w:val="clear" w:color="auto" w:fill="auto"/>
            <w:vAlign w:val="bottom"/>
            <w:hideMark/>
          </w:tcPr>
          <w:p w14:paraId="4F1820B0" w14:textId="2C73168D" w:rsidR="00C91CCA" w:rsidRPr="00F95AFC" w:rsidRDefault="00C91CCA" w:rsidP="00F95AFC">
            <w:pPr>
              <w:pStyle w:val="ListParagraph"/>
              <w:numPr>
                <w:ilvl w:val="0"/>
                <w:numId w:val="7"/>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w:t>
            </w:r>
            <w:proofErr w:type="spellStart"/>
            <w:r w:rsidRPr="00F95AFC">
              <w:rPr>
                <w:b w:val="0"/>
              </w:rPr>
              <w:t>thấp</w:t>
            </w:r>
            <w:proofErr w:type="spellEnd"/>
            <w:r w:rsidRPr="00F95AFC">
              <w:rPr>
                <w:b w:val="0"/>
              </w:rPr>
              <w:t xml:space="preserve"> </w:t>
            </w:r>
            <w:proofErr w:type="spellStart"/>
            <w:r w:rsidRPr="00F95AFC">
              <w:rPr>
                <w:b w:val="0"/>
              </w:rPr>
              <w:t>nhất</w:t>
            </w:r>
            <w:proofErr w:type="spellEnd"/>
            <w:r w:rsidRPr="00F95AFC">
              <w:rPr>
                <w:b w:val="0"/>
              </w:rPr>
              <w:t xml:space="preserve"> </w:t>
            </w:r>
          </w:p>
        </w:tc>
        <w:tc>
          <w:tcPr>
            <w:tcW w:w="2018" w:type="dxa"/>
            <w:vAlign w:val="center"/>
          </w:tcPr>
          <w:p w14:paraId="6BAAF0A1" w14:textId="0DF6F7CA" w:rsidR="00C91CCA" w:rsidRPr="00F95AFC" w:rsidRDefault="00E64078" w:rsidP="00F95AFC">
            <w:pPr>
              <w:spacing w:line="360" w:lineRule="auto"/>
              <w:ind w:right="90"/>
              <w:jc w:val="right"/>
              <w:rPr>
                <w:rFonts w:ascii="Times New Roman" w:hAnsi="Times New Roman"/>
                <w:sz w:val="24"/>
                <w:szCs w:val="24"/>
                <w:highlight w:val="yellow"/>
              </w:rPr>
            </w:pPr>
            <w:r w:rsidRPr="00F95AFC">
              <w:rPr>
                <w:rFonts w:ascii="Times New Roman" w:hAnsi="Times New Roman"/>
                <w:sz w:val="24"/>
                <w:szCs w:val="24"/>
                <w:lang w:val="nl-NL"/>
              </w:rPr>
              <w:t>11.</w:t>
            </w:r>
            <w:r w:rsidR="00224C9E" w:rsidRPr="00F95AFC">
              <w:rPr>
                <w:rFonts w:ascii="Times New Roman" w:hAnsi="Times New Roman"/>
                <w:sz w:val="24"/>
                <w:szCs w:val="24"/>
                <w:lang w:val="nl-NL"/>
              </w:rPr>
              <w:t>699.38</w:t>
            </w:r>
          </w:p>
        </w:tc>
      </w:tr>
    </w:tbl>
    <w:p w14:paraId="5CB62C98" w14:textId="07D3DE44" w:rsidR="00100E1C"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nêu</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vốn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w:t>
      </w:r>
      <w:r w:rsidR="00381E33" w:rsidRPr="00F95AFC">
        <w:rPr>
          <w:rFonts w:ascii="Times New Roman" w:hAnsi="Times New Roman"/>
          <w:sz w:val="24"/>
          <w:szCs w:val="24"/>
        </w:rPr>
        <w:t>t</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tiền</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gửi</w:t>
      </w:r>
      <w:proofErr w:type="spellEnd"/>
      <w:r w:rsidR="00381E33" w:rsidRPr="00F95AFC">
        <w:rPr>
          <w:rFonts w:ascii="Times New Roman" w:hAnsi="Times New Roman"/>
          <w:sz w:val="24"/>
          <w:szCs w:val="24"/>
        </w:rPr>
        <w:t>…) (</w:t>
      </w:r>
      <w:proofErr w:type="spellStart"/>
      <w:r w:rsidR="00381E33" w:rsidRPr="00F95AFC">
        <w:rPr>
          <w:rFonts w:ascii="Times New Roman" w:hAnsi="Times New Roman"/>
          <w:sz w:val="24"/>
          <w:szCs w:val="24"/>
        </w:rPr>
        <w:t>giá</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trị</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thu</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nhập</w:t>
      </w:r>
      <w:proofErr w:type="spellEnd"/>
      <w:r w:rsidR="00381E33" w:rsidRPr="00F95AFC">
        <w:rPr>
          <w:rFonts w:ascii="Times New Roman" w:hAnsi="Times New Roman"/>
          <w:sz w:val="24"/>
          <w:szCs w:val="24"/>
        </w:rPr>
        <w:t>):</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1"/>
        <w:gridCol w:w="2019"/>
      </w:tblGrid>
      <w:tr w:rsidR="00C91CCA" w:rsidRPr="00F95AFC" w14:paraId="60BBBC2E" w14:textId="77777777" w:rsidTr="00FF72F7">
        <w:trPr>
          <w:trHeight w:val="548"/>
        </w:trPr>
        <w:tc>
          <w:tcPr>
            <w:tcW w:w="8061" w:type="dxa"/>
            <w:shd w:val="clear" w:color="auto" w:fill="B8CCE4" w:themeFill="accent1" w:themeFillTint="66"/>
            <w:vAlign w:val="center"/>
            <w:hideMark/>
          </w:tcPr>
          <w:p w14:paraId="53D9BCE7" w14:textId="2474D115" w:rsidR="00C91CCA" w:rsidRPr="00F95AFC" w:rsidRDefault="00BD0547" w:rsidP="00F95AFC">
            <w:pPr>
              <w:spacing w:before="100" w:beforeAutospacing="1" w:after="100" w:afterAutospacing="1" w:line="360" w:lineRule="auto"/>
              <w:jc w:val="center"/>
              <w:rPr>
                <w:rFonts w:ascii="Times New Roman" w:eastAsiaTheme="minorHAnsi" w:hAnsi="Times New Roman"/>
                <w:b/>
                <w:bCs/>
                <w:iCs/>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70EDB8CC" w:rsidR="00C91CCA" w:rsidRPr="00F95AFC" w:rsidRDefault="00814E5E"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224C9E" w:rsidRPr="00F95AFC">
              <w:rPr>
                <w:rFonts w:ascii="Times New Roman" w:hAnsi="Times New Roman"/>
                <w:b/>
                <w:sz w:val="24"/>
                <w:szCs w:val="24"/>
              </w:rPr>
              <w:t>3</w:t>
            </w:r>
          </w:p>
        </w:tc>
      </w:tr>
      <w:tr w:rsidR="00C91CCA" w:rsidRPr="00F95AFC" w14:paraId="0E207322" w14:textId="77777777" w:rsidTr="009D6DBC">
        <w:trPr>
          <w:trHeight w:val="362"/>
        </w:trPr>
        <w:tc>
          <w:tcPr>
            <w:tcW w:w="8061" w:type="dxa"/>
            <w:shd w:val="clear" w:color="auto" w:fill="auto"/>
            <w:vAlign w:val="center"/>
            <w:hideMark/>
          </w:tcPr>
          <w:p w14:paraId="1D2F2B12" w14:textId="77777777" w:rsidR="00C91CCA" w:rsidRPr="00F95AFC" w:rsidRDefault="00C91CCA" w:rsidP="00F95AFC">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thu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nhập</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w:t>
            </w:r>
          </w:p>
        </w:tc>
        <w:tc>
          <w:tcPr>
            <w:tcW w:w="2019" w:type="dxa"/>
            <w:vAlign w:val="center"/>
          </w:tcPr>
          <w:p w14:paraId="35941CC5" w14:textId="6606D1C8" w:rsidR="00C91CCA" w:rsidRPr="00F95AFC" w:rsidRDefault="00283732" w:rsidP="00F95AFC">
            <w:pPr>
              <w:spacing w:line="360" w:lineRule="auto"/>
              <w:ind w:right="95"/>
              <w:jc w:val="right"/>
              <w:rPr>
                <w:rFonts w:ascii="Times New Roman" w:eastAsiaTheme="minorHAnsi" w:hAnsi="Times New Roman"/>
                <w:b/>
                <w:bCs/>
                <w:sz w:val="24"/>
                <w:szCs w:val="24"/>
              </w:rPr>
            </w:pPr>
            <w:r w:rsidRPr="00F95AFC">
              <w:rPr>
                <w:rFonts w:ascii="Times New Roman" w:eastAsiaTheme="minorHAnsi" w:hAnsi="Times New Roman"/>
                <w:b/>
                <w:bCs/>
                <w:sz w:val="24"/>
                <w:szCs w:val="24"/>
              </w:rPr>
              <w:t>4.697.251.779</w:t>
            </w:r>
          </w:p>
        </w:tc>
      </w:tr>
      <w:tr w:rsidR="00C91CCA" w:rsidRPr="00F95AFC" w14:paraId="38115C6D" w14:textId="77777777" w:rsidTr="009D6DBC">
        <w:trPr>
          <w:trHeight w:val="351"/>
        </w:trPr>
        <w:tc>
          <w:tcPr>
            <w:tcW w:w="8061" w:type="dxa"/>
            <w:shd w:val="clear" w:color="auto" w:fill="auto"/>
            <w:vAlign w:val="center"/>
            <w:hideMark/>
          </w:tcPr>
          <w:p w14:paraId="69C9D9D9" w14:textId="27C1658C"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0031567D" w:rsidRPr="00F95AFC">
              <w:rPr>
                <w:rFonts w:ascii="Times New Roman" w:hAnsi="Times New Roman"/>
                <w:sz w:val="24"/>
                <w:szCs w:val="24"/>
              </w:rPr>
              <w:t>kỳ</w:t>
            </w:r>
            <w:proofErr w:type="spellEnd"/>
          </w:p>
        </w:tc>
        <w:tc>
          <w:tcPr>
            <w:tcW w:w="2019" w:type="dxa"/>
            <w:vAlign w:val="center"/>
          </w:tcPr>
          <w:p w14:paraId="7FB75A55" w14:textId="2467EA36" w:rsidR="00C91CCA" w:rsidRPr="00F95AFC" w:rsidRDefault="00283732" w:rsidP="00F95AFC">
            <w:pPr>
              <w:spacing w:line="360" w:lineRule="auto"/>
              <w:ind w:right="95"/>
              <w:jc w:val="right"/>
              <w:rPr>
                <w:rFonts w:ascii="Times New Roman" w:eastAsiaTheme="minorHAnsi" w:hAnsi="Times New Roman"/>
                <w:iCs/>
                <w:sz w:val="24"/>
                <w:szCs w:val="24"/>
              </w:rPr>
            </w:pPr>
            <w:r w:rsidRPr="00F95AFC">
              <w:rPr>
                <w:rFonts w:ascii="Times New Roman" w:eastAsiaTheme="minorHAnsi" w:hAnsi="Times New Roman"/>
                <w:iCs/>
                <w:sz w:val="24"/>
                <w:szCs w:val="24"/>
              </w:rPr>
              <w:t>4.213.758.628</w:t>
            </w:r>
          </w:p>
        </w:tc>
      </w:tr>
      <w:tr w:rsidR="0031567D" w:rsidRPr="00F95AFC" w14:paraId="7CA8DCD1" w14:textId="77777777" w:rsidTr="009D6DBC">
        <w:trPr>
          <w:trHeight w:val="351"/>
        </w:trPr>
        <w:tc>
          <w:tcPr>
            <w:tcW w:w="8061" w:type="dxa"/>
            <w:shd w:val="clear" w:color="auto" w:fill="auto"/>
            <w:vAlign w:val="center"/>
          </w:tcPr>
          <w:p w14:paraId="72694226" w14:textId="06B6A8D8" w:rsidR="0031567D" w:rsidRPr="00F95AFC" w:rsidRDefault="0031567D" w:rsidP="00F95AFC">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p>
        </w:tc>
        <w:tc>
          <w:tcPr>
            <w:tcW w:w="2019" w:type="dxa"/>
            <w:vAlign w:val="center"/>
          </w:tcPr>
          <w:p w14:paraId="4B1B9827" w14:textId="0E7BAEA8" w:rsidR="0031567D" w:rsidRPr="00F95AFC" w:rsidRDefault="00283732" w:rsidP="00F95AFC">
            <w:pPr>
              <w:spacing w:line="360" w:lineRule="auto"/>
              <w:ind w:right="95"/>
              <w:jc w:val="right"/>
              <w:rPr>
                <w:rFonts w:ascii="Times New Roman" w:eastAsiaTheme="minorHAnsi" w:hAnsi="Times New Roman"/>
                <w:iCs/>
                <w:sz w:val="24"/>
                <w:szCs w:val="24"/>
              </w:rPr>
            </w:pPr>
            <w:r w:rsidRPr="00F95AFC">
              <w:rPr>
                <w:rFonts w:ascii="Times New Roman" w:eastAsiaTheme="minorHAnsi" w:hAnsi="Times New Roman"/>
                <w:iCs/>
                <w:sz w:val="24"/>
                <w:szCs w:val="24"/>
              </w:rPr>
              <w:t>483.493.151</w:t>
            </w:r>
          </w:p>
        </w:tc>
      </w:tr>
      <w:tr w:rsidR="00AB3DBC" w:rsidRPr="00F95AFC" w14:paraId="170AEBB3" w14:textId="77777777" w:rsidTr="009D6DBC">
        <w:trPr>
          <w:trHeight w:val="351"/>
        </w:trPr>
        <w:tc>
          <w:tcPr>
            <w:tcW w:w="8061" w:type="dxa"/>
            <w:shd w:val="clear" w:color="auto" w:fill="auto"/>
            <w:vAlign w:val="center"/>
          </w:tcPr>
          <w:p w14:paraId="2153B922" w14:textId="325C87B2" w:rsidR="00AB3DBC" w:rsidRPr="00F95AFC" w:rsidRDefault="00AB3DBC" w:rsidP="00F95AFC">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
        </w:tc>
        <w:tc>
          <w:tcPr>
            <w:tcW w:w="2019" w:type="dxa"/>
            <w:vAlign w:val="center"/>
          </w:tcPr>
          <w:p w14:paraId="23F20733" w14:textId="17CB49DE" w:rsidR="00AB3DBC" w:rsidRPr="00F95AFC" w:rsidRDefault="00283732" w:rsidP="00F95AFC">
            <w:pPr>
              <w:spacing w:line="360" w:lineRule="auto"/>
              <w:ind w:right="95"/>
              <w:jc w:val="right"/>
              <w:rPr>
                <w:rFonts w:ascii="Times New Roman" w:eastAsiaTheme="minorHAnsi" w:hAnsi="Times New Roman"/>
                <w:iCs/>
                <w:sz w:val="24"/>
                <w:szCs w:val="24"/>
              </w:rPr>
            </w:pPr>
            <w:r w:rsidRPr="00F95AFC">
              <w:rPr>
                <w:rFonts w:ascii="Times New Roman" w:eastAsiaTheme="minorHAnsi" w:hAnsi="Times New Roman"/>
                <w:iCs/>
                <w:sz w:val="24"/>
                <w:szCs w:val="24"/>
              </w:rPr>
              <w:t>0</w:t>
            </w:r>
          </w:p>
        </w:tc>
      </w:tr>
      <w:tr w:rsidR="00C91CCA" w:rsidRPr="00F95AFC" w14:paraId="7B2CF325" w14:textId="77777777" w:rsidTr="009D6DBC">
        <w:trPr>
          <w:trHeight w:val="351"/>
        </w:trPr>
        <w:tc>
          <w:tcPr>
            <w:tcW w:w="8061" w:type="dxa"/>
            <w:shd w:val="clear" w:color="auto" w:fill="auto"/>
            <w:vAlign w:val="center"/>
            <w:hideMark/>
          </w:tcPr>
          <w:p w14:paraId="30101396" w14:textId="77777777" w:rsidR="00C91CCA" w:rsidRPr="00F95AFC" w:rsidRDefault="00C91CCA" w:rsidP="00F95AFC">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w:t>
            </w:r>
          </w:p>
        </w:tc>
        <w:tc>
          <w:tcPr>
            <w:tcW w:w="2019" w:type="dxa"/>
            <w:vAlign w:val="center"/>
          </w:tcPr>
          <w:p w14:paraId="73CC2ED1" w14:textId="33B68AE7" w:rsidR="00C91CCA" w:rsidRPr="00F95AFC" w:rsidRDefault="00283732" w:rsidP="00F95AFC">
            <w:pPr>
              <w:spacing w:line="360" w:lineRule="auto"/>
              <w:ind w:right="95"/>
              <w:jc w:val="right"/>
              <w:rPr>
                <w:rFonts w:ascii="Times New Roman" w:eastAsiaTheme="minorHAnsi" w:hAnsi="Times New Roman"/>
                <w:b/>
                <w:bCs/>
                <w:sz w:val="24"/>
                <w:szCs w:val="24"/>
              </w:rPr>
            </w:pPr>
            <w:r w:rsidRPr="00F95AFC">
              <w:rPr>
                <w:rFonts w:ascii="Times New Roman" w:eastAsiaTheme="minorHAnsi" w:hAnsi="Times New Roman"/>
                <w:b/>
                <w:bCs/>
                <w:sz w:val="24"/>
                <w:szCs w:val="24"/>
              </w:rPr>
              <w:t>1.166.179.782</w:t>
            </w:r>
          </w:p>
        </w:tc>
      </w:tr>
      <w:tr w:rsidR="00C91CCA" w:rsidRPr="00F95AFC" w14:paraId="7E6CBD3A" w14:textId="77777777" w:rsidTr="009D6DBC">
        <w:trPr>
          <w:trHeight w:val="351"/>
        </w:trPr>
        <w:tc>
          <w:tcPr>
            <w:tcW w:w="8061" w:type="dxa"/>
            <w:shd w:val="clear" w:color="auto" w:fill="auto"/>
            <w:vAlign w:val="center"/>
            <w:hideMark/>
          </w:tcPr>
          <w:p w14:paraId="0678CFF3" w14:textId="778057CF" w:rsidR="00C91CCA" w:rsidRPr="00F95AFC" w:rsidRDefault="00C91CCA" w:rsidP="00F95AFC">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lợi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nhuận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 </w:t>
            </w:r>
            <w:proofErr w:type="spellStart"/>
            <w:r w:rsidRPr="00F95AFC">
              <w:rPr>
                <w:rFonts w:ascii="Times New Roman" w:hAnsi="Times New Roman"/>
                <w:b/>
                <w:sz w:val="24"/>
                <w:szCs w:val="24"/>
              </w:rPr>
              <w:t>tại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w:t>
            </w:r>
            <w:r w:rsidR="00814E5E" w:rsidRPr="00F95AFC">
              <w:rPr>
                <w:rFonts w:ascii="Times New Roman" w:hAnsi="Times New Roman"/>
                <w:b/>
                <w:sz w:val="24"/>
                <w:szCs w:val="24"/>
              </w:rPr>
              <w:t>30/06/202</w:t>
            </w:r>
            <w:r w:rsidR="00283732" w:rsidRPr="00F95AFC">
              <w:rPr>
                <w:rFonts w:ascii="Times New Roman" w:hAnsi="Times New Roman"/>
                <w:b/>
                <w:sz w:val="24"/>
                <w:szCs w:val="24"/>
              </w:rPr>
              <w:t>3</w:t>
            </w:r>
          </w:p>
        </w:tc>
        <w:tc>
          <w:tcPr>
            <w:tcW w:w="2019" w:type="dxa"/>
            <w:vAlign w:val="center"/>
          </w:tcPr>
          <w:p w14:paraId="63CE5A58" w14:textId="136F8ACC" w:rsidR="00C91CCA" w:rsidRPr="00F95AFC" w:rsidRDefault="00283732" w:rsidP="00F95AFC">
            <w:pPr>
              <w:spacing w:line="360" w:lineRule="auto"/>
              <w:ind w:right="95"/>
              <w:jc w:val="right"/>
              <w:rPr>
                <w:rFonts w:ascii="Times New Roman" w:eastAsiaTheme="minorHAnsi" w:hAnsi="Times New Roman"/>
                <w:b/>
                <w:bCs/>
                <w:sz w:val="24"/>
                <w:szCs w:val="24"/>
              </w:rPr>
            </w:pPr>
            <w:r w:rsidRPr="00F95AFC">
              <w:rPr>
                <w:rFonts w:ascii="Times New Roman" w:eastAsiaTheme="minorHAnsi" w:hAnsi="Times New Roman"/>
                <w:b/>
                <w:bCs/>
                <w:sz w:val="24"/>
                <w:szCs w:val="24"/>
              </w:rPr>
              <w:t>3.531.071.997</w:t>
            </w:r>
          </w:p>
        </w:tc>
      </w:tr>
    </w:tbl>
    <w:p w14:paraId="3986B166"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gộp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mặt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hoặc</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chia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trước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r w:rsidR="00100E1C" w:rsidRPr="00F95AFC">
        <w:rPr>
          <w:rFonts w:ascii="Times New Roman" w:hAnsi="Times New Roman"/>
          <w:sz w:val="24"/>
          <w:szCs w:val="24"/>
        </w:rPr>
        <w:t xml:space="preserve">chia </w:t>
      </w:r>
      <w:proofErr w:type="spellStart"/>
      <w:r w:rsidR="00100E1C" w:rsidRPr="00F95AFC">
        <w:rPr>
          <w:rFonts w:ascii="Times New Roman" w:hAnsi="Times New Roman"/>
          <w:sz w:val="24"/>
          <w:szCs w:val="24"/>
        </w:rPr>
        <w:t>lợi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nhuận</w:t>
      </w:r>
      <w:proofErr w:type="spellEnd"/>
      <w:r w:rsidR="00100E1C" w:rsidRPr="00F95AFC">
        <w:rPr>
          <w:rFonts w:ascii="Times New Roman" w:hAnsi="Times New Roman"/>
          <w:sz w:val="24"/>
          <w:szCs w:val="24"/>
        </w:rPr>
        <w:t>:</w:t>
      </w:r>
    </w:p>
    <w:p w14:paraId="0205513E" w14:textId="74C690F1" w:rsidR="009A3BB9" w:rsidRPr="00F95AFC" w:rsidRDefault="00C315AB"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Trong </w:t>
      </w:r>
      <w:proofErr w:type="spellStart"/>
      <w:r w:rsidR="00DA6D74" w:rsidRPr="00F95AFC">
        <w:rPr>
          <w:rFonts w:ascii="Times New Roman" w:hAnsi="Times New Roman"/>
          <w:sz w:val="24"/>
          <w:szCs w:val="24"/>
        </w:rPr>
        <w:t>kỳ</w:t>
      </w:r>
      <w:proofErr w:type="spellEnd"/>
      <w:r w:rsidR="00DA6D74" w:rsidRPr="00F95AFC">
        <w:rPr>
          <w:rFonts w:ascii="Times New Roman" w:hAnsi="Times New Roman"/>
          <w:sz w:val="24"/>
          <w:szCs w:val="24"/>
        </w:rPr>
        <w:t xml:space="preserve"> </w:t>
      </w:r>
      <w:proofErr w:type="spellStart"/>
      <w:r w:rsidR="00DA6D74" w:rsidRPr="00F95AFC">
        <w:rPr>
          <w:rFonts w:ascii="Times New Roman" w:hAnsi="Times New Roman"/>
          <w:sz w:val="24"/>
          <w:szCs w:val="24"/>
        </w:rPr>
        <w:t>báo</w:t>
      </w:r>
      <w:proofErr w:type="spellEnd"/>
      <w:r w:rsidR="00DA6D74" w:rsidRPr="00F95AFC">
        <w:rPr>
          <w:rFonts w:ascii="Times New Roman" w:hAnsi="Times New Roman"/>
          <w:sz w:val="24"/>
          <w:szCs w:val="24"/>
        </w:rPr>
        <w:t xml:space="preserve"> </w:t>
      </w:r>
      <w:proofErr w:type="spellStart"/>
      <w:r w:rsidR="00DA6D74" w:rsidRPr="00F95AFC">
        <w:rPr>
          <w:rFonts w:ascii="Times New Roman" w:hAnsi="Times New Roman"/>
          <w:sz w:val="24"/>
          <w:szCs w:val="24"/>
        </w:rPr>
        <w:t>cáo</w:t>
      </w:r>
      <w:proofErr w:type="spellEnd"/>
      <w:r w:rsidR="00100E1C" w:rsidRPr="00F95AFC">
        <w:rPr>
          <w:rFonts w:ascii="Times New Roman" w:hAnsi="Times New Roman"/>
          <w:sz w:val="24"/>
          <w:szCs w:val="24"/>
        </w:rPr>
        <w:t xml:space="preserve"> Quỹ </w:t>
      </w:r>
      <w:proofErr w:type="spellStart"/>
      <w:r w:rsidR="008463F5" w:rsidRPr="00F95AFC">
        <w:rPr>
          <w:rFonts w:ascii="Times New Roman" w:hAnsi="Times New Roman"/>
          <w:sz w:val="24"/>
          <w:szCs w:val="24"/>
        </w:rPr>
        <w:t>chưa</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tiến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hành</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phân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phối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lợi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nhuận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cho</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nhà</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đầu</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tư</w:t>
      </w:r>
      <w:proofErr w:type="spellEnd"/>
    </w:p>
    <w:p w14:paraId="5A871F24" w14:textId="65499C03" w:rsidR="00100E1C" w:rsidRPr="00F95AFC" w:rsidRDefault="003F0046" w:rsidP="00F95AFC">
      <w:pPr>
        <w:spacing w:before="120" w:line="360" w:lineRule="auto"/>
        <w:jc w:val="both"/>
        <w:rPr>
          <w:rFonts w:ascii="Times New Roman" w:hAnsi="Times New Roman"/>
          <w:i/>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Tỷ</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chênh</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lệch</w:t>
      </w:r>
      <w:proofErr w:type="spellEnd"/>
      <w:r w:rsidR="00E26C0A" w:rsidRPr="00F95AFC">
        <w:rPr>
          <w:rFonts w:ascii="Times New Roman" w:hAnsi="Times New Roman"/>
          <w:sz w:val="24"/>
          <w:szCs w:val="24"/>
        </w:rPr>
        <w:t xml:space="preserve"> chi </w:t>
      </w:r>
      <w:proofErr w:type="spellStart"/>
      <w:r w:rsidR="00E26C0A" w:rsidRPr="00F95AFC">
        <w:rPr>
          <w:rFonts w:ascii="Times New Roman" w:hAnsi="Times New Roman"/>
          <w:sz w:val="24"/>
          <w:szCs w:val="24"/>
        </w:rPr>
        <w:t>phí</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hoạt</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động</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của</w:t>
      </w:r>
      <w:proofErr w:type="spellEnd"/>
      <w:r w:rsidR="00E26C0A" w:rsidRPr="00F95AFC">
        <w:rPr>
          <w:rFonts w:ascii="Times New Roman" w:hAnsi="Times New Roman"/>
          <w:sz w:val="24"/>
          <w:szCs w:val="24"/>
        </w:rPr>
        <w:t xml:space="preserve"> quỹ:</w:t>
      </w:r>
    </w:p>
    <w:tbl>
      <w:tblPr>
        <w:tblW w:w="9885" w:type="dxa"/>
        <w:tblInd w:w="-85" w:type="dxa"/>
        <w:tblCellMar>
          <w:left w:w="0" w:type="dxa"/>
          <w:right w:w="0" w:type="dxa"/>
        </w:tblCellMar>
        <w:tblLook w:val="04A0" w:firstRow="1" w:lastRow="0" w:firstColumn="1" w:lastColumn="0" w:noHBand="0" w:noVBand="1"/>
      </w:tblPr>
      <w:tblGrid>
        <w:gridCol w:w="7010"/>
        <w:gridCol w:w="1440"/>
        <w:gridCol w:w="1435"/>
      </w:tblGrid>
      <w:tr w:rsidR="008326C8" w:rsidRPr="00F95AFC" w14:paraId="77DEA212" w14:textId="119B6A04" w:rsidTr="008326C8">
        <w:trPr>
          <w:trHeight w:val="512"/>
        </w:trPr>
        <w:tc>
          <w:tcPr>
            <w:tcW w:w="70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95AFC" w:rsidRDefault="008326C8" w:rsidP="00F95AFC">
            <w:pPr>
              <w:spacing w:before="100" w:beforeAutospacing="1" w:after="100" w:afterAutospacing="1" w:line="360" w:lineRule="auto"/>
              <w:jc w:val="center"/>
              <w:rPr>
                <w:rFonts w:ascii="Times New Roman" w:eastAsiaTheme="minorHAnsi" w:hAnsi="Times New Roman"/>
                <w:b/>
                <w:bCs/>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144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74CA6A06" w:rsidR="008326C8" w:rsidRPr="00F95AFC" w:rsidRDefault="008326C8" w:rsidP="00F95AFC">
            <w:pPr>
              <w:keepNext/>
              <w:spacing w:before="100" w:beforeAutospacing="1" w:after="100" w:afterAutospacing="1" w:line="360" w:lineRule="auto"/>
              <w:jc w:val="center"/>
              <w:outlineLvl w:val="0"/>
              <w:rPr>
                <w:rFonts w:ascii="Times New Roman" w:hAnsi="Times New Roman"/>
                <w:b/>
                <w:bCs/>
                <w:sz w:val="24"/>
                <w:szCs w:val="24"/>
              </w:rPr>
            </w:pPr>
            <w:proofErr w:type="spellStart"/>
            <w:r w:rsidRPr="00F95AFC">
              <w:rPr>
                <w:rFonts w:ascii="Times New Roman" w:hAnsi="Times New Roman"/>
                <w:b/>
                <w:bCs/>
                <w:sz w:val="24"/>
                <w:szCs w:val="24"/>
              </w:rPr>
              <w:t>Tại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thời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điểm</w:t>
            </w:r>
            <w:proofErr w:type="spellEnd"/>
            <w:r w:rsidRPr="00F95AFC">
              <w:rPr>
                <w:rFonts w:ascii="Times New Roman" w:hAnsi="Times New Roman"/>
                <w:b/>
                <w:bCs/>
                <w:sz w:val="24"/>
                <w:szCs w:val="24"/>
              </w:rPr>
              <w:t xml:space="preserve"> 30/06/202</w:t>
            </w:r>
            <w:r w:rsidR="00DD7B7D" w:rsidRPr="00F95AFC">
              <w:rPr>
                <w:rFonts w:ascii="Times New Roman" w:hAnsi="Times New Roman"/>
                <w:b/>
                <w:bCs/>
                <w:sz w:val="24"/>
                <w:szCs w:val="24"/>
              </w:rPr>
              <w:t>3</w:t>
            </w:r>
          </w:p>
        </w:tc>
        <w:tc>
          <w:tcPr>
            <w:tcW w:w="1435"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36C37D36" w:rsidR="008326C8" w:rsidRPr="00F95AFC" w:rsidRDefault="008326C8" w:rsidP="00F95AFC">
            <w:pPr>
              <w:keepNext/>
              <w:spacing w:before="100" w:beforeAutospacing="1" w:after="100" w:afterAutospacing="1" w:line="360" w:lineRule="auto"/>
              <w:jc w:val="center"/>
              <w:outlineLvl w:val="0"/>
              <w:rPr>
                <w:rFonts w:ascii="Times New Roman" w:hAnsi="Times New Roman"/>
                <w:b/>
                <w:bCs/>
                <w:sz w:val="24"/>
                <w:szCs w:val="24"/>
              </w:rPr>
            </w:pPr>
            <w:proofErr w:type="spellStart"/>
            <w:r w:rsidRPr="00F95AFC">
              <w:rPr>
                <w:rFonts w:ascii="Times New Roman" w:hAnsi="Times New Roman"/>
                <w:b/>
                <w:bCs/>
                <w:sz w:val="24"/>
                <w:szCs w:val="24"/>
              </w:rPr>
              <w:t>Tại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thời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điểm</w:t>
            </w:r>
            <w:proofErr w:type="spellEnd"/>
            <w:r w:rsidRPr="00F95AFC">
              <w:rPr>
                <w:rFonts w:ascii="Times New Roman" w:hAnsi="Times New Roman"/>
                <w:b/>
                <w:bCs/>
                <w:sz w:val="24"/>
                <w:szCs w:val="24"/>
              </w:rPr>
              <w:t xml:space="preserve"> 30/06/202</w:t>
            </w:r>
            <w:r w:rsidR="00DD7B7D" w:rsidRPr="00F95AFC">
              <w:rPr>
                <w:rFonts w:ascii="Times New Roman" w:hAnsi="Times New Roman"/>
                <w:b/>
                <w:bCs/>
                <w:sz w:val="24"/>
                <w:szCs w:val="24"/>
              </w:rPr>
              <w:t>2</w:t>
            </w:r>
          </w:p>
        </w:tc>
      </w:tr>
      <w:tr w:rsidR="008326C8" w:rsidRPr="00F95AFC" w14:paraId="34B3C533" w14:textId="5E32CAE3" w:rsidTr="008326C8">
        <w:trPr>
          <w:trHeight w:val="620"/>
        </w:trPr>
        <w:tc>
          <w:tcPr>
            <w:tcW w:w="701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95AFC" w:rsidRDefault="008326C8" w:rsidP="00F95AFC">
            <w:pPr>
              <w:spacing w:before="100" w:beforeAutospacing="1" w:after="100" w:afterAutospacing="1" w:line="360" w:lineRule="auto"/>
              <w:ind w:left="90" w:right="90"/>
              <w:jc w:val="both"/>
              <w:rPr>
                <w:rFonts w:ascii="Times New Roman" w:eastAsiaTheme="minorHAnsi" w:hAnsi="Times New Roman"/>
                <w:b/>
                <w:sz w:val="24"/>
                <w:szCs w:val="24"/>
              </w:rPr>
            </w:pPr>
            <w:proofErr w:type="spellStart"/>
            <w:r w:rsidRPr="00F95AFC">
              <w:rPr>
                <w:rFonts w:ascii="Times New Roman" w:eastAsiaTheme="minorHAnsi" w:hAnsi="Times New Roman"/>
                <w:sz w:val="24"/>
                <w:szCs w:val="24"/>
              </w:rPr>
              <w:t>Tỷ</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w:t>
            </w:r>
            <w:proofErr w:type="spellEnd"/>
            <w:r w:rsidRPr="00F95AFC">
              <w:rPr>
                <w:rFonts w:ascii="Times New Roman" w:eastAsiaTheme="minorHAnsi" w:hAnsi="Times New Roman"/>
                <w:sz w:val="24"/>
                <w:szCs w:val="24"/>
              </w:rPr>
              <w:t xml:space="preserve"> chi </w:t>
            </w:r>
            <w:proofErr w:type="spellStart"/>
            <w:r w:rsidRPr="00F95AFC">
              <w:rPr>
                <w:rFonts w:ascii="Times New Roman" w:eastAsiaTheme="minorHAnsi" w:hAnsi="Times New Roman"/>
                <w:sz w:val="24"/>
                <w:szCs w:val="24"/>
              </w:rPr>
              <w:t>phí</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hoạt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trên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Giá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trị</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tài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ròng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trung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bình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trong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kỳ</w:t>
            </w:r>
            <w:proofErr w:type="spellEnd"/>
            <w:r w:rsidRPr="00F95AFC">
              <w:rPr>
                <w:rFonts w:ascii="Times New Roman" w:eastAsiaTheme="minorHAnsi" w:hAnsi="Times New Roman"/>
                <w:sz w:val="24"/>
                <w:szCs w:val="24"/>
              </w:rPr>
              <w:t xml:space="preserve"> (%)</w:t>
            </w:r>
          </w:p>
        </w:tc>
        <w:tc>
          <w:tcPr>
            <w:tcW w:w="1440" w:type="dxa"/>
            <w:tcBorders>
              <w:top w:val="single" w:sz="4" w:space="0" w:color="auto"/>
              <w:left w:val="nil"/>
              <w:bottom w:val="single" w:sz="4" w:space="0" w:color="auto"/>
              <w:right w:val="single" w:sz="4" w:space="0" w:color="auto"/>
            </w:tcBorders>
            <w:vAlign w:val="center"/>
          </w:tcPr>
          <w:p w14:paraId="7D23D363" w14:textId="0BEBFB64" w:rsidR="008326C8" w:rsidRPr="00F95AFC" w:rsidRDefault="00DD7B7D" w:rsidP="00F95AFC">
            <w:pPr>
              <w:spacing w:before="100" w:beforeAutospacing="1" w:after="100" w:afterAutospacing="1" w:line="360" w:lineRule="auto"/>
              <w:jc w:val="center"/>
              <w:rPr>
                <w:rFonts w:ascii="Times New Roman" w:eastAsiaTheme="minorHAnsi" w:hAnsi="Times New Roman"/>
                <w:sz w:val="24"/>
                <w:szCs w:val="24"/>
              </w:rPr>
            </w:pPr>
            <w:r w:rsidRPr="00F95AFC">
              <w:rPr>
                <w:rFonts w:ascii="Times New Roman" w:eastAsiaTheme="minorHAnsi" w:hAnsi="Times New Roman"/>
                <w:sz w:val="24"/>
                <w:szCs w:val="24"/>
              </w:rPr>
              <w:t>1,96%</w:t>
            </w:r>
          </w:p>
        </w:tc>
        <w:tc>
          <w:tcPr>
            <w:tcW w:w="1435" w:type="dxa"/>
            <w:tcBorders>
              <w:top w:val="single" w:sz="4" w:space="0" w:color="auto"/>
              <w:left w:val="nil"/>
              <w:bottom w:val="single" w:sz="4" w:space="0" w:color="auto"/>
              <w:right w:val="single" w:sz="4" w:space="0" w:color="auto"/>
            </w:tcBorders>
            <w:vAlign w:val="center"/>
          </w:tcPr>
          <w:p w14:paraId="5D9E5AFA" w14:textId="3241DD1C" w:rsidR="008326C8" w:rsidRPr="00F95AFC" w:rsidRDefault="00DD7B7D" w:rsidP="00F95AFC">
            <w:pPr>
              <w:spacing w:before="100" w:beforeAutospacing="1" w:after="100" w:afterAutospacing="1" w:line="360" w:lineRule="auto"/>
              <w:jc w:val="center"/>
              <w:rPr>
                <w:rFonts w:ascii="Times New Roman" w:eastAsiaTheme="minorHAnsi" w:hAnsi="Times New Roman"/>
                <w:sz w:val="24"/>
                <w:szCs w:val="24"/>
              </w:rPr>
            </w:pPr>
            <w:r w:rsidRPr="00F95AFC">
              <w:rPr>
                <w:rFonts w:ascii="Times New Roman" w:eastAsiaTheme="minorHAnsi" w:hAnsi="Times New Roman"/>
                <w:sz w:val="24"/>
                <w:szCs w:val="24"/>
              </w:rPr>
              <w:t>2,01%</w:t>
            </w:r>
          </w:p>
        </w:tc>
      </w:tr>
    </w:tbl>
    <w:p w14:paraId="6FA1077F" w14:textId="53F31866" w:rsidR="00100E1C" w:rsidRDefault="00100E1C" w:rsidP="00F95AFC">
      <w:pPr>
        <w:spacing w:before="120" w:line="360" w:lineRule="auto"/>
        <w:jc w:val="both"/>
        <w:rPr>
          <w:rFonts w:ascii="Times New Roman" w:hAnsi="Times New Roman"/>
          <w:i/>
          <w:sz w:val="24"/>
          <w:szCs w:val="24"/>
        </w:rPr>
      </w:pPr>
    </w:p>
    <w:p w14:paraId="2FFBDDD1" w14:textId="77777777" w:rsidR="00F95AFC" w:rsidRPr="00F95AFC" w:rsidRDefault="00F95AFC" w:rsidP="00F95AFC">
      <w:pPr>
        <w:spacing w:before="120" w:line="360" w:lineRule="auto"/>
        <w:jc w:val="both"/>
        <w:rPr>
          <w:rFonts w:ascii="Times New Roman" w:hAnsi="Times New Roman"/>
          <w:i/>
          <w:sz w:val="24"/>
          <w:szCs w:val="24"/>
        </w:rPr>
      </w:pPr>
    </w:p>
    <w:p w14:paraId="75E2953B" w14:textId="6C796FD1" w:rsidR="00100E1C" w:rsidRPr="00F95AFC" w:rsidRDefault="003F0046" w:rsidP="00F95AFC">
      <w:pPr>
        <w:spacing w:before="120" w:line="360" w:lineRule="auto"/>
        <w:jc w:val="both"/>
        <w:rPr>
          <w:rFonts w:ascii="Times New Roman" w:hAnsi="Times New Roman"/>
          <w:i/>
          <w:color w:val="FF0000"/>
          <w:sz w:val="24"/>
          <w:szCs w:val="24"/>
        </w:rPr>
      </w:pPr>
      <w:r w:rsidRPr="00F95AFC">
        <w:rPr>
          <w:rFonts w:ascii="Times New Roman" w:hAnsi="Times New Roman"/>
          <w:sz w:val="24"/>
          <w:szCs w:val="24"/>
        </w:rPr>
        <w:lastRenderedPageBreak/>
        <w:t xml:space="preserve">- </w:t>
      </w:r>
      <w:proofErr w:type="spellStart"/>
      <w:r w:rsidRPr="00F95AFC">
        <w:rPr>
          <w:rFonts w:ascii="Times New Roman" w:hAnsi="Times New Roman"/>
          <w:sz w:val="24"/>
          <w:szCs w:val="24"/>
        </w:rPr>
        <w:t>Tốc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vòng</w:t>
      </w:r>
      <w:proofErr w:type="spellEnd"/>
      <w:r w:rsidRPr="00F95AFC">
        <w:rPr>
          <w:rFonts w:ascii="Times New Roman" w:hAnsi="Times New Roman"/>
          <w:sz w:val="24"/>
          <w:szCs w:val="24"/>
        </w:rPr>
        <w:t xml:space="preserve"> quay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chênh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lệc</w:t>
      </w:r>
      <w:r w:rsidR="00E62BFD" w:rsidRPr="00F95AFC">
        <w:rPr>
          <w:rFonts w:ascii="Times New Roman" w:hAnsi="Times New Roman"/>
          <w:sz w:val="24"/>
          <w:szCs w:val="24"/>
        </w:rPr>
        <w:t>h</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tốc</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độ</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vòng</w:t>
      </w:r>
      <w:proofErr w:type="spellEnd"/>
      <w:r w:rsidR="00E62BFD" w:rsidRPr="00F95AFC">
        <w:rPr>
          <w:rFonts w:ascii="Times New Roman" w:hAnsi="Times New Roman"/>
          <w:sz w:val="24"/>
          <w:szCs w:val="24"/>
        </w:rPr>
        <w:t xml:space="preserve"> quay </w:t>
      </w:r>
      <w:proofErr w:type="spellStart"/>
      <w:r w:rsidR="00E62BFD" w:rsidRPr="00F95AFC">
        <w:rPr>
          <w:rFonts w:ascii="Times New Roman" w:hAnsi="Times New Roman"/>
          <w:sz w:val="24"/>
          <w:szCs w:val="24"/>
        </w:rPr>
        <w:t>của</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danh</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mục</w:t>
      </w:r>
      <w:proofErr w:type="spellEnd"/>
      <w:r w:rsidR="00E62BFD" w:rsidRPr="00F95AFC">
        <w:rPr>
          <w:rFonts w:ascii="Times New Roman" w:hAnsi="Times New Roman"/>
          <w:color w:val="FF0000"/>
          <w:sz w:val="24"/>
          <w:szCs w:val="24"/>
        </w:rPr>
        <w:t>:</w:t>
      </w:r>
    </w:p>
    <w:tbl>
      <w:tblPr>
        <w:tblW w:w="52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8"/>
        <w:gridCol w:w="2743"/>
        <w:gridCol w:w="2841"/>
      </w:tblGrid>
      <w:tr w:rsidR="008326C8" w:rsidRPr="00F95AFC" w14:paraId="5DFDEF93" w14:textId="67E27AC0" w:rsidTr="008326C8">
        <w:trPr>
          <w:trHeight w:val="645"/>
        </w:trPr>
        <w:tc>
          <w:tcPr>
            <w:tcW w:w="2266" w:type="pct"/>
            <w:shd w:val="clear" w:color="auto" w:fill="B8CCE4" w:themeFill="accent1" w:themeFillTint="66"/>
            <w:vAlign w:val="center"/>
            <w:hideMark/>
          </w:tcPr>
          <w:p w14:paraId="1083F305" w14:textId="3B29DC8B" w:rsidR="008326C8" w:rsidRPr="00F95AFC" w:rsidRDefault="008326C8" w:rsidP="00F95AFC">
            <w:pPr>
              <w:spacing w:before="100" w:beforeAutospacing="1" w:after="100" w:afterAutospacing="1" w:line="360" w:lineRule="auto"/>
              <w:jc w:val="center"/>
              <w:rPr>
                <w:rFonts w:ascii="Times New Roman" w:eastAsiaTheme="minorHAnsi" w:hAnsi="Times New Roman"/>
                <w:b/>
                <w:bCs/>
                <w:sz w:val="24"/>
                <w:szCs w:val="24"/>
              </w:rPr>
            </w:pPr>
            <w:proofErr w:type="spellStart"/>
            <w:r w:rsidRPr="00F95AFC">
              <w:rPr>
                <w:rFonts w:ascii="Times New Roman" w:eastAsiaTheme="minorHAnsi" w:hAnsi="Times New Roman"/>
                <w:b/>
                <w:bCs/>
                <w:sz w:val="24"/>
                <w:szCs w:val="24"/>
              </w:rPr>
              <w:t>Tốc</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độ</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vòng</w:t>
            </w:r>
            <w:proofErr w:type="spellEnd"/>
            <w:r w:rsidRPr="00F95AFC">
              <w:rPr>
                <w:rFonts w:ascii="Times New Roman" w:eastAsiaTheme="minorHAnsi" w:hAnsi="Times New Roman"/>
                <w:b/>
                <w:bCs/>
                <w:sz w:val="24"/>
                <w:szCs w:val="24"/>
              </w:rPr>
              <w:t xml:space="preserve"> quay </w:t>
            </w:r>
            <w:proofErr w:type="spellStart"/>
            <w:r w:rsidRPr="00F95AFC">
              <w:rPr>
                <w:rFonts w:ascii="Times New Roman" w:eastAsiaTheme="minorHAnsi" w:hAnsi="Times New Roman"/>
                <w:b/>
                <w:bCs/>
                <w:sz w:val="24"/>
                <w:szCs w:val="24"/>
              </w:rPr>
              <w:t>danh</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mục</w:t>
            </w:r>
            <w:proofErr w:type="spellEnd"/>
          </w:p>
        </w:tc>
        <w:tc>
          <w:tcPr>
            <w:tcW w:w="1343" w:type="pct"/>
            <w:shd w:val="clear" w:color="auto" w:fill="B8CCE4" w:themeFill="accent1" w:themeFillTint="66"/>
            <w:vAlign w:val="center"/>
          </w:tcPr>
          <w:p w14:paraId="310EC096" w14:textId="60BF5FB2" w:rsidR="008326C8" w:rsidRPr="00F95AFC" w:rsidRDefault="008326C8" w:rsidP="00F95AFC">
            <w:pPr>
              <w:pStyle w:val="Heading5"/>
              <w:spacing w:line="360" w:lineRule="auto"/>
              <w:jc w:val="center"/>
              <w:rPr>
                <w:rFonts w:ascii="Times New Roman" w:hAnsi="Times New Roman" w:cs="Times New Roman"/>
                <w:b/>
                <w:color w:val="auto"/>
                <w:sz w:val="24"/>
                <w:szCs w:val="24"/>
              </w:rPr>
            </w:pPr>
            <w:r w:rsidRPr="00F95AFC">
              <w:rPr>
                <w:rFonts w:ascii="Times New Roman" w:hAnsi="Times New Roman" w:cs="Times New Roman"/>
                <w:b/>
                <w:color w:val="auto"/>
                <w:sz w:val="24"/>
                <w:szCs w:val="24"/>
              </w:rPr>
              <w:t>30/06/202</w:t>
            </w:r>
            <w:r w:rsidR="00DD7B7D" w:rsidRPr="00F95AFC">
              <w:rPr>
                <w:rFonts w:ascii="Times New Roman" w:hAnsi="Times New Roman" w:cs="Times New Roman"/>
                <w:b/>
                <w:color w:val="auto"/>
                <w:sz w:val="24"/>
                <w:szCs w:val="24"/>
              </w:rPr>
              <w:t>3</w:t>
            </w:r>
          </w:p>
        </w:tc>
        <w:tc>
          <w:tcPr>
            <w:tcW w:w="1392" w:type="pct"/>
            <w:shd w:val="clear" w:color="auto" w:fill="B8CCE4" w:themeFill="accent1" w:themeFillTint="66"/>
          </w:tcPr>
          <w:p w14:paraId="768C145A" w14:textId="7A174540" w:rsidR="008326C8" w:rsidRPr="00F95AFC" w:rsidRDefault="008326C8" w:rsidP="00F95AFC">
            <w:pPr>
              <w:pStyle w:val="Heading5"/>
              <w:spacing w:line="360" w:lineRule="auto"/>
              <w:jc w:val="center"/>
              <w:rPr>
                <w:rFonts w:ascii="Times New Roman" w:hAnsi="Times New Roman" w:cs="Times New Roman"/>
                <w:b/>
                <w:color w:val="auto"/>
                <w:sz w:val="24"/>
                <w:szCs w:val="24"/>
              </w:rPr>
            </w:pPr>
            <w:r w:rsidRPr="00F95AFC">
              <w:rPr>
                <w:rFonts w:ascii="Times New Roman" w:hAnsi="Times New Roman" w:cs="Times New Roman"/>
                <w:b/>
                <w:color w:val="auto"/>
                <w:sz w:val="24"/>
                <w:szCs w:val="24"/>
              </w:rPr>
              <w:t>30/06/202</w:t>
            </w:r>
            <w:r w:rsidR="00DD7B7D" w:rsidRPr="00F95AFC">
              <w:rPr>
                <w:rFonts w:ascii="Times New Roman" w:hAnsi="Times New Roman" w:cs="Times New Roman"/>
                <w:b/>
                <w:color w:val="auto"/>
                <w:sz w:val="24"/>
                <w:szCs w:val="24"/>
              </w:rPr>
              <w:t>2</w:t>
            </w:r>
          </w:p>
        </w:tc>
      </w:tr>
      <w:tr w:rsidR="008326C8" w:rsidRPr="00F95AFC" w14:paraId="5D69166A" w14:textId="76F5C384" w:rsidTr="00CC66B0">
        <w:trPr>
          <w:trHeight w:val="435"/>
        </w:trPr>
        <w:tc>
          <w:tcPr>
            <w:tcW w:w="2266" w:type="pct"/>
            <w:shd w:val="clear" w:color="auto" w:fill="auto"/>
            <w:vAlign w:val="center"/>
            <w:hideMark/>
          </w:tcPr>
          <w:p w14:paraId="71DCC818" w14:textId="0B6B4103" w:rsidR="008326C8" w:rsidRPr="00F95AFC" w:rsidRDefault="008326C8" w:rsidP="00F95AFC">
            <w:pPr>
              <w:spacing w:before="100" w:beforeAutospacing="1" w:after="100" w:afterAutospacing="1" w:line="360" w:lineRule="auto"/>
              <w:rPr>
                <w:rFonts w:ascii="Times New Roman" w:eastAsiaTheme="minorHAnsi" w:hAnsi="Times New Roman"/>
                <w:b/>
                <w:sz w:val="24"/>
                <w:szCs w:val="24"/>
              </w:rPr>
            </w:pPr>
            <w:proofErr w:type="spellStart"/>
            <w:r w:rsidRPr="00F95AFC">
              <w:rPr>
                <w:rFonts w:ascii="Times New Roman" w:eastAsiaTheme="minorHAnsi" w:hAnsi="Times New Roman"/>
                <w:sz w:val="24"/>
                <w:szCs w:val="24"/>
              </w:rPr>
              <w:t>Tốc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vòng</w:t>
            </w:r>
            <w:proofErr w:type="spellEnd"/>
            <w:r w:rsidRPr="00F95AFC">
              <w:rPr>
                <w:rFonts w:ascii="Times New Roman" w:eastAsiaTheme="minorHAnsi" w:hAnsi="Times New Roman"/>
                <w:sz w:val="24"/>
                <w:szCs w:val="24"/>
              </w:rPr>
              <w:t xml:space="preserve"> quay </w:t>
            </w:r>
            <w:proofErr w:type="spellStart"/>
            <w:r w:rsidRPr="00F95AFC">
              <w:rPr>
                <w:rFonts w:ascii="Times New Roman" w:eastAsiaTheme="minorHAnsi" w:hAnsi="Times New Roman"/>
                <w:sz w:val="24"/>
                <w:szCs w:val="24"/>
              </w:rPr>
              <w:t>danh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mục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bán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niên</w:t>
            </w:r>
            <w:proofErr w:type="spellEnd"/>
            <w:r w:rsidRPr="00F95AFC">
              <w:rPr>
                <w:rFonts w:ascii="Times New Roman" w:eastAsiaTheme="minorHAnsi" w:hAnsi="Times New Roman"/>
                <w:sz w:val="24"/>
                <w:szCs w:val="24"/>
              </w:rPr>
              <w:t xml:space="preserve"> </w:t>
            </w:r>
          </w:p>
        </w:tc>
        <w:tc>
          <w:tcPr>
            <w:tcW w:w="1343" w:type="pct"/>
            <w:vAlign w:val="center"/>
          </w:tcPr>
          <w:p w14:paraId="3DF53DED" w14:textId="2975DDED" w:rsidR="008326C8" w:rsidRPr="00F95AFC" w:rsidRDefault="00CC66B0" w:rsidP="00F95AFC">
            <w:pPr>
              <w:spacing w:before="100" w:beforeAutospacing="1" w:after="100" w:afterAutospacing="1" w:line="360" w:lineRule="auto"/>
              <w:ind w:right="90"/>
              <w:jc w:val="center"/>
              <w:rPr>
                <w:rFonts w:ascii="Times New Roman" w:eastAsiaTheme="minorHAnsi" w:hAnsi="Times New Roman"/>
                <w:sz w:val="24"/>
                <w:szCs w:val="24"/>
              </w:rPr>
            </w:pPr>
            <w:r w:rsidRPr="00F95AFC">
              <w:rPr>
                <w:rFonts w:ascii="Times New Roman" w:eastAsiaTheme="minorHAnsi" w:hAnsi="Times New Roman"/>
                <w:sz w:val="24"/>
                <w:szCs w:val="24"/>
              </w:rPr>
              <w:t>0,00</w:t>
            </w:r>
            <w:r w:rsidR="008326C8" w:rsidRPr="00F95AFC">
              <w:rPr>
                <w:rFonts w:ascii="Times New Roman" w:eastAsiaTheme="minorHAnsi" w:hAnsi="Times New Roman"/>
                <w:sz w:val="24"/>
                <w:szCs w:val="24"/>
              </w:rPr>
              <w:t>%</w:t>
            </w:r>
          </w:p>
        </w:tc>
        <w:tc>
          <w:tcPr>
            <w:tcW w:w="1392" w:type="pct"/>
            <w:vAlign w:val="center"/>
          </w:tcPr>
          <w:p w14:paraId="4D5AA4D9" w14:textId="5030D4FE" w:rsidR="008326C8" w:rsidRPr="00F95AFC" w:rsidRDefault="00DD7B7D" w:rsidP="00F95AFC">
            <w:pPr>
              <w:spacing w:before="100" w:beforeAutospacing="1" w:after="100" w:afterAutospacing="1" w:line="360" w:lineRule="auto"/>
              <w:ind w:right="90"/>
              <w:jc w:val="center"/>
              <w:rPr>
                <w:rFonts w:ascii="Times New Roman" w:eastAsiaTheme="minorHAnsi" w:hAnsi="Times New Roman"/>
                <w:b/>
                <w:bCs/>
                <w:sz w:val="24"/>
                <w:szCs w:val="24"/>
              </w:rPr>
            </w:pPr>
            <w:r w:rsidRPr="00F95AFC">
              <w:rPr>
                <w:rFonts w:ascii="Times New Roman" w:eastAsiaTheme="minorHAnsi" w:hAnsi="Times New Roman"/>
                <w:sz w:val="24"/>
                <w:szCs w:val="24"/>
              </w:rPr>
              <w:t>0,00%</w:t>
            </w:r>
          </w:p>
        </w:tc>
      </w:tr>
    </w:tbl>
    <w:p w14:paraId="76A77DDA"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w:t>
      </w:r>
    </w:p>
    <w:p w14:paraId="35A5ECCC" w14:textId="77777777" w:rsidR="004038DA" w:rsidRPr="00F95AFC" w:rsidRDefault="003F0046" w:rsidP="00F95AFC">
      <w:pPr>
        <w:spacing w:before="120" w:line="360" w:lineRule="auto"/>
        <w:jc w:val="both"/>
        <w:rPr>
          <w:rFonts w:ascii="Times New Roman" w:hAnsi="Times New Roman"/>
          <w:sz w:val="24"/>
          <w:szCs w:val="24"/>
        </w:rPr>
      </w:pP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bình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w:t>
      </w:r>
    </w:p>
    <w:p w14:paraId="51F8C368" w14:textId="110C0511" w:rsidR="00DD7B7D" w:rsidRPr="00F95AFC" w:rsidRDefault="004038DA" w:rsidP="00F95AFC">
      <w:pPr>
        <w:pStyle w:val="ListParagraph"/>
        <w:numPr>
          <w:ilvl w:val="0"/>
          <w:numId w:val="13"/>
        </w:numPr>
        <w:spacing w:before="120" w:line="360" w:lineRule="auto"/>
        <w:jc w:val="both"/>
        <w:rPr>
          <w:b w:val="0"/>
        </w:rPr>
      </w:pPr>
      <w:proofErr w:type="spellStart"/>
      <w:r w:rsidRPr="00F95AFC">
        <w:rPr>
          <w:rFonts w:eastAsiaTheme="minorHAnsi"/>
          <w:b w:val="0"/>
        </w:rPr>
        <w:t>trong</w:t>
      </w:r>
      <w:proofErr w:type="spellEnd"/>
      <w:r w:rsidRPr="00F95AFC">
        <w:rPr>
          <w:rFonts w:eastAsiaTheme="minorHAnsi"/>
          <w:b w:val="0"/>
        </w:rPr>
        <w:t xml:space="preserve"> </w:t>
      </w:r>
      <w:proofErr w:type="spellStart"/>
      <w:r w:rsidR="002C62AC" w:rsidRPr="00F95AFC">
        <w:rPr>
          <w:rFonts w:eastAsiaTheme="minorHAnsi"/>
          <w:b w:val="0"/>
        </w:rPr>
        <w:t>thời</w:t>
      </w:r>
      <w:proofErr w:type="spellEnd"/>
      <w:r w:rsidR="002C62AC" w:rsidRPr="00F95AFC">
        <w:rPr>
          <w:rFonts w:eastAsiaTheme="minorHAnsi"/>
          <w:b w:val="0"/>
        </w:rPr>
        <w:t xml:space="preserve"> </w:t>
      </w:r>
      <w:proofErr w:type="spellStart"/>
      <w:r w:rsidR="002C62AC" w:rsidRPr="00F95AFC">
        <w:rPr>
          <w:rFonts w:eastAsiaTheme="minorHAnsi"/>
          <w:b w:val="0"/>
        </w:rPr>
        <w:t>hạn</w:t>
      </w:r>
      <w:proofErr w:type="spellEnd"/>
      <w:r w:rsidR="002C62AC" w:rsidRPr="00F95AFC">
        <w:rPr>
          <w:rFonts w:eastAsiaTheme="minorHAnsi"/>
          <w:b w:val="0"/>
        </w:rPr>
        <w:t xml:space="preserve"> 12 </w:t>
      </w:r>
      <w:proofErr w:type="spellStart"/>
      <w:r w:rsidR="002C62AC" w:rsidRPr="00F95AFC">
        <w:rPr>
          <w:rFonts w:eastAsiaTheme="minorHAnsi"/>
          <w:b w:val="0"/>
        </w:rPr>
        <w:t>tháng</w:t>
      </w:r>
      <w:proofErr w:type="spellEnd"/>
      <w:r w:rsidR="002C62AC" w:rsidRPr="00F95AFC">
        <w:rPr>
          <w:rFonts w:eastAsiaTheme="minorHAnsi"/>
          <w:b w:val="0"/>
        </w:rPr>
        <w:t xml:space="preserve"> (1 </w:t>
      </w:r>
      <w:proofErr w:type="spellStart"/>
      <w:r w:rsidR="002C62AC" w:rsidRPr="00F95AFC">
        <w:rPr>
          <w:rFonts w:eastAsiaTheme="minorHAnsi"/>
          <w:b w:val="0"/>
        </w:rPr>
        <w:t>năm</w:t>
      </w:r>
      <w:proofErr w:type="spellEnd"/>
      <w:r w:rsidR="002C62AC" w:rsidRPr="00F95AFC">
        <w:rPr>
          <w:rFonts w:eastAsiaTheme="minorHAnsi"/>
          <w:b w:val="0"/>
        </w:rPr>
        <w:t xml:space="preserve">), </w:t>
      </w:r>
      <w:proofErr w:type="spellStart"/>
      <w:r w:rsidR="00AC22BF" w:rsidRPr="00F95AFC">
        <w:rPr>
          <w:b w:val="0"/>
        </w:rPr>
        <w:t>tính</w:t>
      </w:r>
      <w:proofErr w:type="spellEnd"/>
      <w:r w:rsidR="00AC22BF" w:rsidRPr="00F95AFC">
        <w:rPr>
          <w:b w:val="0"/>
        </w:rPr>
        <w:t xml:space="preserve"> </w:t>
      </w:r>
      <w:proofErr w:type="spellStart"/>
      <w:r w:rsidR="00AC22BF" w:rsidRPr="00F95AFC">
        <w:rPr>
          <w:b w:val="0"/>
        </w:rPr>
        <w:t>tới</w:t>
      </w:r>
      <w:proofErr w:type="spellEnd"/>
      <w:r w:rsidR="00AC22BF" w:rsidRPr="00F95AFC">
        <w:rPr>
          <w:b w:val="0"/>
        </w:rPr>
        <w:t xml:space="preserve"> </w:t>
      </w:r>
      <w:proofErr w:type="spellStart"/>
      <w:r w:rsidR="00AC22BF" w:rsidRPr="00F95AFC">
        <w:rPr>
          <w:b w:val="0"/>
        </w:rPr>
        <w:t>ngày</w:t>
      </w:r>
      <w:proofErr w:type="spellEnd"/>
      <w:r w:rsidR="00AC22BF" w:rsidRPr="00F95AFC">
        <w:rPr>
          <w:b w:val="0"/>
        </w:rPr>
        <w:t xml:space="preserve"> </w:t>
      </w:r>
      <w:proofErr w:type="spellStart"/>
      <w:r w:rsidR="00AC22BF" w:rsidRPr="00F95AFC">
        <w:rPr>
          <w:b w:val="0"/>
        </w:rPr>
        <w:t>lập</w:t>
      </w:r>
      <w:proofErr w:type="spellEnd"/>
      <w:r w:rsidR="00AC22BF" w:rsidRPr="00F95AFC">
        <w:rPr>
          <w:b w:val="0"/>
        </w:rPr>
        <w:t xml:space="preserve"> </w:t>
      </w:r>
      <w:proofErr w:type="spellStart"/>
      <w:r w:rsidR="00AC22BF" w:rsidRPr="00F95AFC">
        <w:rPr>
          <w:b w:val="0"/>
        </w:rPr>
        <w:t>báo</w:t>
      </w:r>
      <w:proofErr w:type="spellEnd"/>
      <w:r w:rsidR="00AC22BF" w:rsidRPr="00F95AFC">
        <w:rPr>
          <w:b w:val="0"/>
        </w:rPr>
        <w:t xml:space="preserve"> </w:t>
      </w:r>
      <w:proofErr w:type="spellStart"/>
      <w:r w:rsidR="00AC22BF" w:rsidRPr="00F95AFC">
        <w:rPr>
          <w:b w:val="0"/>
        </w:rPr>
        <w:t>cáo</w:t>
      </w:r>
      <w:proofErr w:type="spellEnd"/>
      <w:r w:rsidR="00AC22BF" w:rsidRPr="00F95AFC">
        <w:rPr>
          <w:b w:val="0"/>
        </w:rPr>
        <w:t xml:space="preserve"> (</w:t>
      </w:r>
      <w:proofErr w:type="spellStart"/>
      <w:r w:rsidR="00AC22BF" w:rsidRPr="00F95AFC">
        <w:rPr>
          <w:b w:val="0"/>
        </w:rPr>
        <w:t>hoặc</w:t>
      </w:r>
      <w:proofErr w:type="spellEnd"/>
      <w:r w:rsidR="00AC22BF" w:rsidRPr="00F95AFC">
        <w:rPr>
          <w:b w:val="0"/>
        </w:rPr>
        <w:t xml:space="preserve"> </w:t>
      </w:r>
      <w:proofErr w:type="spellStart"/>
      <w:r w:rsidR="00AC22BF" w:rsidRPr="00F95AFC">
        <w:rPr>
          <w:b w:val="0"/>
        </w:rPr>
        <w:t>tính</w:t>
      </w:r>
      <w:proofErr w:type="spellEnd"/>
      <w:r w:rsidR="00AC22BF" w:rsidRPr="00F95AFC">
        <w:rPr>
          <w:b w:val="0"/>
        </w:rPr>
        <w:t xml:space="preserve"> </w:t>
      </w:r>
      <w:proofErr w:type="spellStart"/>
      <w:r w:rsidR="00AC22BF" w:rsidRPr="00F95AFC">
        <w:rPr>
          <w:b w:val="0"/>
        </w:rPr>
        <w:t>từ</w:t>
      </w:r>
      <w:proofErr w:type="spellEnd"/>
      <w:r w:rsidR="00AC22BF" w:rsidRPr="00F95AFC">
        <w:rPr>
          <w:b w:val="0"/>
        </w:rPr>
        <w:t xml:space="preserve"> </w:t>
      </w:r>
      <w:proofErr w:type="spellStart"/>
      <w:r w:rsidR="00AC22BF" w:rsidRPr="00F95AFC">
        <w:rPr>
          <w:b w:val="0"/>
        </w:rPr>
        <w:t>thời</w:t>
      </w:r>
      <w:proofErr w:type="spellEnd"/>
      <w:r w:rsidR="00AC22BF" w:rsidRPr="00F95AFC">
        <w:rPr>
          <w:b w:val="0"/>
        </w:rPr>
        <w:t xml:space="preserve"> </w:t>
      </w:r>
      <w:proofErr w:type="spellStart"/>
      <w:r w:rsidR="00AC22BF" w:rsidRPr="00F95AFC">
        <w:rPr>
          <w:b w:val="0"/>
        </w:rPr>
        <w:t>điểm</w:t>
      </w:r>
      <w:proofErr w:type="spellEnd"/>
      <w:r w:rsidR="00AC22BF" w:rsidRPr="00F95AFC">
        <w:rPr>
          <w:b w:val="0"/>
        </w:rPr>
        <w:t xml:space="preserve"> </w:t>
      </w:r>
      <w:proofErr w:type="spellStart"/>
      <w:r w:rsidR="00AC22BF" w:rsidRPr="00F95AFC">
        <w:rPr>
          <w:b w:val="0"/>
        </w:rPr>
        <w:t>lập</w:t>
      </w:r>
      <w:proofErr w:type="spellEnd"/>
      <w:r w:rsidR="00AC22BF" w:rsidRPr="00F95AFC">
        <w:rPr>
          <w:b w:val="0"/>
        </w:rPr>
        <w:t xml:space="preserve"> quỹ </w:t>
      </w:r>
      <w:proofErr w:type="spellStart"/>
      <w:r w:rsidR="00AC22BF" w:rsidRPr="00F95AFC">
        <w:rPr>
          <w:b w:val="0"/>
        </w:rPr>
        <w:t>tới</w:t>
      </w:r>
      <w:proofErr w:type="spellEnd"/>
      <w:r w:rsidR="00AC22BF" w:rsidRPr="00F95AFC">
        <w:rPr>
          <w:b w:val="0"/>
        </w:rPr>
        <w:t xml:space="preserve"> </w:t>
      </w:r>
      <w:proofErr w:type="spellStart"/>
      <w:r w:rsidR="00AC22BF" w:rsidRPr="00F95AFC">
        <w:rPr>
          <w:b w:val="0"/>
        </w:rPr>
        <w:t>ngày</w:t>
      </w:r>
      <w:proofErr w:type="spellEnd"/>
      <w:r w:rsidR="00AC22BF" w:rsidRPr="00F95AFC">
        <w:rPr>
          <w:b w:val="0"/>
        </w:rPr>
        <w:t xml:space="preserve"> </w:t>
      </w:r>
      <w:proofErr w:type="spellStart"/>
      <w:r w:rsidR="00AC22BF" w:rsidRPr="00F95AFC">
        <w:rPr>
          <w:b w:val="0"/>
        </w:rPr>
        <w:t>báo</w:t>
      </w:r>
      <w:proofErr w:type="spellEnd"/>
      <w:r w:rsidR="00AC22BF" w:rsidRPr="00F95AFC">
        <w:rPr>
          <w:b w:val="0"/>
        </w:rPr>
        <w:t xml:space="preserve"> </w:t>
      </w:r>
      <w:proofErr w:type="spellStart"/>
      <w:r w:rsidR="00AC22BF" w:rsidRPr="00F95AFC">
        <w:rPr>
          <w:b w:val="0"/>
        </w:rPr>
        <w:t>cáo</w:t>
      </w:r>
      <w:proofErr w:type="spellEnd"/>
      <w:r w:rsidR="00AC22BF" w:rsidRPr="00F95AFC">
        <w:rPr>
          <w:b w:val="0"/>
        </w:rPr>
        <w:t xml:space="preserve"> </w:t>
      </w:r>
      <w:proofErr w:type="spellStart"/>
      <w:r w:rsidR="00AC22BF" w:rsidRPr="00F95AFC">
        <w:rPr>
          <w:b w:val="0"/>
        </w:rPr>
        <w:t>nếu</w:t>
      </w:r>
      <w:proofErr w:type="spellEnd"/>
      <w:r w:rsidR="00AC22BF" w:rsidRPr="00F95AFC">
        <w:rPr>
          <w:b w:val="0"/>
        </w:rPr>
        <w:t xml:space="preserve"> quỹ </w:t>
      </w:r>
      <w:proofErr w:type="spellStart"/>
      <w:r w:rsidR="00AC22BF" w:rsidRPr="00F95AFC">
        <w:rPr>
          <w:b w:val="0"/>
        </w:rPr>
        <w:t>hoạt</w:t>
      </w:r>
      <w:proofErr w:type="spellEnd"/>
      <w:r w:rsidR="00AC22BF" w:rsidRPr="00F95AFC">
        <w:rPr>
          <w:b w:val="0"/>
        </w:rPr>
        <w:t xml:space="preserve"> </w:t>
      </w:r>
      <w:proofErr w:type="spellStart"/>
      <w:r w:rsidR="00AC22BF" w:rsidRPr="00F95AFC">
        <w:rPr>
          <w:b w:val="0"/>
        </w:rPr>
        <w:t>động</w:t>
      </w:r>
      <w:proofErr w:type="spellEnd"/>
      <w:r w:rsidR="00AC22BF" w:rsidRPr="00F95AFC">
        <w:rPr>
          <w:b w:val="0"/>
        </w:rPr>
        <w:t xml:space="preserve"> </w:t>
      </w:r>
      <w:proofErr w:type="spellStart"/>
      <w:r w:rsidR="00AC22BF" w:rsidRPr="00F95AFC">
        <w:rPr>
          <w:b w:val="0"/>
        </w:rPr>
        <w:t>dưới</w:t>
      </w:r>
      <w:proofErr w:type="spellEnd"/>
      <w:r w:rsidR="00AC22BF" w:rsidRPr="00F95AFC">
        <w:rPr>
          <w:b w:val="0"/>
        </w:rPr>
        <w:t xml:space="preserve"> 1 </w:t>
      </w:r>
      <w:proofErr w:type="spellStart"/>
      <w:r w:rsidR="00AC22BF" w:rsidRPr="00F95AFC">
        <w:rPr>
          <w:b w:val="0"/>
        </w:rPr>
        <w:t>năm</w:t>
      </w:r>
      <w:proofErr w:type="spellEnd"/>
      <w:r w:rsidR="00AC22BF" w:rsidRPr="00F95AFC">
        <w:rPr>
          <w:b w:val="0"/>
        </w:rPr>
        <w:t>)</w:t>
      </w:r>
      <w:r w:rsidRPr="00F95AFC">
        <w:rPr>
          <w:rFonts w:eastAsiaTheme="minorHAnsi"/>
          <w:b w:val="0"/>
        </w:rPr>
        <w:t xml:space="preserve"> </w:t>
      </w:r>
      <w:proofErr w:type="spellStart"/>
      <w:r w:rsidRPr="006560DE">
        <w:rPr>
          <w:rFonts w:eastAsiaTheme="minorHAnsi"/>
          <w:b w:val="0"/>
        </w:rPr>
        <w:t>là</w:t>
      </w:r>
      <w:proofErr w:type="spellEnd"/>
      <w:r w:rsidRPr="006560DE">
        <w:rPr>
          <w:rFonts w:eastAsiaTheme="minorHAnsi"/>
          <w:b w:val="0"/>
        </w:rPr>
        <w:t xml:space="preserve"> </w:t>
      </w:r>
      <w:r w:rsidR="009A159D" w:rsidRPr="006560DE">
        <w:rPr>
          <w:rFonts w:eastAsiaTheme="minorHAnsi"/>
          <w:b w:val="0"/>
        </w:rPr>
        <w:t>5</w:t>
      </w:r>
      <w:r w:rsidR="00B9195F" w:rsidRPr="006560DE">
        <w:rPr>
          <w:rFonts w:eastAsiaTheme="minorHAnsi"/>
          <w:b w:val="0"/>
        </w:rPr>
        <w:t>,</w:t>
      </w:r>
      <w:r w:rsidR="009A159D" w:rsidRPr="006560DE">
        <w:rPr>
          <w:rFonts w:eastAsiaTheme="minorHAnsi"/>
          <w:b w:val="0"/>
        </w:rPr>
        <w:t>20</w:t>
      </w:r>
      <w:r w:rsidR="00C67A49" w:rsidRPr="006560DE">
        <w:rPr>
          <w:b w:val="0"/>
          <w:lang w:val="en-SG" w:eastAsia="en-SG"/>
        </w:rPr>
        <w:t>%</w:t>
      </w:r>
      <w:r w:rsidRPr="006560DE">
        <w:rPr>
          <w:rFonts w:eastAsiaTheme="minorHAnsi"/>
          <w:b w:val="0"/>
        </w:rPr>
        <w:t xml:space="preserve">, </w:t>
      </w:r>
      <w:proofErr w:type="spellStart"/>
      <w:r w:rsidRPr="006560DE">
        <w:rPr>
          <w:rFonts w:eastAsiaTheme="minorHAnsi"/>
          <w:b w:val="0"/>
        </w:rPr>
        <w:t>trong</w:t>
      </w:r>
      <w:proofErr w:type="spellEnd"/>
      <w:r w:rsidRPr="006560DE">
        <w:rPr>
          <w:rFonts w:eastAsiaTheme="minorHAnsi"/>
          <w:b w:val="0"/>
        </w:rPr>
        <w:t xml:space="preserve"> </w:t>
      </w:r>
      <w:proofErr w:type="spellStart"/>
      <w:r w:rsidRPr="006560DE">
        <w:rPr>
          <w:rFonts w:eastAsiaTheme="minorHAnsi"/>
          <w:b w:val="0"/>
        </w:rPr>
        <w:t>đó</w:t>
      </w:r>
      <w:proofErr w:type="spellEnd"/>
      <w:r w:rsidRPr="006560DE">
        <w:rPr>
          <w:b w:val="0"/>
          <w:color w:val="0000CC"/>
        </w:rPr>
        <w:t>:</w:t>
      </w:r>
      <w:r w:rsidR="00C67A49" w:rsidRPr="00F95AFC">
        <w:rPr>
          <w:b w:val="0"/>
          <w:color w:val="0000CC"/>
        </w:rPr>
        <w:t xml:space="preserve"> </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4038DA" w:rsidRPr="00F95AFC" w14:paraId="1EA4FFFD" w14:textId="77777777" w:rsidTr="006B7A5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95AFC" w:rsidRDefault="004038DA" w:rsidP="00F95AFC">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95AFC" w:rsidRDefault="004038DA"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3BD8B1D8" w14:textId="77777777" w:rsidR="004038DA" w:rsidRPr="00F95AFC" w:rsidRDefault="004038DA"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032B725B" w14:textId="4FF2B635" w:rsidR="004038DA" w:rsidRPr="00F95AFC" w:rsidRDefault="004038DA" w:rsidP="00F95AFC">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95AFC" w:rsidRDefault="004038DA" w:rsidP="00F95AFC">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79C5E490" w14:textId="4B4EE9ED" w:rsidR="004038DA" w:rsidRPr="00F95AFC" w:rsidRDefault="004038DA" w:rsidP="00F95AFC">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95AFC" w:rsidRDefault="004038DA" w:rsidP="00F95AFC">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695C8D48" w14:textId="72144640" w:rsidR="004038DA" w:rsidRPr="00F95AFC" w:rsidRDefault="004038DA" w:rsidP="00F95AFC">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r>
      <w:tr w:rsidR="004038DA" w:rsidRPr="00F95AFC" w14:paraId="5525DE63" w14:textId="77777777" w:rsidTr="00FF72CD">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3AFD57EA" w14:textId="16CEA277" w:rsidR="004038DA" w:rsidRPr="00F95AFC" w:rsidRDefault="004038DA" w:rsidP="00F95AFC">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w:t>
            </w:r>
            <w:r w:rsidR="003C16FD" w:rsidRPr="00F95AFC">
              <w:rPr>
                <w:rFonts w:ascii="Times New Roman" w:eastAsiaTheme="minorHAnsi" w:hAnsi="Times New Roman"/>
                <w:sz w:val="24"/>
                <w:szCs w:val="24"/>
              </w:rPr>
              <w:t>30/06/202</w:t>
            </w:r>
            <w:r w:rsidR="00DD7B7D" w:rsidRPr="00F95AFC">
              <w:rPr>
                <w:rFonts w:ascii="Times New Roman" w:eastAsiaTheme="minorHAnsi" w:hAnsi="Times New Roman"/>
                <w:sz w:val="24"/>
                <w:szCs w:val="24"/>
              </w:rPr>
              <w:t>2</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3C16FD" w:rsidRPr="00F95AFC">
              <w:rPr>
                <w:rFonts w:ascii="Times New Roman" w:eastAsiaTheme="minorHAnsi" w:hAnsi="Times New Roman"/>
                <w:sz w:val="24"/>
                <w:szCs w:val="24"/>
              </w:rPr>
              <w:t>2</w:t>
            </w:r>
            <w:r w:rsidR="00DD7B7D" w:rsidRPr="00F95AFC">
              <w:rPr>
                <w:rFonts w:ascii="Times New Roman" w:eastAsiaTheme="minorHAnsi" w:hAnsi="Times New Roman"/>
                <w:sz w:val="24"/>
                <w:szCs w:val="24"/>
              </w:rPr>
              <w:t>3</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8DA3A00" w14:textId="4521BF4E" w:rsidR="009F7198" w:rsidRPr="00F95AFC" w:rsidRDefault="009F7198" w:rsidP="00F95AFC">
            <w:pPr>
              <w:spacing w:line="360" w:lineRule="auto"/>
              <w:jc w:val="center"/>
              <w:rPr>
                <w:rFonts w:ascii="Times New Roman" w:hAnsi="Times New Roman"/>
                <w:color w:val="000000"/>
                <w:sz w:val="24"/>
                <w:szCs w:val="24"/>
              </w:rPr>
            </w:pPr>
            <w:r w:rsidRPr="00F95AFC">
              <w:rPr>
                <w:rFonts w:ascii="Times New Roman" w:hAnsi="Times New Roman"/>
                <w:color w:val="000000"/>
                <w:sz w:val="24"/>
                <w:szCs w:val="24"/>
              </w:rPr>
              <w:t xml:space="preserve">                         </w:t>
            </w:r>
            <w:r w:rsidR="009A159D" w:rsidRPr="00F95AFC">
              <w:rPr>
                <w:rFonts w:ascii="Times New Roman" w:hAnsi="Times New Roman"/>
                <w:color w:val="000000"/>
                <w:sz w:val="24"/>
                <w:szCs w:val="24"/>
              </w:rPr>
              <w:t xml:space="preserve"> 6.172.305.049</w:t>
            </w:r>
          </w:p>
          <w:p w14:paraId="24227F08" w14:textId="2DA3158B" w:rsidR="004038DA" w:rsidRPr="00F95AFC" w:rsidRDefault="004038DA" w:rsidP="00F95AFC">
            <w:pPr>
              <w:spacing w:line="360" w:lineRule="auto"/>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F95AFC" w:rsidRDefault="004038DA" w:rsidP="00F95AFC">
            <w:pPr>
              <w:spacing w:line="360" w:lineRule="auto"/>
              <w:ind w:right="90"/>
              <w:jc w:val="center"/>
              <w:rPr>
                <w:rFonts w:ascii="Times New Roman" w:eastAsiaTheme="minorHAnsi" w:hAnsi="Times New Roman"/>
                <w:sz w:val="24"/>
                <w:szCs w:val="24"/>
              </w:rPr>
            </w:pPr>
            <w:r w:rsidRPr="00F95AFC">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DC4C13F" w14:textId="55C6D99D" w:rsidR="009F7198" w:rsidRPr="00F95AFC" w:rsidRDefault="009F7198" w:rsidP="00F95AFC">
            <w:pPr>
              <w:spacing w:line="360" w:lineRule="auto"/>
              <w:jc w:val="center"/>
              <w:rPr>
                <w:rFonts w:ascii="Times New Roman" w:hAnsi="Times New Roman"/>
                <w:color w:val="000000"/>
                <w:sz w:val="24"/>
                <w:szCs w:val="24"/>
              </w:rPr>
            </w:pPr>
            <w:r w:rsidRPr="00F95AFC">
              <w:rPr>
                <w:rFonts w:ascii="Times New Roman" w:hAnsi="Times New Roman"/>
                <w:color w:val="000000"/>
                <w:sz w:val="24"/>
                <w:szCs w:val="24"/>
              </w:rPr>
              <w:t xml:space="preserve">                         </w:t>
            </w:r>
            <w:r w:rsidR="009A159D" w:rsidRPr="00F95AFC">
              <w:rPr>
                <w:rFonts w:ascii="Times New Roman" w:hAnsi="Times New Roman"/>
                <w:color w:val="000000"/>
                <w:sz w:val="24"/>
                <w:szCs w:val="24"/>
              </w:rPr>
              <w:t xml:space="preserve"> 6.172.305.049</w:t>
            </w:r>
          </w:p>
          <w:p w14:paraId="18A03535" w14:textId="6405521E" w:rsidR="004038DA" w:rsidRPr="00F95AFC" w:rsidRDefault="004038DA" w:rsidP="00F95AFC">
            <w:pPr>
              <w:spacing w:line="360" w:lineRule="auto"/>
              <w:jc w:val="center"/>
              <w:rPr>
                <w:rFonts w:ascii="Times New Roman" w:hAnsi="Times New Roman"/>
                <w:sz w:val="24"/>
                <w:szCs w:val="24"/>
              </w:rPr>
            </w:pPr>
          </w:p>
        </w:tc>
      </w:tr>
    </w:tbl>
    <w:p w14:paraId="05E50921" w14:textId="5CC8EC5F" w:rsidR="00946758" w:rsidRPr="00F95AFC" w:rsidRDefault="004038DA" w:rsidP="00F95AFC">
      <w:pPr>
        <w:pStyle w:val="ListParagraph"/>
        <w:numPr>
          <w:ilvl w:val="0"/>
          <w:numId w:val="13"/>
        </w:numPr>
        <w:spacing w:before="120" w:line="360" w:lineRule="auto"/>
        <w:jc w:val="both"/>
        <w:rPr>
          <w:b w:val="0"/>
        </w:rPr>
      </w:pPr>
      <w:r w:rsidRPr="00F95AFC">
        <w:rPr>
          <w:b w:val="0"/>
        </w:rPr>
        <w:t xml:space="preserve"> </w:t>
      </w:r>
      <w:proofErr w:type="spellStart"/>
      <w:r w:rsidR="003F0046" w:rsidRPr="00F95AFC">
        <w:rPr>
          <w:b w:val="0"/>
        </w:rPr>
        <w:t>trong</w:t>
      </w:r>
      <w:proofErr w:type="spellEnd"/>
      <w:r w:rsidR="003F0046" w:rsidRPr="00F95AFC">
        <w:rPr>
          <w:b w:val="0"/>
        </w:rPr>
        <w:t xml:space="preserve"> </w:t>
      </w:r>
      <w:proofErr w:type="spellStart"/>
      <w:r w:rsidR="003F0046" w:rsidRPr="00F95AFC">
        <w:rPr>
          <w:b w:val="0"/>
        </w:rPr>
        <w:t>thời</w:t>
      </w:r>
      <w:proofErr w:type="spellEnd"/>
      <w:r w:rsidR="003F0046" w:rsidRPr="00F95AFC">
        <w:rPr>
          <w:b w:val="0"/>
        </w:rPr>
        <w:t xml:space="preserve"> </w:t>
      </w:r>
      <w:proofErr w:type="spellStart"/>
      <w:r w:rsidR="003F0046" w:rsidRPr="00F95AFC">
        <w:rPr>
          <w:b w:val="0"/>
        </w:rPr>
        <w:t>hạn</w:t>
      </w:r>
      <w:proofErr w:type="spellEnd"/>
      <w:r w:rsidR="003F0046" w:rsidRPr="00F95AFC">
        <w:rPr>
          <w:b w:val="0"/>
        </w:rPr>
        <w:t xml:space="preserve"> 36 </w:t>
      </w:r>
      <w:proofErr w:type="spellStart"/>
      <w:r w:rsidR="003F0046" w:rsidRPr="00F95AFC">
        <w:rPr>
          <w:b w:val="0"/>
        </w:rPr>
        <w:t>tháng</w:t>
      </w:r>
      <w:proofErr w:type="spellEnd"/>
      <w:r w:rsidR="003F0046" w:rsidRPr="00F95AFC">
        <w:rPr>
          <w:b w:val="0"/>
        </w:rPr>
        <w:t xml:space="preserve"> (3 </w:t>
      </w:r>
      <w:proofErr w:type="spellStart"/>
      <w:r w:rsidR="003F0046" w:rsidRPr="00F95AFC">
        <w:rPr>
          <w:b w:val="0"/>
        </w:rPr>
        <w:t>năm</w:t>
      </w:r>
      <w:proofErr w:type="spellEnd"/>
      <w:r w:rsidR="003F0046" w:rsidRPr="00F95AFC">
        <w:rPr>
          <w:b w:val="0"/>
        </w:rPr>
        <w:t xml:space="preserve">), </w:t>
      </w:r>
      <w:proofErr w:type="spellStart"/>
      <w:r w:rsidR="003F0046" w:rsidRPr="00F95AFC">
        <w:rPr>
          <w:b w:val="0"/>
        </w:rPr>
        <w:t>tính</w:t>
      </w:r>
      <w:proofErr w:type="spellEnd"/>
      <w:r w:rsidR="003F0046" w:rsidRPr="00F95AFC">
        <w:rPr>
          <w:b w:val="0"/>
        </w:rPr>
        <w:t xml:space="preserve"> </w:t>
      </w:r>
      <w:proofErr w:type="spellStart"/>
      <w:r w:rsidR="003F0046" w:rsidRPr="00F95AFC">
        <w:rPr>
          <w:b w:val="0"/>
        </w:rPr>
        <w:t>tới</w:t>
      </w:r>
      <w:proofErr w:type="spellEnd"/>
      <w:r w:rsidR="003F0046" w:rsidRPr="00F95AFC">
        <w:rPr>
          <w:b w:val="0"/>
        </w:rPr>
        <w:t xml:space="preserve"> </w:t>
      </w:r>
      <w:proofErr w:type="spellStart"/>
      <w:r w:rsidR="003F0046" w:rsidRPr="00F95AFC">
        <w:rPr>
          <w:b w:val="0"/>
        </w:rPr>
        <w:t>ngày</w:t>
      </w:r>
      <w:proofErr w:type="spellEnd"/>
      <w:r w:rsidR="003F0046" w:rsidRPr="00F95AFC">
        <w:rPr>
          <w:b w:val="0"/>
        </w:rPr>
        <w:t xml:space="preserve"> </w:t>
      </w:r>
      <w:proofErr w:type="spellStart"/>
      <w:r w:rsidR="003F0046" w:rsidRPr="00F95AFC">
        <w:rPr>
          <w:b w:val="0"/>
        </w:rPr>
        <w:t>lập</w:t>
      </w:r>
      <w:proofErr w:type="spellEnd"/>
      <w:r w:rsidR="003F0046" w:rsidRPr="00F95AFC">
        <w:rPr>
          <w:b w:val="0"/>
        </w:rPr>
        <w:t xml:space="preserve"> </w:t>
      </w:r>
      <w:proofErr w:type="spellStart"/>
      <w:r w:rsidR="003F0046" w:rsidRPr="00F95AFC">
        <w:rPr>
          <w:b w:val="0"/>
        </w:rPr>
        <w:t>báo</w:t>
      </w:r>
      <w:proofErr w:type="spellEnd"/>
      <w:r w:rsidR="003F0046" w:rsidRPr="00F95AFC">
        <w:rPr>
          <w:b w:val="0"/>
        </w:rPr>
        <w:t xml:space="preserve"> </w:t>
      </w:r>
      <w:proofErr w:type="spellStart"/>
      <w:r w:rsidR="003F0046" w:rsidRPr="00F95AFC">
        <w:rPr>
          <w:b w:val="0"/>
        </w:rPr>
        <w:t>cáo</w:t>
      </w:r>
      <w:proofErr w:type="spellEnd"/>
      <w:r w:rsidR="003F0046" w:rsidRPr="00F95AFC">
        <w:rPr>
          <w:b w:val="0"/>
        </w:rPr>
        <w:t xml:space="preserve"> (</w:t>
      </w:r>
      <w:proofErr w:type="spellStart"/>
      <w:r w:rsidR="003F0046" w:rsidRPr="00F95AFC">
        <w:rPr>
          <w:b w:val="0"/>
        </w:rPr>
        <w:t>hoặc</w:t>
      </w:r>
      <w:proofErr w:type="spellEnd"/>
      <w:r w:rsidR="003F0046" w:rsidRPr="00F95AFC">
        <w:rPr>
          <w:b w:val="0"/>
        </w:rPr>
        <w:t xml:space="preserve"> </w:t>
      </w:r>
      <w:proofErr w:type="spellStart"/>
      <w:r w:rsidR="003F0046" w:rsidRPr="00F95AFC">
        <w:rPr>
          <w:b w:val="0"/>
        </w:rPr>
        <w:t>tính</w:t>
      </w:r>
      <w:proofErr w:type="spellEnd"/>
      <w:r w:rsidR="003F0046" w:rsidRPr="00F95AFC">
        <w:rPr>
          <w:b w:val="0"/>
        </w:rPr>
        <w:t xml:space="preserve"> </w:t>
      </w:r>
      <w:proofErr w:type="spellStart"/>
      <w:r w:rsidR="003F0046" w:rsidRPr="00F95AFC">
        <w:rPr>
          <w:b w:val="0"/>
        </w:rPr>
        <w:t>từ</w:t>
      </w:r>
      <w:proofErr w:type="spellEnd"/>
      <w:r w:rsidR="003F0046" w:rsidRPr="00F95AFC">
        <w:rPr>
          <w:b w:val="0"/>
        </w:rPr>
        <w:t xml:space="preserve"> </w:t>
      </w:r>
      <w:proofErr w:type="spellStart"/>
      <w:r w:rsidR="003F0046" w:rsidRPr="00F95AFC">
        <w:rPr>
          <w:b w:val="0"/>
        </w:rPr>
        <w:t>thời</w:t>
      </w:r>
      <w:proofErr w:type="spellEnd"/>
      <w:r w:rsidR="003F0046" w:rsidRPr="00F95AFC">
        <w:rPr>
          <w:b w:val="0"/>
        </w:rPr>
        <w:t xml:space="preserve"> </w:t>
      </w:r>
      <w:proofErr w:type="spellStart"/>
      <w:r w:rsidR="003F0046" w:rsidRPr="00F95AFC">
        <w:rPr>
          <w:b w:val="0"/>
        </w:rPr>
        <w:t>điểm</w:t>
      </w:r>
      <w:proofErr w:type="spellEnd"/>
      <w:r w:rsidR="003F0046" w:rsidRPr="00F95AFC">
        <w:rPr>
          <w:b w:val="0"/>
        </w:rPr>
        <w:t xml:space="preserve"> </w:t>
      </w:r>
      <w:proofErr w:type="spellStart"/>
      <w:r w:rsidR="003F0046" w:rsidRPr="00F95AFC">
        <w:rPr>
          <w:b w:val="0"/>
        </w:rPr>
        <w:t>lập</w:t>
      </w:r>
      <w:proofErr w:type="spellEnd"/>
      <w:r w:rsidR="003F0046" w:rsidRPr="00F95AFC">
        <w:rPr>
          <w:b w:val="0"/>
        </w:rPr>
        <w:t xml:space="preserve"> quỹ </w:t>
      </w:r>
      <w:proofErr w:type="spellStart"/>
      <w:r w:rsidR="003F0046" w:rsidRPr="00F95AFC">
        <w:rPr>
          <w:b w:val="0"/>
        </w:rPr>
        <w:t>tới</w:t>
      </w:r>
      <w:proofErr w:type="spellEnd"/>
      <w:r w:rsidR="003F0046" w:rsidRPr="00F95AFC">
        <w:rPr>
          <w:b w:val="0"/>
        </w:rPr>
        <w:t xml:space="preserve"> </w:t>
      </w:r>
      <w:proofErr w:type="spellStart"/>
      <w:r w:rsidR="003F0046" w:rsidRPr="00F95AFC">
        <w:rPr>
          <w:b w:val="0"/>
        </w:rPr>
        <w:t>ngày</w:t>
      </w:r>
      <w:proofErr w:type="spellEnd"/>
      <w:r w:rsidR="003F0046" w:rsidRPr="00F95AFC">
        <w:rPr>
          <w:b w:val="0"/>
        </w:rPr>
        <w:t xml:space="preserve"> </w:t>
      </w:r>
      <w:proofErr w:type="spellStart"/>
      <w:r w:rsidR="003F0046" w:rsidRPr="00F95AFC">
        <w:rPr>
          <w:b w:val="0"/>
        </w:rPr>
        <w:t>báo</w:t>
      </w:r>
      <w:proofErr w:type="spellEnd"/>
      <w:r w:rsidR="003F0046" w:rsidRPr="00F95AFC">
        <w:rPr>
          <w:b w:val="0"/>
        </w:rPr>
        <w:t xml:space="preserve"> </w:t>
      </w:r>
      <w:proofErr w:type="spellStart"/>
      <w:r w:rsidR="003F0046" w:rsidRPr="00F95AFC">
        <w:rPr>
          <w:b w:val="0"/>
        </w:rPr>
        <w:t>cáo</w:t>
      </w:r>
      <w:proofErr w:type="spellEnd"/>
      <w:r w:rsidR="002C62AC" w:rsidRPr="00F95AFC">
        <w:rPr>
          <w:b w:val="0"/>
        </w:rPr>
        <w:t xml:space="preserve"> </w:t>
      </w:r>
      <w:proofErr w:type="spellStart"/>
      <w:r w:rsidR="002C62AC" w:rsidRPr="00F95AFC">
        <w:rPr>
          <w:b w:val="0"/>
        </w:rPr>
        <w:t>nếu</w:t>
      </w:r>
      <w:proofErr w:type="spellEnd"/>
      <w:r w:rsidR="002C62AC" w:rsidRPr="00F95AFC">
        <w:rPr>
          <w:b w:val="0"/>
        </w:rPr>
        <w:t xml:space="preserve"> quỹ </w:t>
      </w:r>
      <w:proofErr w:type="spellStart"/>
      <w:r w:rsidR="002C62AC" w:rsidRPr="00F95AFC">
        <w:rPr>
          <w:b w:val="0"/>
        </w:rPr>
        <w:t>hoạt</w:t>
      </w:r>
      <w:proofErr w:type="spellEnd"/>
      <w:r w:rsidR="002C62AC" w:rsidRPr="00F95AFC">
        <w:rPr>
          <w:b w:val="0"/>
        </w:rPr>
        <w:t xml:space="preserve"> </w:t>
      </w:r>
      <w:proofErr w:type="spellStart"/>
      <w:r w:rsidR="002C62AC" w:rsidRPr="00F95AFC">
        <w:rPr>
          <w:b w:val="0"/>
        </w:rPr>
        <w:t>động</w:t>
      </w:r>
      <w:proofErr w:type="spellEnd"/>
      <w:r w:rsidR="002C62AC" w:rsidRPr="00F95AFC">
        <w:rPr>
          <w:b w:val="0"/>
        </w:rPr>
        <w:t xml:space="preserve"> </w:t>
      </w:r>
      <w:proofErr w:type="spellStart"/>
      <w:r w:rsidR="002C62AC" w:rsidRPr="00F95AFC">
        <w:rPr>
          <w:b w:val="0"/>
        </w:rPr>
        <w:t>dưới</w:t>
      </w:r>
      <w:proofErr w:type="spellEnd"/>
      <w:r w:rsidR="002C62AC" w:rsidRPr="00F95AFC">
        <w:rPr>
          <w:b w:val="0"/>
        </w:rPr>
        <w:t xml:space="preserve"> 3 </w:t>
      </w:r>
      <w:proofErr w:type="spellStart"/>
      <w:r w:rsidR="002C62AC" w:rsidRPr="006560DE">
        <w:rPr>
          <w:b w:val="0"/>
        </w:rPr>
        <w:t>năm</w:t>
      </w:r>
      <w:proofErr w:type="spellEnd"/>
      <w:r w:rsidR="002C62AC" w:rsidRPr="006560DE">
        <w:rPr>
          <w:b w:val="0"/>
        </w:rPr>
        <w:t>)</w:t>
      </w:r>
      <w:r w:rsidR="003D5665" w:rsidRPr="006560DE">
        <w:rPr>
          <w:b w:val="0"/>
        </w:rPr>
        <w:t xml:space="preserve"> </w:t>
      </w:r>
      <w:proofErr w:type="spellStart"/>
      <w:r w:rsidR="003D5665" w:rsidRPr="006560DE">
        <w:rPr>
          <w:b w:val="0"/>
        </w:rPr>
        <w:t>là</w:t>
      </w:r>
      <w:proofErr w:type="spellEnd"/>
      <w:r w:rsidR="003D5665" w:rsidRPr="006560DE">
        <w:rPr>
          <w:b w:val="0"/>
        </w:rPr>
        <w:t xml:space="preserve"> </w:t>
      </w:r>
      <w:r w:rsidR="00B9195F" w:rsidRPr="006560DE">
        <w:rPr>
          <w:b w:val="0"/>
        </w:rPr>
        <w:t>4,07</w:t>
      </w:r>
      <w:r w:rsidR="003D5665" w:rsidRPr="006560DE">
        <w:rPr>
          <w:b w:val="0"/>
          <w:lang w:val="en-SG" w:eastAsia="en-SG"/>
        </w:rPr>
        <w:t>%</w:t>
      </w:r>
      <w:r w:rsidR="003D5665" w:rsidRPr="006560DE">
        <w:rPr>
          <w:rFonts w:eastAsiaTheme="minorHAnsi"/>
          <w:b w:val="0"/>
        </w:rPr>
        <w:t xml:space="preserve">, </w:t>
      </w:r>
      <w:proofErr w:type="spellStart"/>
      <w:r w:rsidR="003D5665" w:rsidRPr="006560DE">
        <w:rPr>
          <w:rFonts w:eastAsiaTheme="minorHAnsi"/>
          <w:b w:val="0"/>
        </w:rPr>
        <w:t>trong</w:t>
      </w:r>
      <w:proofErr w:type="spellEnd"/>
      <w:r w:rsidR="003D5665" w:rsidRPr="00F95AFC">
        <w:rPr>
          <w:rFonts w:eastAsiaTheme="minorHAnsi"/>
          <w:b w:val="0"/>
        </w:rPr>
        <w:t xml:space="preserve"> </w:t>
      </w:r>
      <w:proofErr w:type="spellStart"/>
      <w:r w:rsidR="003D5665" w:rsidRPr="00F95AFC">
        <w:rPr>
          <w:rFonts w:eastAsiaTheme="minorHAnsi"/>
          <w:b w:val="0"/>
        </w:rPr>
        <w:t>đó</w:t>
      </w:r>
      <w:proofErr w:type="spellEnd"/>
    </w:p>
    <w:p w14:paraId="5F088152" w14:textId="77777777" w:rsidR="00946758" w:rsidRPr="00F95AFC" w:rsidRDefault="00946758" w:rsidP="00F95AFC">
      <w:pPr>
        <w:pStyle w:val="ListParagraph"/>
        <w:spacing w:before="120" w:line="360" w:lineRule="auto"/>
        <w:ind w:left="780"/>
        <w:jc w:val="both"/>
        <w:rPr>
          <w:b w:val="0"/>
        </w:rPr>
      </w:pP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946758" w:rsidRPr="00F95AFC" w14:paraId="3195E4C5" w14:textId="77777777" w:rsidTr="00EC41E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EC980" w14:textId="77777777" w:rsidR="00946758" w:rsidRPr="00F95AFC" w:rsidRDefault="00946758" w:rsidP="00F95AFC">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F84F609" w14:textId="77777777" w:rsidR="00946758" w:rsidRPr="00F95AFC" w:rsidRDefault="00946758"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0ADFB381" w14:textId="77777777" w:rsidR="00946758" w:rsidRPr="00F95AFC" w:rsidRDefault="00946758"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42F6157C" w14:textId="77777777" w:rsidR="00946758" w:rsidRPr="00F95AFC" w:rsidRDefault="00946758" w:rsidP="00F95AFC">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A303AB" w14:textId="77777777" w:rsidR="00946758" w:rsidRPr="00F95AFC" w:rsidRDefault="00946758" w:rsidP="00F95AFC">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09D0BE38" w14:textId="77777777" w:rsidR="00946758" w:rsidRPr="00F95AFC" w:rsidRDefault="00946758" w:rsidP="00F95AFC">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1E3101" w14:textId="77777777" w:rsidR="00946758" w:rsidRPr="00F95AFC" w:rsidRDefault="00946758" w:rsidP="00F95AFC">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294AB1DB" w14:textId="77777777" w:rsidR="00946758" w:rsidRPr="00F95AFC" w:rsidRDefault="00946758" w:rsidP="00F95AFC">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r>
      <w:tr w:rsidR="00946758" w:rsidRPr="00F95AFC" w14:paraId="70786E10" w14:textId="77777777" w:rsidTr="00EC41E8">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5E76149C" w14:textId="2E65E34B" w:rsidR="00946758" w:rsidRPr="00F95AFC" w:rsidRDefault="00946758" w:rsidP="00F95AFC">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B9195F" w:rsidRPr="00F95AFC">
              <w:rPr>
                <w:rFonts w:ascii="Times New Roman" w:eastAsiaTheme="minorHAnsi" w:hAnsi="Times New Roman"/>
                <w:sz w:val="24"/>
                <w:szCs w:val="24"/>
              </w:rPr>
              <w:t>20</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30/06/202</w:t>
            </w:r>
            <w:r w:rsidR="00B9195F" w:rsidRPr="00F95AFC">
              <w:rPr>
                <w:rFonts w:ascii="Times New Roman" w:eastAsiaTheme="minorHAnsi" w:hAnsi="Times New Roman"/>
                <w:sz w:val="24"/>
                <w:szCs w:val="24"/>
              </w:rPr>
              <w:t>3</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7301839A" w14:textId="4040C4F5" w:rsidR="00946758" w:rsidRPr="00F95AFC" w:rsidRDefault="00946758" w:rsidP="00F95AFC">
            <w:pPr>
              <w:spacing w:line="360" w:lineRule="auto"/>
              <w:jc w:val="center"/>
              <w:rPr>
                <w:rFonts w:ascii="Times New Roman" w:hAnsi="Times New Roman"/>
                <w:color w:val="000000"/>
                <w:sz w:val="24"/>
                <w:szCs w:val="24"/>
              </w:rPr>
            </w:pPr>
            <w:r w:rsidRPr="00F95AFC">
              <w:rPr>
                <w:rFonts w:ascii="Times New Roman" w:hAnsi="Times New Roman"/>
                <w:color w:val="000000"/>
                <w:sz w:val="24"/>
                <w:szCs w:val="24"/>
              </w:rPr>
              <w:t xml:space="preserve">                         </w:t>
            </w:r>
            <w:r w:rsidR="00B9195F" w:rsidRPr="00F95AFC">
              <w:rPr>
                <w:rFonts w:ascii="Times New Roman" w:hAnsi="Times New Roman"/>
                <w:color w:val="000000"/>
                <w:sz w:val="24"/>
                <w:szCs w:val="24"/>
              </w:rPr>
              <w:t xml:space="preserve"> 15.099.642.144</w:t>
            </w:r>
          </w:p>
          <w:p w14:paraId="1C22B078" w14:textId="77777777" w:rsidR="00946758" w:rsidRPr="00F95AFC" w:rsidRDefault="00946758" w:rsidP="00F95AFC">
            <w:pPr>
              <w:spacing w:line="360" w:lineRule="auto"/>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79D8B971" w14:textId="77777777" w:rsidR="00946758" w:rsidRPr="00F95AFC" w:rsidRDefault="00946758" w:rsidP="00F95AFC">
            <w:pPr>
              <w:spacing w:line="360" w:lineRule="auto"/>
              <w:ind w:right="90"/>
              <w:jc w:val="center"/>
              <w:rPr>
                <w:rFonts w:ascii="Times New Roman" w:eastAsiaTheme="minorHAnsi" w:hAnsi="Times New Roman"/>
                <w:sz w:val="24"/>
                <w:szCs w:val="24"/>
              </w:rPr>
            </w:pPr>
            <w:r w:rsidRPr="00F95AFC">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A4F19B1" w14:textId="42E21897" w:rsidR="00946758" w:rsidRPr="00F95AFC" w:rsidRDefault="00946758" w:rsidP="00F95AFC">
            <w:pPr>
              <w:spacing w:line="360" w:lineRule="auto"/>
              <w:jc w:val="center"/>
              <w:rPr>
                <w:rFonts w:ascii="Times New Roman" w:hAnsi="Times New Roman"/>
                <w:color w:val="000000"/>
                <w:sz w:val="24"/>
                <w:szCs w:val="24"/>
              </w:rPr>
            </w:pPr>
            <w:r w:rsidRPr="00F95AFC">
              <w:rPr>
                <w:rFonts w:ascii="Times New Roman" w:hAnsi="Times New Roman"/>
                <w:color w:val="000000"/>
                <w:sz w:val="24"/>
                <w:szCs w:val="24"/>
              </w:rPr>
              <w:t xml:space="preserve">                         </w:t>
            </w:r>
            <w:r w:rsidR="00B9195F" w:rsidRPr="00F95AFC">
              <w:rPr>
                <w:rFonts w:ascii="Times New Roman" w:hAnsi="Times New Roman"/>
                <w:color w:val="000000"/>
                <w:sz w:val="24"/>
                <w:szCs w:val="24"/>
              </w:rPr>
              <w:t xml:space="preserve"> 15.099.642.144</w:t>
            </w:r>
          </w:p>
          <w:p w14:paraId="179955AC" w14:textId="77777777" w:rsidR="00946758" w:rsidRPr="00F95AFC" w:rsidRDefault="00946758" w:rsidP="00F95AFC">
            <w:pPr>
              <w:spacing w:line="360" w:lineRule="auto"/>
              <w:jc w:val="center"/>
              <w:rPr>
                <w:rFonts w:ascii="Times New Roman" w:hAnsi="Times New Roman"/>
                <w:sz w:val="24"/>
                <w:szCs w:val="24"/>
              </w:rPr>
            </w:pPr>
          </w:p>
        </w:tc>
      </w:tr>
    </w:tbl>
    <w:p w14:paraId="16EA2082" w14:textId="41314850" w:rsidR="00100E1C" w:rsidRPr="00F95AFC" w:rsidRDefault="003F0046" w:rsidP="00F95AFC">
      <w:pPr>
        <w:pStyle w:val="ListParagraph"/>
        <w:numPr>
          <w:ilvl w:val="0"/>
          <w:numId w:val="13"/>
        </w:numPr>
        <w:spacing w:before="120" w:line="360" w:lineRule="auto"/>
        <w:jc w:val="both"/>
        <w:rPr>
          <w:b w:val="0"/>
        </w:rPr>
      </w:pPr>
      <w:proofErr w:type="spellStart"/>
      <w:r w:rsidRPr="00F95AFC">
        <w:rPr>
          <w:b w:val="0"/>
        </w:rPr>
        <w:t>trong</w:t>
      </w:r>
      <w:proofErr w:type="spellEnd"/>
      <w:r w:rsidRPr="00F95AFC">
        <w:rPr>
          <w:b w:val="0"/>
        </w:rPr>
        <w:t xml:space="preserve"> </w:t>
      </w:r>
      <w:proofErr w:type="spellStart"/>
      <w:r w:rsidRPr="00F95AFC">
        <w:rPr>
          <w:b w:val="0"/>
        </w:rPr>
        <w:t>thời</w:t>
      </w:r>
      <w:proofErr w:type="spellEnd"/>
      <w:r w:rsidRPr="00F95AFC">
        <w:rPr>
          <w:b w:val="0"/>
        </w:rPr>
        <w:t xml:space="preserve"> </w:t>
      </w:r>
      <w:proofErr w:type="spellStart"/>
      <w:r w:rsidRPr="00F95AFC">
        <w:rPr>
          <w:b w:val="0"/>
        </w:rPr>
        <w:t>hạn</w:t>
      </w:r>
      <w:proofErr w:type="spellEnd"/>
      <w:r w:rsidRPr="00F95AFC">
        <w:rPr>
          <w:b w:val="0"/>
        </w:rPr>
        <w:t xml:space="preserve"> 60 </w:t>
      </w:r>
      <w:proofErr w:type="spellStart"/>
      <w:r w:rsidRPr="00F95AFC">
        <w:rPr>
          <w:b w:val="0"/>
        </w:rPr>
        <w:t>tháng</w:t>
      </w:r>
      <w:proofErr w:type="spellEnd"/>
      <w:r w:rsidRPr="00F95AFC">
        <w:rPr>
          <w:b w:val="0"/>
        </w:rPr>
        <w:t xml:space="preserve"> (5 </w:t>
      </w:r>
      <w:proofErr w:type="spellStart"/>
      <w:r w:rsidRPr="00F95AFC">
        <w:rPr>
          <w:b w:val="0"/>
        </w:rPr>
        <w:t>năm</w:t>
      </w:r>
      <w:proofErr w:type="spellEnd"/>
      <w:r w:rsidRPr="00F95AFC">
        <w:rPr>
          <w:b w:val="0"/>
        </w:rPr>
        <w:t xml:space="preserve">), </w:t>
      </w:r>
      <w:proofErr w:type="spellStart"/>
      <w:r w:rsidRPr="00F95AFC">
        <w:rPr>
          <w:b w:val="0"/>
        </w:rPr>
        <w:t>tính</w:t>
      </w:r>
      <w:proofErr w:type="spellEnd"/>
      <w:r w:rsidRPr="00F95AFC">
        <w:rPr>
          <w:b w:val="0"/>
        </w:rPr>
        <w:t xml:space="preserve"> </w:t>
      </w:r>
      <w:proofErr w:type="spellStart"/>
      <w:r w:rsidRPr="00F95AFC">
        <w:rPr>
          <w:b w:val="0"/>
        </w:rPr>
        <w:t>tới</w:t>
      </w:r>
      <w:proofErr w:type="spellEnd"/>
      <w:r w:rsidRPr="00F95AFC">
        <w:rPr>
          <w:b w:val="0"/>
        </w:rPr>
        <w:t xml:space="preserve"> </w:t>
      </w:r>
      <w:proofErr w:type="spellStart"/>
      <w:r w:rsidRPr="00F95AFC">
        <w:rPr>
          <w:b w:val="0"/>
        </w:rPr>
        <w:t>ngày</w:t>
      </w:r>
      <w:proofErr w:type="spellEnd"/>
      <w:r w:rsidRPr="00F95AFC">
        <w:rPr>
          <w:b w:val="0"/>
        </w:rPr>
        <w:t xml:space="preserve"> </w:t>
      </w:r>
      <w:proofErr w:type="spellStart"/>
      <w:r w:rsidRPr="00F95AFC">
        <w:rPr>
          <w:b w:val="0"/>
        </w:rPr>
        <w:t>lập</w:t>
      </w:r>
      <w:proofErr w:type="spellEnd"/>
      <w:r w:rsidRPr="00F95AFC">
        <w:rPr>
          <w:b w:val="0"/>
        </w:rPr>
        <w:t xml:space="preserve"> </w:t>
      </w:r>
      <w:proofErr w:type="spellStart"/>
      <w:r w:rsidRPr="00F95AFC">
        <w:rPr>
          <w:b w:val="0"/>
        </w:rPr>
        <w:t>báo</w:t>
      </w:r>
      <w:proofErr w:type="spellEnd"/>
      <w:r w:rsidRPr="00F95AFC">
        <w:rPr>
          <w:b w:val="0"/>
        </w:rPr>
        <w:t xml:space="preserve"> </w:t>
      </w:r>
      <w:proofErr w:type="spellStart"/>
      <w:r w:rsidRPr="00F95AFC">
        <w:rPr>
          <w:b w:val="0"/>
        </w:rPr>
        <w:t>cáo</w:t>
      </w:r>
      <w:proofErr w:type="spellEnd"/>
      <w:r w:rsidRPr="00F95AFC">
        <w:rPr>
          <w:b w:val="0"/>
        </w:rPr>
        <w:t xml:space="preserve"> (</w:t>
      </w:r>
      <w:proofErr w:type="spellStart"/>
      <w:r w:rsidRPr="00F95AFC">
        <w:rPr>
          <w:b w:val="0"/>
        </w:rPr>
        <w:t>hoặc</w:t>
      </w:r>
      <w:proofErr w:type="spellEnd"/>
      <w:r w:rsidRPr="00F95AFC">
        <w:rPr>
          <w:b w:val="0"/>
        </w:rPr>
        <w:t xml:space="preserve"> </w:t>
      </w:r>
      <w:proofErr w:type="spellStart"/>
      <w:r w:rsidRPr="00F95AFC">
        <w:rPr>
          <w:b w:val="0"/>
        </w:rPr>
        <w:t>tính</w:t>
      </w:r>
      <w:proofErr w:type="spellEnd"/>
      <w:r w:rsidRPr="00F95AFC">
        <w:rPr>
          <w:b w:val="0"/>
        </w:rPr>
        <w:t xml:space="preserve"> </w:t>
      </w:r>
      <w:proofErr w:type="spellStart"/>
      <w:r w:rsidRPr="00F95AFC">
        <w:rPr>
          <w:b w:val="0"/>
        </w:rPr>
        <w:t>từ</w:t>
      </w:r>
      <w:proofErr w:type="spellEnd"/>
      <w:r w:rsidRPr="00F95AFC">
        <w:rPr>
          <w:b w:val="0"/>
        </w:rPr>
        <w:t xml:space="preserve"> </w:t>
      </w:r>
      <w:proofErr w:type="spellStart"/>
      <w:r w:rsidRPr="00F95AFC">
        <w:rPr>
          <w:b w:val="0"/>
        </w:rPr>
        <w:t>thời</w:t>
      </w:r>
      <w:proofErr w:type="spellEnd"/>
      <w:r w:rsidRPr="00F95AFC">
        <w:rPr>
          <w:b w:val="0"/>
        </w:rPr>
        <w:t xml:space="preserve"> </w:t>
      </w:r>
      <w:proofErr w:type="spellStart"/>
      <w:r w:rsidRPr="00F95AFC">
        <w:rPr>
          <w:b w:val="0"/>
        </w:rPr>
        <w:t>điểm</w:t>
      </w:r>
      <w:proofErr w:type="spellEnd"/>
      <w:r w:rsidRPr="00F95AFC">
        <w:rPr>
          <w:b w:val="0"/>
        </w:rPr>
        <w:t xml:space="preserve"> </w:t>
      </w:r>
      <w:proofErr w:type="spellStart"/>
      <w:r w:rsidRPr="00F95AFC">
        <w:rPr>
          <w:b w:val="0"/>
        </w:rPr>
        <w:t>lập</w:t>
      </w:r>
      <w:proofErr w:type="spellEnd"/>
      <w:r w:rsidRPr="00F95AFC">
        <w:rPr>
          <w:b w:val="0"/>
        </w:rPr>
        <w:t xml:space="preserve"> quỹ </w:t>
      </w:r>
      <w:proofErr w:type="spellStart"/>
      <w:r w:rsidRPr="00F95AFC">
        <w:rPr>
          <w:b w:val="0"/>
        </w:rPr>
        <w:t>tới</w:t>
      </w:r>
      <w:proofErr w:type="spellEnd"/>
      <w:r w:rsidRPr="00F95AFC">
        <w:rPr>
          <w:b w:val="0"/>
        </w:rPr>
        <w:t xml:space="preserve"> </w:t>
      </w:r>
      <w:proofErr w:type="spellStart"/>
      <w:r w:rsidRPr="00F95AFC">
        <w:rPr>
          <w:b w:val="0"/>
        </w:rPr>
        <w:t>ngày</w:t>
      </w:r>
      <w:proofErr w:type="spellEnd"/>
      <w:r w:rsidRPr="00F95AFC">
        <w:rPr>
          <w:b w:val="0"/>
        </w:rPr>
        <w:t xml:space="preserve"> </w:t>
      </w:r>
      <w:proofErr w:type="spellStart"/>
      <w:r w:rsidRPr="00F95AFC">
        <w:rPr>
          <w:b w:val="0"/>
        </w:rPr>
        <w:t>báo</w:t>
      </w:r>
      <w:proofErr w:type="spellEnd"/>
      <w:r w:rsidRPr="00F95AFC">
        <w:rPr>
          <w:b w:val="0"/>
        </w:rPr>
        <w:t xml:space="preserve"> </w:t>
      </w:r>
      <w:proofErr w:type="spellStart"/>
      <w:r w:rsidRPr="00F95AFC">
        <w:rPr>
          <w:b w:val="0"/>
        </w:rPr>
        <w:t>cáo</w:t>
      </w:r>
      <w:proofErr w:type="spellEnd"/>
      <w:r w:rsidRPr="00F95AFC">
        <w:rPr>
          <w:b w:val="0"/>
        </w:rPr>
        <w:t xml:space="preserve"> </w:t>
      </w:r>
      <w:proofErr w:type="spellStart"/>
      <w:r w:rsidRPr="00F95AFC">
        <w:rPr>
          <w:b w:val="0"/>
        </w:rPr>
        <w:t>nếu</w:t>
      </w:r>
      <w:proofErr w:type="spellEnd"/>
      <w:r w:rsidRPr="00F95AFC">
        <w:rPr>
          <w:b w:val="0"/>
        </w:rPr>
        <w:t xml:space="preserve"> quỹ </w:t>
      </w:r>
      <w:proofErr w:type="spellStart"/>
      <w:r w:rsidRPr="00F95AFC">
        <w:rPr>
          <w:b w:val="0"/>
        </w:rPr>
        <w:t>hoạt</w:t>
      </w:r>
      <w:proofErr w:type="spellEnd"/>
      <w:r w:rsidRPr="00F95AFC">
        <w:rPr>
          <w:b w:val="0"/>
        </w:rPr>
        <w:t xml:space="preserve"> </w:t>
      </w:r>
      <w:proofErr w:type="spellStart"/>
      <w:r w:rsidRPr="00F95AFC">
        <w:rPr>
          <w:b w:val="0"/>
        </w:rPr>
        <w:t>động</w:t>
      </w:r>
      <w:proofErr w:type="spellEnd"/>
      <w:r w:rsidRPr="00F95AFC">
        <w:rPr>
          <w:b w:val="0"/>
        </w:rPr>
        <w:t xml:space="preserve"> </w:t>
      </w:r>
      <w:proofErr w:type="spellStart"/>
      <w:r w:rsidR="00100E1C" w:rsidRPr="00F95AFC">
        <w:rPr>
          <w:b w:val="0"/>
        </w:rPr>
        <w:t>dưới</w:t>
      </w:r>
      <w:proofErr w:type="spellEnd"/>
      <w:r w:rsidR="00100E1C" w:rsidRPr="00F95AFC">
        <w:rPr>
          <w:b w:val="0"/>
        </w:rPr>
        <w:t xml:space="preserve"> 5 </w:t>
      </w:r>
      <w:proofErr w:type="spellStart"/>
      <w:r w:rsidR="00100E1C" w:rsidRPr="00F95AFC">
        <w:rPr>
          <w:b w:val="0"/>
        </w:rPr>
        <w:t>năm</w:t>
      </w:r>
      <w:proofErr w:type="spellEnd"/>
      <w:r w:rsidR="00100E1C" w:rsidRPr="00F95AFC">
        <w:rPr>
          <w:b w:val="0"/>
        </w:rPr>
        <w:t>):</w:t>
      </w:r>
      <w:r w:rsidR="00AC22BF" w:rsidRPr="00F95AFC">
        <w:rPr>
          <w:b w:val="0"/>
        </w:rPr>
        <w:t xml:space="preserve"> </w:t>
      </w:r>
      <w:proofErr w:type="spellStart"/>
      <w:r w:rsidR="00AC22BF" w:rsidRPr="00F95AFC">
        <w:rPr>
          <w:b w:val="0"/>
        </w:rPr>
        <w:t>Không</w:t>
      </w:r>
      <w:proofErr w:type="spellEnd"/>
      <w:r w:rsidR="00AC22BF" w:rsidRPr="00F95AFC">
        <w:rPr>
          <w:b w:val="0"/>
        </w:rPr>
        <w:t xml:space="preserve"> </w:t>
      </w:r>
      <w:proofErr w:type="spellStart"/>
      <w:r w:rsidR="00AC22BF" w:rsidRPr="00F95AFC">
        <w:rPr>
          <w:b w:val="0"/>
        </w:rPr>
        <w:t>có</w:t>
      </w:r>
      <w:proofErr w:type="spellEnd"/>
    </w:p>
    <w:p w14:paraId="2EEDD6CC"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tắc</w:t>
      </w:r>
      <w:proofErr w:type="spellEnd"/>
      <w:r w:rsidRPr="00F95AFC">
        <w:rPr>
          <w:rFonts w:ascii="Times New Roman" w:hAnsi="Times New Roman"/>
          <w:sz w:val="24"/>
          <w:szCs w:val="24"/>
        </w:rPr>
        <w:t>:</w:t>
      </w:r>
    </w:p>
    <w:p w14:paraId="75561318" w14:textId="5241DC5D"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Phương </w:t>
      </w:r>
      <w:proofErr w:type="spellStart"/>
      <w:r w:rsidRPr="00F95AFC">
        <w:rPr>
          <w:rFonts w:ascii="Times New Roman" w:hAnsi="Times New Roman"/>
          <w:sz w:val="24"/>
          <w:szCs w:val="24"/>
        </w:rPr>
        <w:t>thức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tắc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nhất</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thẩm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w:t>
      </w:r>
      <w:r w:rsidR="004A586E" w:rsidRPr="00F95AFC">
        <w:rPr>
          <w:rFonts w:ascii="Times New Roman" w:hAnsi="Times New Roman"/>
          <w:sz w:val="24"/>
          <w:szCs w:val="24"/>
        </w:rPr>
        <w:t>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một</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tổ</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chức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độc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lập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khác</w:t>
      </w:r>
      <w:proofErr w:type="spellEnd"/>
      <w:r w:rsidR="004A586E" w:rsidRPr="00F95AFC">
        <w:rPr>
          <w:rFonts w:ascii="Times New Roman" w:hAnsi="Times New Roman"/>
          <w:sz w:val="24"/>
          <w:szCs w:val="24"/>
        </w:rPr>
        <w:t xml:space="preserve">: Phương </w:t>
      </w:r>
      <w:proofErr w:type="spellStart"/>
      <w:r w:rsidR="004A586E" w:rsidRPr="00F95AFC">
        <w:rPr>
          <w:rFonts w:ascii="Times New Roman" w:hAnsi="Times New Roman"/>
          <w:sz w:val="24"/>
          <w:szCs w:val="24"/>
        </w:rPr>
        <w:t>pháp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xác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trị</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tài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sản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được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quy</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trong</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Sổ</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tay</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lập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bởi</w:t>
      </w:r>
      <w:proofErr w:type="spellEnd"/>
      <w:r w:rsidR="004A586E" w:rsidRPr="00F95AFC">
        <w:rPr>
          <w:rFonts w:ascii="Times New Roman" w:hAnsi="Times New Roman"/>
          <w:sz w:val="24"/>
          <w:szCs w:val="24"/>
        </w:rPr>
        <w:t xml:space="preserve"> Công ty </w:t>
      </w:r>
      <w:proofErr w:type="spellStart"/>
      <w:r w:rsidR="004A586E" w:rsidRPr="00F95AFC">
        <w:rPr>
          <w:rFonts w:ascii="Times New Roman" w:hAnsi="Times New Roman"/>
          <w:sz w:val="24"/>
          <w:szCs w:val="24"/>
        </w:rPr>
        <w:t>Quản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lý</w:t>
      </w:r>
      <w:proofErr w:type="spellEnd"/>
      <w:r w:rsidR="004A586E" w:rsidRPr="00F95AFC">
        <w:rPr>
          <w:rFonts w:ascii="Times New Roman" w:hAnsi="Times New Roman"/>
          <w:sz w:val="24"/>
          <w:szCs w:val="24"/>
        </w:rPr>
        <w:t xml:space="preserve"> Quỹ, </w:t>
      </w:r>
      <w:proofErr w:type="spellStart"/>
      <w:r w:rsidR="004A586E" w:rsidRPr="00F95AFC">
        <w:rPr>
          <w:rFonts w:ascii="Times New Roman" w:hAnsi="Times New Roman"/>
          <w:sz w:val="24"/>
          <w:szCs w:val="24"/>
        </w:rPr>
        <w:t>được</w:t>
      </w:r>
      <w:proofErr w:type="spellEnd"/>
      <w:r w:rsidR="004A586E" w:rsidRPr="00F95AFC">
        <w:rPr>
          <w:rFonts w:ascii="Times New Roman" w:hAnsi="Times New Roman"/>
          <w:sz w:val="24"/>
          <w:szCs w:val="24"/>
        </w:rPr>
        <w:t xml:space="preserve"> Ban </w:t>
      </w:r>
      <w:proofErr w:type="spellStart"/>
      <w:r w:rsidR="004A586E" w:rsidRPr="00F95AFC">
        <w:rPr>
          <w:rFonts w:ascii="Times New Roman" w:hAnsi="Times New Roman"/>
          <w:sz w:val="24"/>
          <w:szCs w:val="24"/>
        </w:rPr>
        <w:t>Đại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diện</w:t>
      </w:r>
      <w:proofErr w:type="spellEnd"/>
      <w:r w:rsidR="004A586E" w:rsidRPr="00F95AFC">
        <w:rPr>
          <w:rFonts w:ascii="Times New Roman" w:hAnsi="Times New Roman"/>
          <w:sz w:val="24"/>
          <w:szCs w:val="24"/>
        </w:rPr>
        <w:t xml:space="preserve"> Quỹ thông qua </w:t>
      </w:r>
      <w:proofErr w:type="spellStart"/>
      <w:r w:rsidR="004A586E" w:rsidRPr="00F95AFC">
        <w:rPr>
          <w:rFonts w:ascii="Times New Roman" w:hAnsi="Times New Roman"/>
          <w:sz w:val="24"/>
          <w:szCs w:val="24"/>
        </w:rPr>
        <w:t>và</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kiểm</w:t>
      </w:r>
      <w:proofErr w:type="spellEnd"/>
      <w:r w:rsidR="004A586E" w:rsidRPr="00F95AFC">
        <w:rPr>
          <w:rFonts w:ascii="Times New Roman" w:hAnsi="Times New Roman"/>
          <w:sz w:val="24"/>
          <w:szCs w:val="24"/>
        </w:rPr>
        <w:t xml:space="preserve"> tra </w:t>
      </w:r>
      <w:proofErr w:type="spellStart"/>
      <w:r w:rsidR="004A586E" w:rsidRPr="00F95AFC">
        <w:rPr>
          <w:rFonts w:ascii="Times New Roman" w:hAnsi="Times New Roman"/>
          <w:sz w:val="24"/>
          <w:szCs w:val="24"/>
        </w:rPr>
        <w:t>rà</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soát</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w:t>
      </w:r>
      <w:r w:rsidR="00C842D7" w:rsidRPr="00F95AFC">
        <w:rPr>
          <w:rFonts w:ascii="Times New Roman" w:hAnsi="Times New Roman"/>
          <w:sz w:val="24"/>
          <w:szCs w:val="24"/>
        </w:rPr>
        <w:t>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ngân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h</w:t>
      </w:r>
      <w:r w:rsidR="00C842D7" w:rsidRPr="00F95AFC">
        <w:rPr>
          <w:rFonts w:ascii="Times New Roman" w:hAnsi="Times New Roman"/>
          <w:sz w:val="24"/>
          <w:szCs w:val="24"/>
        </w:rPr>
        <w:t>à</w:t>
      </w:r>
      <w:r w:rsidR="004A586E" w:rsidRPr="00F95AFC">
        <w:rPr>
          <w:rFonts w:ascii="Times New Roman" w:hAnsi="Times New Roman"/>
          <w:sz w:val="24"/>
          <w:szCs w:val="24"/>
        </w:rPr>
        <w:t>ng</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giám</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sát</w:t>
      </w:r>
      <w:proofErr w:type="spellEnd"/>
      <w:r w:rsidR="004A586E" w:rsidRPr="00F95AFC">
        <w:rPr>
          <w:rFonts w:ascii="Times New Roman" w:hAnsi="Times New Roman"/>
          <w:sz w:val="24"/>
          <w:szCs w:val="24"/>
        </w:rPr>
        <w:t xml:space="preserve"> Standard Chartered bank (Vietnam) Limited</w:t>
      </w:r>
      <w:r w:rsidR="006027ED" w:rsidRPr="00F95AFC">
        <w:rPr>
          <w:rFonts w:ascii="Times New Roman" w:hAnsi="Times New Roman"/>
          <w:sz w:val="24"/>
          <w:szCs w:val="24"/>
        </w:rPr>
        <w:t>.</w:t>
      </w:r>
    </w:p>
    <w:p w14:paraId="02276866" w14:textId="1DB55C38"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Dữ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liệu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cung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cấp</w:t>
      </w:r>
      <w:proofErr w:type="spellEnd"/>
      <w:r w:rsidRPr="00F95AFC">
        <w:rPr>
          <w:rFonts w:ascii="Times New Roman" w:hAnsi="Times New Roman"/>
          <w:sz w:val="24"/>
          <w:szCs w:val="24"/>
        </w:rPr>
        <w:t xml:space="preserve"> </w:t>
      </w:r>
      <w:proofErr w:type="spellStart"/>
      <w:r w:rsidR="00C842D7" w:rsidRPr="00F95AFC">
        <w:rPr>
          <w:rFonts w:ascii="Times New Roman" w:hAnsi="Times New Roman"/>
          <w:sz w:val="24"/>
          <w:szCs w:val="24"/>
        </w:rPr>
        <w:t>bởi</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một</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tổ</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chức</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độc</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lập</w:t>
      </w:r>
      <w:proofErr w:type="spellEnd"/>
      <w:r w:rsidR="00C842D7" w:rsidRPr="00F95AFC">
        <w:rPr>
          <w:rFonts w:ascii="Times New Roman" w:hAnsi="Times New Roman"/>
          <w:sz w:val="24"/>
          <w:szCs w:val="24"/>
        </w:rPr>
        <w:t xml:space="preserve">: </w:t>
      </w:r>
      <w:proofErr w:type="spellStart"/>
      <w:r w:rsidR="00D073A1" w:rsidRPr="00F95AFC">
        <w:rPr>
          <w:rFonts w:ascii="Times New Roman" w:hAnsi="Times New Roman"/>
          <w:sz w:val="24"/>
          <w:szCs w:val="24"/>
        </w:rPr>
        <w:t>Giá</w:t>
      </w:r>
      <w:proofErr w:type="spellEnd"/>
      <w:r w:rsidR="00D073A1" w:rsidRPr="00F95AFC">
        <w:rPr>
          <w:rFonts w:ascii="Times New Roman" w:hAnsi="Times New Roman"/>
          <w:sz w:val="24"/>
          <w:szCs w:val="24"/>
        </w:rPr>
        <w:t xml:space="preserve"> </w:t>
      </w:r>
      <w:proofErr w:type="spellStart"/>
      <w:r w:rsidR="00D073A1" w:rsidRPr="00F95AFC">
        <w:rPr>
          <w:rFonts w:ascii="Times New Roman" w:hAnsi="Times New Roman"/>
          <w:sz w:val="24"/>
          <w:szCs w:val="24"/>
        </w:rPr>
        <w:t>chứng</w:t>
      </w:r>
      <w:proofErr w:type="spellEnd"/>
      <w:r w:rsidR="00D073A1" w:rsidRPr="00F95AFC">
        <w:rPr>
          <w:rFonts w:ascii="Times New Roman" w:hAnsi="Times New Roman"/>
          <w:sz w:val="24"/>
          <w:szCs w:val="24"/>
        </w:rPr>
        <w:t xml:space="preserve"> khoán </w:t>
      </w:r>
      <w:proofErr w:type="spellStart"/>
      <w:r w:rsidR="00D073A1" w:rsidRPr="00F95AFC">
        <w:rPr>
          <w:rFonts w:ascii="Times New Roman" w:hAnsi="Times New Roman"/>
          <w:sz w:val="24"/>
          <w:szCs w:val="24"/>
        </w:rPr>
        <w:t>được</w:t>
      </w:r>
      <w:proofErr w:type="spellEnd"/>
      <w:r w:rsidR="00D073A1" w:rsidRPr="00F95AFC">
        <w:rPr>
          <w:rFonts w:ascii="Times New Roman" w:hAnsi="Times New Roman"/>
          <w:sz w:val="24"/>
          <w:szCs w:val="24"/>
        </w:rPr>
        <w:t xml:space="preserve"> HNX</w:t>
      </w:r>
      <w:r w:rsidR="00A6562E" w:rsidRPr="00F95AFC">
        <w:rPr>
          <w:rFonts w:ascii="Times New Roman" w:hAnsi="Times New Roman"/>
          <w:sz w:val="24"/>
          <w:szCs w:val="24"/>
        </w:rPr>
        <w:t xml:space="preserve"> </w:t>
      </w:r>
      <w:proofErr w:type="spellStart"/>
      <w:r w:rsidR="00A6562E" w:rsidRPr="00F95AFC">
        <w:rPr>
          <w:rFonts w:ascii="Times New Roman" w:hAnsi="Times New Roman"/>
          <w:sz w:val="24"/>
          <w:szCs w:val="24"/>
        </w:rPr>
        <w:t>cung</w:t>
      </w:r>
      <w:proofErr w:type="spellEnd"/>
      <w:r w:rsidR="00A6562E" w:rsidRPr="00F95AFC">
        <w:rPr>
          <w:rFonts w:ascii="Times New Roman" w:hAnsi="Times New Roman"/>
          <w:sz w:val="24"/>
          <w:szCs w:val="24"/>
        </w:rPr>
        <w:t xml:space="preserve"> </w:t>
      </w:r>
      <w:proofErr w:type="spellStart"/>
      <w:r w:rsidR="00A6562E" w:rsidRPr="00F95AFC">
        <w:rPr>
          <w:rFonts w:ascii="Times New Roman" w:hAnsi="Times New Roman"/>
          <w:sz w:val="24"/>
          <w:szCs w:val="24"/>
        </w:rPr>
        <w:t>cấp</w:t>
      </w:r>
      <w:proofErr w:type="spellEnd"/>
      <w:r w:rsidR="00D073A1" w:rsidRPr="00F95AFC">
        <w:rPr>
          <w:rFonts w:ascii="Times New Roman" w:hAnsi="Times New Roman"/>
          <w:sz w:val="24"/>
          <w:szCs w:val="24"/>
        </w:rPr>
        <w:t>.</w:t>
      </w:r>
    </w:p>
    <w:p w14:paraId="3CDCBB17"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lastRenderedPageBreak/>
        <w:t xml:space="preserve">d) </w:t>
      </w:r>
      <w:r w:rsidR="00AE447B" w:rsidRPr="00F95AFC">
        <w:rPr>
          <w:rFonts w:ascii="Times New Roman" w:hAnsi="Times New Roman"/>
          <w:sz w:val="24"/>
          <w:szCs w:val="24"/>
        </w:rPr>
        <w:t xml:space="preserve">Thông tin </w:t>
      </w:r>
      <w:proofErr w:type="spellStart"/>
      <w:r w:rsidR="00AE447B" w:rsidRPr="00F95AFC">
        <w:rPr>
          <w:rFonts w:ascii="Times New Roman" w:hAnsi="Times New Roman"/>
          <w:sz w:val="24"/>
          <w:szCs w:val="24"/>
        </w:rPr>
        <w:t>về</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kết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quả</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hoạt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động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của</w:t>
      </w:r>
      <w:proofErr w:type="spellEnd"/>
      <w:r w:rsidR="00AE447B" w:rsidRPr="00F95AFC">
        <w:rPr>
          <w:rFonts w:ascii="Times New Roman" w:hAnsi="Times New Roman"/>
          <w:sz w:val="24"/>
          <w:szCs w:val="24"/>
        </w:rPr>
        <w:t xml:space="preserve"> Quỹ </w:t>
      </w:r>
      <w:proofErr w:type="spellStart"/>
      <w:r w:rsidR="00AE447B" w:rsidRPr="00F95AFC">
        <w:rPr>
          <w:rFonts w:ascii="Times New Roman" w:hAnsi="Times New Roman"/>
          <w:sz w:val="24"/>
          <w:szCs w:val="24"/>
        </w:rPr>
        <w:t>trong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quá</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khứ</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chỉ</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mang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tính</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chất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tham</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khảo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và</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không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có</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hàm</w:t>
      </w:r>
      <w:proofErr w:type="spellEnd"/>
      <w:r w:rsidR="00AE447B" w:rsidRPr="00F95AFC">
        <w:rPr>
          <w:rFonts w:ascii="Times New Roman" w:hAnsi="Times New Roman"/>
          <w:sz w:val="24"/>
          <w:szCs w:val="24"/>
        </w:rPr>
        <w:t xml:space="preserve"> ý hay cam </w:t>
      </w:r>
      <w:proofErr w:type="spellStart"/>
      <w:r w:rsidR="00AE447B" w:rsidRPr="00F95AFC">
        <w:rPr>
          <w:rFonts w:ascii="Times New Roman" w:hAnsi="Times New Roman"/>
          <w:sz w:val="24"/>
          <w:szCs w:val="24"/>
        </w:rPr>
        <w:t>kết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việc</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đầu</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sẽ</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bảo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đảm</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khả</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năng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sinh</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lời</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Nhà</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Đầu</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trong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tương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lai</w:t>
      </w:r>
      <w:proofErr w:type="spellEnd"/>
      <w:r w:rsidR="00AE447B" w:rsidRPr="00F95AFC">
        <w:rPr>
          <w:rFonts w:ascii="Times New Roman" w:hAnsi="Times New Roman"/>
          <w:sz w:val="24"/>
          <w:szCs w:val="24"/>
        </w:rPr>
        <w:t xml:space="preserve">. </w:t>
      </w:r>
    </w:p>
    <w:p w14:paraId="7B02375F" w14:textId="77777777" w:rsidR="003F0046" w:rsidRPr="00F95AFC" w:rsidRDefault="003F0046" w:rsidP="00F95AFC">
      <w:pPr>
        <w:spacing w:before="120" w:line="360" w:lineRule="auto"/>
        <w:jc w:val="both"/>
        <w:rPr>
          <w:rFonts w:ascii="Times New Roman" w:hAnsi="Times New Roman"/>
          <w:b/>
          <w:sz w:val="24"/>
          <w:szCs w:val="24"/>
        </w:rPr>
      </w:pPr>
      <w:r w:rsidRPr="00F95AFC">
        <w:rPr>
          <w:rFonts w:ascii="Times New Roman" w:hAnsi="Times New Roman"/>
          <w:b/>
          <w:sz w:val="24"/>
          <w:szCs w:val="24"/>
        </w:rPr>
        <w:t xml:space="preserve">3. </w:t>
      </w:r>
      <w:proofErr w:type="spellStart"/>
      <w:r w:rsidRPr="00F95AFC">
        <w:rPr>
          <w:rFonts w:ascii="Times New Roman" w:hAnsi="Times New Roman"/>
          <w:b/>
          <w:sz w:val="24"/>
          <w:szCs w:val="24"/>
        </w:rPr>
        <w:t>Báo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về</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quản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lý</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tài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Công ty </w:t>
      </w:r>
      <w:proofErr w:type="spellStart"/>
      <w:r w:rsidRPr="00F95AFC">
        <w:rPr>
          <w:rFonts w:ascii="Times New Roman" w:hAnsi="Times New Roman"/>
          <w:b/>
          <w:sz w:val="24"/>
          <w:szCs w:val="24"/>
        </w:rPr>
        <w:t>quản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lý</w:t>
      </w:r>
      <w:proofErr w:type="spellEnd"/>
      <w:r w:rsidRPr="00F95AFC">
        <w:rPr>
          <w:rFonts w:ascii="Times New Roman" w:hAnsi="Times New Roman"/>
          <w:b/>
          <w:sz w:val="24"/>
          <w:szCs w:val="24"/>
        </w:rPr>
        <w:t xml:space="preserve"> quỹ</w:t>
      </w:r>
    </w:p>
    <w:p w14:paraId="1F133C70" w14:textId="77777777" w:rsidR="003F0046" w:rsidRPr="00F95AFC" w:rsidRDefault="003F0046" w:rsidP="00F95AFC">
      <w:pPr>
        <w:spacing w:before="120" w:line="360" w:lineRule="auto"/>
        <w:jc w:val="both"/>
        <w:rPr>
          <w:rFonts w:ascii="Times New Roman" w:hAnsi="Times New Roman"/>
          <w:sz w:val="24"/>
          <w:szCs w:val="24"/>
        </w:rPr>
      </w:pP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Công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bao </w:t>
      </w:r>
      <w:proofErr w:type="spellStart"/>
      <w:r w:rsidRPr="00F95AFC">
        <w:rPr>
          <w:rFonts w:ascii="Times New Roman" w:hAnsi="Times New Roman"/>
          <w:sz w:val="24"/>
          <w:szCs w:val="24"/>
        </w:rPr>
        <w:t>gồm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dung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40025128" w14:textId="207B696F"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a)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đổi</w:t>
      </w:r>
      <w:proofErr w:type="spellEnd"/>
      <w:r w:rsidRPr="00F95AFC">
        <w:rPr>
          <w:rFonts w:ascii="Times New Roman" w:hAnsi="Times New Roman"/>
          <w:sz w:val="24"/>
          <w:szCs w:val="24"/>
        </w:rPr>
        <w:t xml:space="preserve"> Công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00B779BF" w:rsidRPr="00F95AFC">
        <w:rPr>
          <w:rFonts w:ascii="Times New Roman" w:hAnsi="Times New Roman"/>
          <w:sz w:val="24"/>
          <w:szCs w:val="24"/>
        </w:rPr>
        <w:t>lý</w:t>
      </w:r>
      <w:proofErr w:type="spellEnd"/>
      <w:r w:rsidR="00B779BF" w:rsidRPr="00F95AFC">
        <w:rPr>
          <w:rFonts w:ascii="Times New Roman" w:hAnsi="Times New Roman"/>
          <w:sz w:val="24"/>
          <w:szCs w:val="24"/>
        </w:rPr>
        <w:t xml:space="preserve"> quỹ (</w:t>
      </w:r>
      <w:proofErr w:type="spellStart"/>
      <w:r w:rsidR="00B779BF" w:rsidRPr="00F95AFC">
        <w:rPr>
          <w:rFonts w:ascii="Times New Roman" w:hAnsi="Times New Roman"/>
          <w:sz w:val="24"/>
          <w:szCs w:val="24"/>
        </w:rPr>
        <w:t>nếu</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có</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Không</w:t>
      </w:r>
      <w:proofErr w:type="spellEnd"/>
      <w:r w:rsidR="00FA6CEB" w:rsidRPr="00F95AFC">
        <w:rPr>
          <w:rFonts w:ascii="Times New Roman" w:hAnsi="Times New Roman"/>
          <w:sz w:val="24"/>
          <w:szCs w:val="24"/>
        </w:rPr>
        <w:t xml:space="preserve"> </w:t>
      </w:r>
      <w:proofErr w:type="spellStart"/>
      <w:r w:rsidR="00FA6CEB" w:rsidRPr="00F95AFC">
        <w:rPr>
          <w:rFonts w:ascii="Times New Roman" w:hAnsi="Times New Roman"/>
          <w:sz w:val="24"/>
          <w:szCs w:val="24"/>
        </w:rPr>
        <w:t>có</w:t>
      </w:r>
      <w:proofErr w:type="spellEnd"/>
    </w:p>
    <w:p w14:paraId="213DDABB" w14:textId="3978AB6E" w:rsidR="00B779BF"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r w:rsidR="0087744D" w:rsidRPr="00F95AFC">
        <w:rPr>
          <w:rFonts w:ascii="Times New Roman" w:hAnsi="Times New Roman"/>
          <w:sz w:val="24"/>
          <w:szCs w:val="24"/>
        </w:rPr>
        <w:t xml:space="preserve">quỹ </w:t>
      </w:r>
      <w:proofErr w:type="spellStart"/>
      <w:r w:rsidR="0087744D" w:rsidRPr="00F95AFC">
        <w:rPr>
          <w:rFonts w:ascii="Times New Roman" w:hAnsi="Times New Roman"/>
          <w:sz w:val="24"/>
          <w:szCs w:val="24"/>
        </w:rPr>
        <w:t>có</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đạt</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được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mục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tiêu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Quỹ </w:t>
      </w:r>
      <w:proofErr w:type="spellStart"/>
      <w:r w:rsidR="0087744D" w:rsidRPr="00F95AFC">
        <w:rPr>
          <w:rFonts w:ascii="Times New Roman" w:hAnsi="Times New Roman"/>
          <w:sz w:val="24"/>
          <w:szCs w:val="24"/>
        </w:rPr>
        <w:t>vẫn</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đang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trong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quá</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trình</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tìm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kiếm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cơ</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hội</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nhằm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đạt</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được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Mục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tiêu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đề</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ra</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trong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Bản</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cáo</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bạch</w:t>
      </w:r>
      <w:proofErr w:type="spellEnd"/>
      <w:r w:rsidR="0087744D" w:rsidRPr="00F95AFC">
        <w:rPr>
          <w:rFonts w:ascii="Times New Roman" w:hAnsi="Times New Roman"/>
          <w:sz w:val="24"/>
          <w:szCs w:val="24"/>
        </w:rPr>
        <w:t xml:space="preserve"> Quỹ</w:t>
      </w:r>
      <w:r w:rsidR="0073279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Mục</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tiêu</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của</w:t>
      </w:r>
      <w:proofErr w:type="spellEnd"/>
      <w:r w:rsidR="00B779BF" w:rsidRPr="00F95AFC">
        <w:rPr>
          <w:rFonts w:ascii="Times New Roman" w:hAnsi="Times New Roman"/>
          <w:sz w:val="24"/>
          <w:szCs w:val="24"/>
        </w:rPr>
        <w:t xml:space="preserve"> </w:t>
      </w:r>
      <w:r w:rsidR="0073279F" w:rsidRPr="00F95AFC">
        <w:rPr>
          <w:rFonts w:ascii="Times New Roman" w:hAnsi="Times New Roman"/>
          <w:sz w:val="24"/>
          <w:szCs w:val="24"/>
        </w:rPr>
        <w:t>Q</w:t>
      </w:r>
      <w:r w:rsidR="00B779BF" w:rsidRPr="00F95AFC">
        <w:rPr>
          <w:rFonts w:ascii="Times New Roman" w:hAnsi="Times New Roman"/>
          <w:sz w:val="24"/>
          <w:szCs w:val="24"/>
        </w:rPr>
        <w:t xml:space="preserve">uỹ </w:t>
      </w:r>
      <w:proofErr w:type="spellStart"/>
      <w:r w:rsidR="00B779BF" w:rsidRPr="00F95AFC">
        <w:rPr>
          <w:rFonts w:ascii="Times New Roman" w:hAnsi="Times New Roman"/>
          <w:sz w:val="24"/>
          <w:szCs w:val="24"/>
        </w:rPr>
        <w:t>là</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tăng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trưởng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vốn</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trung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và</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d</w:t>
      </w:r>
      <w:r w:rsidR="0073279F" w:rsidRPr="00F95AFC">
        <w:rPr>
          <w:rFonts w:ascii="Times New Roman" w:hAnsi="Times New Roman"/>
          <w:sz w:val="24"/>
          <w:szCs w:val="24"/>
        </w:rPr>
        <w:t>ài</w:t>
      </w:r>
      <w:proofErr w:type="spellEnd"/>
      <w:r w:rsidR="0073279F" w:rsidRPr="00F95AFC">
        <w:rPr>
          <w:rFonts w:ascii="Times New Roman" w:hAnsi="Times New Roman"/>
          <w:sz w:val="24"/>
          <w:szCs w:val="24"/>
        </w:rPr>
        <w:t xml:space="preserve"> </w:t>
      </w:r>
      <w:proofErr w:type="spellStart"/>
      <w:r w:rsidR="0073279F" w:rsidRPr="00F95AFC">
        <w:rPr>
          <w:rFonts w:ascii="Times New Roman" w:hAnsi="Times New Roman"/>
          <w:sz w:val="24"/>
          <w:szCs w:val="24"/>
        </w:rPr>
        <w:t>hạn</w:t>
      </w:r>
      <w:proofErr w:type="spellEnd"/>
      <w:r w:rsidR="0073279F" w:rsidRPr="00F95AFC">
        <w:rPr>
          <w:rFonts w:ascii="Times New Roman" w:hAnsi="Times New Roman"/>
          <w:sz w:val="24"/>
          <w:szCs w:val="24"/>
        </w:rPr>
        <w:t>)</w:t>
      </w:r>
    </w:p>
    <w:p w14:paraId="1845AE90" w14:textId="77777777" w:rsidR="00C4302B"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cùng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00971FDD" w:rsidRPr="00F95AFC">
        <w:rPr>
          <w:rFonts w:ascii="Times New Roman" w:hAnsi="Times New Roman"/>
          <w:sz w:val="24"/>
          <w:szCs w:val="24"/>
        </w:rPr>
        <w:t>đồ</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thị</w:t>
      </w:r>
      <w:proofErr w:type="spellEnd"/>
      <w:r w:rsidR="00971FDD" w:rsidRPr="00F95AFC">
        <w:rPr>
          <w:rFonts w:ascii="Times New Roman" w:hAnsi="Times New Roman"/>
          <w:sz w:val="24"/>
          <w:szCs w:val="24"/>
        </w:rPr>
        <w:t>)</w:t>
      </w:r>
      <w:r w:rsidR="00A364E6" w:rsidRPr="00F95AFC">
        <w:rPr>
          <w:rFonts w:ascii="Times New Roman" w:hAnsi="Times New Roman"/>
          <w:sz w:val="24"/>
          <w:szCs w:val="24"/>
        </w:rPr>
        <w:t xml:space="preserve">: </w:t>
      </w:r>
    </w:p>
    <w:p w14:paraId="6B67710A" w14:textId="77777777" w:rsidR="005264FE"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r w:rsidR="00A364E6" w:rsidRPr="00F95AFC">
        <w:rPr>
          <w:rFonts w:ascii="Times New Roman" w:hAnsi="Times New Roman"/>
          <w:sz w:val="24"/>
          <w:szCs w:val="24"/>
        </w:rPr>
        <w:t xml:space="preserve">Do Quỹ </w:t>
      </w:r>
      <w:proofErr w:type="spellStart"/>
      <w:r w:rsidR="00A364E6" w:rsidRPr="00F95AFC">
        <w:rPr>
          <w:rFonts w:ascii="Times New Roman" w:hAnsi="Times New Roman"/>
          <w:sz w:val="24"/>
          <w:szCs w:val="24"/>
        </w:rPr>
        <w:t>không</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áp</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dụng</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danh</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mục</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tham</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chiếu</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nên</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không</w:t>
      </w:r>
      <w:proofErr w:type="spellEnd"/>
      <w:r w:rsidR="00A364E6"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trình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bày</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phần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này</w:t>
      </w:r>
      <w:proofErr w:type="spellEnd"/>
    </w:p>
    <w:p w14:paraId="5F6DC8F0" w14:textId="7F445C68" w:rsidR="006B7006"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proofErr w:type="spellStart"/>
      <w:r w:rsidR="00363C80" w:rsidRPr="00F95AFC">
        <w:rPr>
          <w:rFonts w:ascii="Times New Roman" w:hAnsi="Times New Roman"/>
          <w:sz w:val="24"/>
          <w:szCs w:val="24"/>
        </w:rPr>
        <w:t>Chỉ</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số</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tham</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chi</w:t>
      </w:r>
      <w:r w:rsidRPr="00F95AFC">
        <w:rPr>
          <w:rFonts w:ascii="Times New Roman" w:hAnsi="Times New Roman"/>
          <w:sz w:val="24"/>
          <w:szCs w:val="24"/>
        </w:rPr>
        <w:t>ếu</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của</w:t>
      </w:r>
      <w:proofErr w:type="spellEnd"/>
      <w:r w:rsidR="00363C80" w:rsidRPr="00F95AFC">
        <w:rPr>
          <w:rFonts w:ascii="Times New Roman" w:hAnsi="Times New Roman"/>
          <w:sz w:val="24"/>
          <w:szCs w:val="24"/>
        </w:rPr>
        <w:t xml:space="preserve"> Quỹ </w:t>
      </w:r>
      <w:proofErr w:type="spellStart"/>
      <w:r w:rsidR="00363C80" w:rsidRPr="00F95AFC">
        <w:rPr>
          <w:rFonts w:ascii="Times New Roman" w:hAnsi="Times New Roman"/>
          <w:sz w:val="24"/>
          <w:szCs w:val="24"/>
        </w:rPr>
        <w:t>là</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Chỉ</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số</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Trái</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phiếu</w:t>
      </w:r>
      <w:proofErr w:type="spellEnd"/>
      <w:r w:rsidR="00363C80" w:rsidRPr="00F95AFC">
        <w:rPr>
          <w:rFonts w:ascii="Times New Roman" w:hAnsi="Times New Roman"/>
          <w:sz w:val="24"/>
          <w:szCs w:val="24"/>
        </w:rPr>
        <w:t xml:space="preserve"> Chính </w:t>
      </w:r>
      <w:proofErr w:type="spellStart"/>
      <w:r w:rsidR="00363C80" w:rsidRPr="00F95AFC">
        <w:rPr>
          <w:rFonts w:ascii="Times New Roman" w:hAnsi="Times New Roman"/>
          <w:sz w:val="24"/>
          <w:szCs w:val="24"/>
        </w:rPr>
        <w:t>phủ</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năm</w:t>
      </w:r>
      <w:proofErr w:type="spellEnd"/>
      <w:r w:rsidR="00363C80" w:rsidRPr="00F95AFC">
        <w:rPr>
          <w:rFonts w:ascii="Times New Roman" w:hAnsi="Times New Roman"/>
          <w:sz w:val="24"/>
          <w:szCs w:val="24"/>
        </w:rPr>
        <w:t xml:space="preserve"> (05) </w:t>
      </w:r>
      <w:proofErr w:type="spellStart"/>
      <w:r w:rsidR="00363C80" w:rsidRPr="00F95AFC">
        <w:rPr>
          <w:rFonts w:ascii="Times New Roman" w:hAnsi="Times New Roman"/>
          <w:sz w:val="24"/>
          <w:szCs w:val="24"/>
        </w:rPr>
        <w:t>năm</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của</w:t>
      </w:r>
      <w:proofErr w:type="spellEnd"/>
      <w:r w:rsidR="00363C80" w:rsidRPr="00F95AFC">
        <w:rPr>
          <w:rFonts w:ascii="Times New Roman" w:hAnsi="Times New Roman"/>
          <w:sz w:val="24"/>
          <w:szCs w:val="24"/>
        </w:rPr>
        <w:t xml:space="preserve"> HNX.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001C0637" w:rsidRPr="00F95AFC">
        <w:rPr>
          <w:rFonts w:ascii="Times New Roman" w:hAnsi="Times New Roman"/>
          <w:sz w:val="24"/>
          <w:szCs w:val="24"/>
        </w:rPr>
        <w:t>từ</w:t>
      </w:r>
      <w:proofErr w:type="spellEnd"/>
      <w:r w:rsidR="001C0637" w:rsidRPr="00F95AFC">
        <w:rPr>
          <w:rFonts w:ascii="Times New Roman" w:hAnsi="Times New Roman"/>
          <w:sz w:val="24"/>
          <w:szCs w:val="24"/>
        </w:rPr>
        <w:t xml:space="preserve"> </w:t>
      </w:r>
      <w:proofErr w:type="spellStart"/>
      <w:r w:rsidR="001C0637" w:rsidRPr="00F95AFC">
        <w:rPr>
          <w:rFonts w:ascii="Times New Roman" w:hAnsi="Times New Roman"/>
          <w:sz w:val="24"/>
          <w:szCs w:val="24"/>
        </w:rPr>
        <w:t>ngày</w:t>
      </w:r>
      <w:proofErr w:type="spellEnd"/>
      <w:r w:rsidR="001C0637" w:rsidRPr="00F95AFC">
        <w:rPr>
          <w:rFonts w:ascii="Times New Roman" w:hAnsi="Times New Roman"/>
          <w:sz w:val="24"/>
          <w:szCs w:val="24"/>
        </w:rPr>
        <w:t xml:space="preserve"> </w:t>
      </w:r>
      <w:r w:rsidR="00241F70" w:rsidRPr="00F95AFC">
        <w:rPr>
          <w:rFonts w:ascii="Times New Roman" w:hAnsi="Times New Roman"/>
          <w:sz w:val="24"/>
          <w:szCs w:val="24"/>
        </w:rPr>
        <w:t>30/06/202</w:t>
      </w:r>
      <w:r w:rsidR="00BC56E3" w:rsidRPr="00F95AFC">
        <w:rPr>
          <w:rFonts w:ascii="Times New Roman" w:hAnsi="Times New Roman"/>
          <w:sz w:val="24"/>
          <w:szCs w:val="24"/>
        </w:rPr>
        <w:t>2</w:t>
      </w:r>
      <w:r w:rsidR="001C0637" w:rsidRPr="00F95AFC">
        <w:rPr>
          <w:rFonts w:ascii="Times New Roman" w:hAnsi="Times New Roman"/>
          <w:sz w:val="24"/>
          <w:szCs w:val="24"/>
        </w:rPr>
        <w:t xml:space="preserve"> </w:t>
      </w:r>
      <w:proofErr w:type="spellStart"/>
      <w:r w:rsidR="001C0637" w:rsidRPr="00F95AFC">
        <w:rPr>
          <w:rFonts w:ascii="Times New Roman" w:hAnsi="Times New Roman"/>
          <w:sz w:val="24"/>
          <w:szCs w:val="24"/>
        </w:rPr>
        <w:t>đến</w:t>
      </w:r>
      <w:proofErr w:type="spellEnd"/>
      <w:r w:rsidR="001C0637" w:rsidRPr="00F95AFC">
        <w:rPr>
          <w:rFonts w:ascii="Times New Roman" w:hAnsi="Times New Roman"/>
          <w:sz w:val="24"/>
          <w:szCs w:val="24"/>
        </w:rPr>
        <w:t xml:space="preserve"> 30/06/202</w:t>
      </w:r>
      <w:r w:rsidR="00BC56E3" w:rsidRPr="00F95AFC">
        <w:rPr>
          <w:rFonts w:ascii="Times New Roman" w:hAnsi="Times New Roman"/>
          <w:sz w:val="24"/>
          <w:szCs w:val="24"/>
        </w:rPr>
        <w:t>3</w:t>
      </w:r>
      <w:r w:rsidR="001C0637" w:rsidRPr="00F95AFC">
        <w:rPr>
          <w:rFonts w:ascii="Times New Roman" w:hAnsi="Times New Roman"/>
          <w:sz w:val="24"/>
          <w:szCs w:val="24"/>
        </w:rPr>
        <w:t xml:space="preserve"> </w:t>
      </w:r>
      <w:r w:rsidRPr="00F95AFC">
        <w:rPr>
          <w:rFonts w:ascii="Times New Roman" w:hAnsi="Times New Roman"/>
          <w:sz w:val="24"/>
          <w:szCs w:val="24"/>
        </w:rPr>
        <w:t xml:space="preserve">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7C9A09FF" w14:textId="77777777" w:rsidR="00F95AFC" w:rsidRPr="00F95AFC" w:rsidRDefault="00F95AFC" w:rsidP="00F95AFC">
      <w:pPr>
        <w:spacing w:before="120" w:line="360" w:lineRule="auto"/>
        <w:ind w:left="630" w:hanging="360"/>
        <w:jc w:val="both"/>
        <w:rPr>
          <w:rFonts w:ascii="Times New Roman" w:hAnsi="Times New Roman"/>
          <w:sz w:val="24"/>
          <w:szCs w:val="24"/>
        </w:rPr>
      </w:pPr>
    </w:p>
    <w:p w14:paraId="2D3AA404" w14:textId="5CAF29D9" w:rsidR="00C4302B" w:rsidRPr="00F95AFC" w:rsidRDefault="00BC56E3" w:rsidP="00F95AFC">
      <w:pPr>
        <w:spacing w:before="120" w:line="360" w:lineRule="auto"/>
        <w:jc w:val="both"/>
        <w:rPr>
          <w:rFonts w:ascii="Times New Roman" w:hAnsi="Times New Roman"/>
          <w:sz w:val="24"/>
          <w:szCs w:val="24"/>
        </w:rPr>
      </w:pPr>
      <w:r w:rsidRPr="00F95AFC">
        <w:rPr>
          <w:rFonts w:ascii="Times New Roman" w:hAnsi="Times New Roman"/>
          <w:noProof/>
          <w:sz w:val="24"/>
          <w:szCs w:val="24"/>
        </w:rPr>
        <w:drawing>
          <wp:anchor distT="0" distB="0" distL="114300" distR="114300" simplePos="0" relativeHeight="251662336" behindDoc="0" locked="0" layoutInCell="1" allowOverlap="1" wp14:anchorId="3A3B6FE7" wp14:editId="009106F6">
            <wp:simplePos x="0" y="0"/>
            <wp:positionH relativeFrom="column">
              <wp:posOffset>800100</wp:posOffset>
            </wp:positionH>
            <wp:positionV relativeFrom="paragraph">
              <wp:posOffset>0</wp:posOffset>
            </wp:positionV>
            <wp:extent cx="5105400" cy="2343150"/>
            <wp:effectExtent l="0" t="0" r="0" b="0"/>
            <wp:wrapTopAndBottom/>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3F0046" w:rsidRPr="00F95AFC">
        <w:rPr>
          <w:rFonts w:ascii="Times New Roman" w:hAnsi="Times New Roman"/>
          <w:sz w:val="24"/>
          <w:szCs w:val="24"/>
        </w:rPr>
        <w:t xml:space="preserve">d) So </w:t>
      </w:r>
      <w:proofErr w:type="spellStart"/>
      <w:r w:rsidR="003F0046" w:rsidRPr="00F95AFC">
        <w:rPr>
          <w:rFonts w:ascii="Times New Roman" w:hAnsi="Times New Roman"/>
          <w:sz w:val="24"/>
          <w:szCs w:val="24"/>
        </w:rPr>
        <w:t>sánh</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kết</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quả</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lợi</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nhuận</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của</w:t>
      </w:r>
      <w:proofErr w:type="spellEnd"/>
      <w:r w:rsidR="003F0046" w:rsidRPr="00F95AFC">
        <w:rPr>
          <w:rFonts w:ascii="Times New Roman" w:hAnsi="Times New Roman"/>
          <w:sz w:val="24"/>
          <w:szCs w:val="24"/>
        </w:rPr>
        <w:t xml:space="preserve"> quỹ </w:t>
      </w:r>
      <w:proofErr w:type="spellStart"/>
      <w:r w:rsidR="003F0046" w:rsidRPr="00F95AFC">
        <w:rPr>
          <w:rFonts w:ascii="Times New Roman" w:hAnsi="Times New Roman"/>
          <w:sz w:val="24"/>
          <w:szCs w:val="24"/>
        </w:rPr>
        <w:t>với</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kết</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quả</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lợi</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nhuận</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của</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danh</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mục</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tham</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chiếu</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chỉ</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số</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cơ</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sở</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công</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bố</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tại</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Bản</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cáo</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bạch</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trong</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khoảng</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thời</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gian</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năm</w:t>
      </w:r>
      <w:proofErr w:type="spellEnd"/>
      <w:r w:rsidR="003F0046" w:rsidRPr="00F95AFC">
        <w:rPr>
          <w:rFonts w:ascii="Times New Roman" w:hAnsi="Times New Roman"/>
          <w:sz w:val="24"/>
          <w:szCs w:val="24"/>
        </w:rPr>
        <w:t xml:space="preserve"> (05) </w:t>
      </w:r>
      <w:proofErr w:type="spellStart"/>
      <w:r w:rsidR="003F0046" w:rsidRPr="00F95AFC">
        <w:rPr>
          <w:rFonts w:ascii="Times New Roman" w:hAnsi="Times New Roman"/>
          <w:sz w:val="24"/>
          <w:szCs w:val="24"/>
        </w:rPr>
        <w:t>năm</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gần</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nhất</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tính</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tới</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ngày</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báo</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cáo</w:t>
      </w:r>
      <w:proofErr w:type="spellEnd"/>
      <w:r w:rsidR="003F0046" w:rsidRPr="00F95AFC">
        <w:rPr>
          <w:rFonts w:ascii="Times New Roman" w:hAnsi="Times New Roman"/>
          <w:sz w:val="24"/>
          <w:szCs w:val="24"/>
        </w:rPr>
        <w:t xml:space="preserve"> (</w:t>
      </w:r>
      <w:proofErr w:type="spellStart"/>
      <w:r w:rsidR="003F0046" w:rsidRPr="00F95AFC">
        <w:rPr>
          <w:rFonts w:ascii="Times New Roman" w:hAnsi="Times New Roman"/>
          <w:sz w:val="24"/>
          <w:szCs w:val="24"/>
        </w:rPr>
        <w:t>bằng</w:t>
      </w:r>
      <w:proofErr w:type="spellEnd"/>
      <w:r w:rsidR="003F0046" w:rsidRPr="00F95AFC">
        <w:rPr>
          <w:rFonts w:ascii="Times New Roman" w:hAnsi="Times New Roman"/>
          <w:sz w:val="24"/>
          <w:szCs w:val="24"/>
        </w:rPr>
        <w:t xml:space="preserve"> </w:t>
      </w:r>
      <w:proofErr w:type="spellStart"/>
      <w:r w:rsidR="00323EC8" w:rsidRPr="00F95AFC">
        <w:rPr>
          <w:rFonts w:ascii="Times New Roman" w:hAnsi="Times New Roman"/>
          <w:sz w:val="24"/>
          <w:szCs w:val="24"/>
        </w:rPr>
        <w:t>đồ</w:t>
      </w:r>
      <w:proofErr w:type="spellEnd"/>
      <w:r w:rsidR="00323EC8" w:rsidRPr="00F95AFC">
        <w:rPr>
          <w:rFonts w:ascii="Times New Roman" w:hAnsi="Times New Roman"/>
          <w:sz w:val="24"/>
          <w:szCs w:val="24"/>
        </w:rPr>
        <w:t xml:space="preserve"> </w:t>
      </w:r>
      <w:proofErr w:type="spellStart"/>
      <w:r w:rsidR="00323EC8" w:rsidRPr="00F95AFC">
        <w:rPr>
          <w:rFonts w:ascii="Times New Roman" w:hAnsi="Times New Roman"/>
          <w:sz w:val="24"/>
          <w:szCs w:val="24"/>
        </w:rPr>
        <w:t>thị</w:t>
      </w:r>
      <w:proofErr w:type="spellEnd"/>
      <w:r w:rsidR="00323EC8" w:rsidRPr="00F95AFC">
        <w:rPr>
          <w:rFonts w:ascii="Times New Roman" w:hAnsi="Times New Roman"/>
          <w:sz w:val="24"/>
          <w:szCs w:val="24"/>
        </w:rPr>
        <w:t>):</w:t>
      </w:r>
      <w:r w:rsidR="00B64BDA" w:rsidRPr="00F95AFC">
        <w:rPr>
          <w:rFonts w:ascii="Times New Roman" w:hAnsi="Times New Roman"/>
          <w:sz w:val="24"/>
          <w:szCs w:val="24"/>
        </w:rPr>
        <w:t xml:space="preserve"> </w:t>
      </w:r>
    </w:p>
    <w:p w14:paraId="6E3A4708" w14:textId="1BA13F1A" w:rsidR="00323EC8"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r w:rsidR="00036B61" w:rsidRPr="00F95AFC">
        <w:rPr>
          <w:rFonts w:ascii="Times New Roman" w:hAnsi="Times New Roman"/>
          <w:sz w:val="24"/>
          <w:szCs w:val="24"/>
        </w:rPr>
        <w:t xml:space="preserve">Do Quỹ </w:t>
      </w:r>
      <w:proofErr w:type="spellStart"/>
      <w:r w:rsidR="00036B61" w:rsidRPr="00F95AFC">
        <w:rPr>
          <w:rFonts w:ascii="Times New Roman" w:hAnsi="Times New Roman"/>
          <w:sz w:val="24"/>
          <w:szCs w:val="24"/>
        </w:rPr>
        <w:t>không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áp</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dụng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danh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mục</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tham</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chiếu</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nên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không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trình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bày</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phần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này</w:t>
      </w:r>
      <w:proofErr w:type="spellEnd"/>
    </w:p>
    <w:p w14:paraId="13FE8E82" w14:textId="7BB5200C" w:rsidR="00C4302B"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là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Chính </w:t>
      </w:r>
      <w:proofErr w:type="spellStart"/>
      <w:r w:rsidRPr="00F95AFC">
        <w:rPr>
          <w:rFonts w:ascii="Times New Roman" w:hAnsi="Times New Roman"/>
          <w:sz w:val="24"/>
          <w:szCs w:val="24"/>
        </w:rPr>
        <w:t>phủ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(05)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HNX, </w:t>
      </w:r>
      <w:proofErr w:type="spellStart"/>
      <w:r w:rsidRPr="00F95AFC">
        <w:rPr>
          <w:rFonts w:ascii="Times New Roman" w:hAnsi="Times New Roman"/>
          <w:sz w:val="24"/>
          <w:szCs w:val="24"/>
        </w:rPr>
        <w:t>tuy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nhiên</w:t>
      </w:r>
      <w:proofErr w:type="spellEnd"/>
      <w:r w:rsidRPr="00F95AFC">
        <w:rPr>
          <w:rFonts w:ascii="Times New Roman" w:hAnsi="Times New Roman"/>
          <w:sz w:val="24"/>
          <w:szCs w:val="24"/>
        </w:rPr>
        <w:t xml:space="preserve"> do Quỹ </w:t>
      </w:r>
      <w:proofErr w:type="spellStart"/>
      <w:r w:rsidRPr="00F95AFC">
        <w:rPr>
          <w:rFonts w:ascii="Times New Roman" w:hAnsi="Times New Roman"/>
          <w:sz w:val="24"/>
          <w:szCs w:val="24"/>
        </w:rPr>
        <w:t>mới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thành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lập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ngày</w:t>
      </w:r>
      <w:proofErr w:type="spellEnd"/>
      <w:r w:rsidRPr="00F95AFC">
        <w:rPr>
          <w:rFonts w:ascii="Times New Roman" w:hAnsi="Times New Roman"/>
          <w:sz w:val="24"/>
          <w:szCs w:val="24"/>
        </w:rPr>
        <w:t xml:space="preserve"> 03/04/2019 </w:t>
      </w:r>
      <w:proofErr w:type="spellStart"/>
      <w:r w:rsidRPr="00F95AFC">
        <w:rPr>
          <w:rFonts w:ascii="Times New Roman" w:hAnsi="Times New Roman"/>
          <w:sz w:val="24"/>
          <w:szCs w:val="24"/>
        </w:rPr>
        <w:t>nên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liệu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để</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này</w:t>
      </w:r>
      <w:proofErr w:type="spellEnd"/>
      <w:r w:rsidRPr="00F95AFC">
        <w:rPr>
          <w:rFonts w:ascii="Times New Roman" w:hAnsi="Times New Roman"/>
          <w:sz w:val="24"/>
          <w:szCs w:val="24"/>
        </w:rPr>
        <w:t>.</w:t>
      </w:r>
    </w:p>
    <w:p w14:paraId="1113024F" w14:textId="2CF49E31"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e) </w:t>
      </w:r>
      <w:proofErr w:type="spellStart"/>
      <w:r w:rsidRPr="00F95AFC">
        <w:rPr>
          <w:rFonts w:ascii="Times New Roman" w:hAnsi="Times New Roman"/>
          <w:sz w:val="24"/>
          <w:szCs w:val="24"/>
        </w:rPr>
        <w:t>Mô</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mà</w:t>
      </w:r>
      <w:proofErr w:type="spellEnd"/>
      <w:r w:rsidRPr="00F95AFC">
        <w:rPr>
          <w:rFonts w:ascii="Times New Roman" w:hAnsi="Times New Roman"/>
          <w:sz w:val="24"/>
          <w:szCs w:val="24"/>
        </w:rPr>
        <w:t xml:space="preserve"> quỹ đã </w:t>
      </w:r>
      <w:proofErr w:type="spellStart"/>
      <w:r w:rsidRPr="00F95AFC">
        <w:rPr>
          <w:rFonts w:ascii="Times New Roman" w:hAnsi="Times New Roman"/>
          <w:sz w:val="24"/>
          <w:szCs w:val="24"/>
        </w:rPr>
        <w:t>sử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dụng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giữa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lastRenderedPageBreak/>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thì</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bổ</w:t>
      </w:r>
      <w:proofErr w:type="spellEnd"/>
      <w:r w:rsidRPr="00F95AFC">
        <w:rPr>
          <w:rFonts w:ascii="Times New Roman" w:hAnsi="Times New Roman"/>
          <w:sz w:val="24"/>
          <w:szCs w:val="24"/>
        </w:rPr>
        <w:t xml:space="preserve"> sung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ưu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00971FDD" w:rsidRPr="00F95AFC">
        <w:rPr>
          <w:rFonts w:ascii="Times New Roman" w:hAnsi="Times New Roman"/>
          <w:sz w:val="24"/>
          <w:szCs w:val="24"/>
        </w:rPr>
        <w:t>hiện</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trong</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kỳ</w:t>
      </w:r>
      <w:proofErr w:type="spellEnd"/>
      <w:r w:rsidR="00B64BDA" w:rsidRPr="00F95AFC">
        <w:rPr>
          <w:rFonts w:ascii="Times New Roman" w:hAnsi="Times New Roman"/>
          <w:sz w:val="24"/>
          <w:szCs w:val="24"/>
        </w:rPr>
        <w:t>:</w:t>
      </w:r>
    </w:p>
    <w:p w14:paraId="214C4467" w14:textId="2E0232EB" w:rsidR="00971FDD" w:rsidRPr="00F95AFC" w:rsidRDefault="00A5797B" w:rsidP="00F95AFC">
      <w:pPr>
        <w:spacing w:before="120" w:line="360" w:lineRule="auto"/>
        <w:rPr>
          <w:rFonts w:ascii="Times New Roman" w:hAnsi="Times New Roman"/>
          <w:sz w:val="24"/>
          <w:szCs w:val="24"/>
        </w:rPr>
      </w:pPr>
      <w:r w:rsidRPr="00F95AFC">
        <w:rPr>
          <w:rFonts w:ascii="Times New Roman" w:hAnsi="Times New Roman"/>
          <w:sz w:val="24"/>
          <w:szCs w:val="24"/>
        </w:rPr>
        <w:t xml:space="preserve">Trong 6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20</w:t>
      </w:r>
      <w:r w:rsidR="003C16FD" w:rsidRPr="00F95AFC">
        <w:rPr>
          <w:rFonts w:ascii="Times New Roman" w:hAnsi="Times New Roman"/>
          <w:sz w:val="24"/>
          <w:szCs w:val="24"/>
        </w:rPr>
        <w:t>2</w:t>
      </w:r>
      <w:r w:rsidR="00BC56E3" w:rsidRPr="00F95AFC">
        <w:rPr>
          <w:rFonts w:ascii="Times New Roman" w:hAnsi="Times New Roman"/>
          <w:sz w:val="24"/>
          <w:szCs w:val="24"/>
        </w:rPr>
        <w:t>3</w:t>
      </w:r>
      <w:r w:rsidRPr="00F95AFC">
        <w:rPr>
          <w:rFonts w:ascii="Times New Roman" w:hAnsi="Times New Roman"/>
          <w:sz w:val="24"/>
          <w:szCs w:val="24"/>
        </w:rPr>
        <w:t xml:space="preserve">, Quỹ CBPF </w:t>
      </w:r>
      <w:proofErr w:type="spellStart"/>
      <w:r w:rsidRPr="00F95AFC">
        <w:rPr>
          <w:rFonts w:ascii="Times New Roman" w:hAnsi="Times New Roman"/>
          <w:sz w:val="24"/>
          <w:szCs w:val="24"/>
        </w:rPr>
        <w:t>vẫn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nâng</w:t>
      </w:r>
      <w:proofErr w:type="spellEnd"/>
      <w:r w:rsidRPr="00F95AFC">
        <w:rPr>
          <w:rFonts w:ascii="Times New Roman" w:hAnsi="Times New Roman"/>
          <w:sz w:val="24"/>
          <w:szCs w:val="24"/>
        </w:rPr>
        <w:t xml:space="preserve"> cao </w:t>
      </w:r>
      <w:proofErr w:type="spellStart"/>
      <w:r w:rsidRPr="00F95AFC">
        <w:rPr>
          <w:rFonts w:ascii="Times New Roman" w:hAnsi="Times New Roman"/>
          <w:sz w:val="24"/>
          <w:szCs w:val="24"/>
        </w:rPr>
        <w:t>tỷ</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trọng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doanh </w:t>
      </w:r>
      <w:proofErr w:type="spellStart"/>
      <w:r w:rsidRPr="00F95AFC">
        <w:rPr>
          <w:rFonts w:ascii="Times New Roman" w:hAnsi="Times New Roman"/>
          <w:sz w:val="24"/>
          <w:szCs w:val="24"/>
        </w:rPr>
        <w:t>nghiệp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suất</w:t>
      </w:r>
      <w:proofErr w:type="spellEnd"/>
      <w:r w:rsidR="00D145A0" w:rsidRPr="00F95AFC">
        <w:rPr>
          <w:rFonts w:ascii="Times New Roman" w:hAnsi="Times New Roman"/>
          <w:sz w:val="24"/>
          <w:szCs w:val="24"/>
        </w:rPr>
        <w:t xml:space="preserve"> cao </w:t>
      </w:r>
      <w:proofErr w:type="spellStart"/>
      <w:r w:rsidR="00D145A0" w:rsidRPr="00F95AFC">
        <w:rPr>
          <w:rFonts w:ascii="Times New Roman" w:hAnsi="Times New Roman"/>
          <w:sz w:val="24"/>
          <w:szCs w:val="24"/>
        </w:rPr>
        <w:t>và</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các</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chứng</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chỉ</w:t>
      </w:r>
      <w:proofErr w:type="spellEnd"/>
      <w:r w:rsidR="00D145A0"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007242F3" w:rsidRPr="00F95AFC">
        <w:rPr>
          <w:rFonts w:ascii="Times New Roman" w:hAnsi="Times New Roman"/>
          <w:sz w:val="24"/>
          <w:szCs w:val="24"/>
        </w:rPr>
        <w:t>tốt</w:t>
      </w:r>
      <w:proofErr w:type="spellEnd"/>
      <w:r w:rsidR="00971FDD" w:rsidRPr="00F95AFC">
        <w:rPr>
          <w:rFonts w:ascii="Times New Roman" w:hAnsi="Times New Roman"/>
          <w:sz w:val="24"/>
          <w:szCs w:val="24"/>
        </w:rPr>
        <w:t>.</w:t>
      </w:r>
    </w:p>
    <w:p w14:paraId="52718AE1" w14:textId="46E55EDF" w:rsidR="00B34784"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f) </w:t>
      </w:r>
      <w:proofErr w:type="spellStart"/>
      <w:r w:rsidRPr="00F95AFC">
        <w:rPr>
          <w:rFonts w:ascii="Times New Roman" w:hAnsi="Times New Roman"/>
          <w:sz w:val="24"/>
          <w:szCs w:val="24"/>
        </w:rPr>
        <w:t>Mô</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00B34784" w:rsidRPr="00F95AFC">
        <w:rPr>
          <w:rFonts w:ascii="Times New Roman" w:hAnsi="Times New Roman"/>
          <w:sz w:val="24"/>
          <w:szCs w:val="24"/>
        </w:rPr>
        <w:t>báo</w:t>
      </w:r>
      <w:proofErr w:type="spellEnd"/>
      <w:r w:rsidR="00B34784" w:rsidRPr="00F95AFC">
        <w:rPr>
          <w:rFonts w:ascii="Times New Roman" w:hAnsi="Times New Roman"/>
          <w:sz w:val="24"/>
          <w:szCs w:val="24"/>
        </w:rPr>
        <w:t xml:space="preserve"> </w:t>
      </w:r>
      <w:proofErr w:type="spellStart"/>
      <w:r w:rsidR="00B34784" w:rsidRPr="00F95AFC">
        <w:rPr>
          <w:rFonts w:ascii="Times New Roman" w:hAnsi="Times New Roman"/>
          <w:sz w:val="24"/>
          <w:szCs w:val="24"/>
        </w:rPr>
        <w:t>cáo</w:t>
      </w:r>
      <w:proofErr w:type="spellEnd"/>
      <w:r w:rsidR="00B34784" w:rsidRPr="00F95AFC">
        <w:rPr>
          <w:rFonts w:ascii="Times New Roman" w:hAnsi="Times New Roman"/>
          <w:sz w:val="24"/>
          <w:szCs w:val="24"/>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250"/>
      </w:tblGrid>
      <w:tr w:rsidR="00C30B89" w:rsidRPr="00F95AFC" w14:paraId="4FD0E762" w14:textId="77777777" w:rsidTr="006B7A58">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95AFC" w:rsidRDefault="00C30B89"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Cơ</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cấu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danh</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mục</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đầu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tư</w:t>
            </w:r>
            <w:proofErr w:type="spellEnd"/>
          </w:p>
        </w:tc>
        <w:tc>
          <w:tcPr>
            <w:tcW w:w="513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95AFC" w:rsidRDefault="00C30B89" w:rsidP="00F95AFC">
            <w:pPr>
              <w:spacing w:line="360" w:lineRule="auto"/>
              <w:jc w:val="center"/>
              <w:rPr>
                <w:rFonts w:ascii="Times New Roman" w:hAnsi="Times New Roman"/>
                <w:b/>
                <w:bCs/>
                <w:sz w:val="24"/>
                <w:szCs w:val="24"/>
              </w:rPr>
            </w:pPr>
            <w:r w:rsidRPr="00F95AFC">
              <w:rPr>
                <w:rFonts w:ascii="Times New Roman" w:hAnsi="Times New Roman"/>
                <w:b/>
                <w:sz w:val="24"/>
                <w:szCs w:val="24"/>
              </w:rPr>
              <w:t>CBPF</w:t>
            </w:r>
          </w:p>
        </w:tc>
      </w:tr>
      <w:tr w:rsidR="00E10422" w:rsidRPr="00F95AFC" w14:paraId="3918BC13" w14:textId="77777777" w:rsidTr="009B33E6">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E10422" w:rsidRPr="00F95AFC" w:rsidRDefault="00E10422" w:rsidP="00F95AFC">
            <w:pPr>
              <w:spacing w:line="360" w:lineRule="auto"/>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2ABFD7C6" w:rsidR="00E10422" w:rsidRPr="00F95AFC" w:rsidRDefault="00E10422"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BC56E3" w:rsidRPr="00F95AFC">
              <w:rPr>
                <w:rFonts w:ascii="Times New Roman" w:hAnsi="Times New Roman"/>
                <w:b/>
                <w:sz w:val="24"/>
                <w:szCs w:val="24"/>
              </w:rPr>
              <w:t>3</w:t>
            </w:r>
          </w:p>
        </w:tc>
        <w:tc>
          <w:tcPr>
            <w:tcW w:w="2250" w:type="dxa"/>
            <w:shd w:val="clear" w:color="auto" w:fill="B8CCE4" w:themeFill="accent1" w:themeFillTint="66"/>
            <w:noWrap/>
            <w:tcMar>
              <w:top w:w="15" w:type="dxa"/>
              <w:left w:w="15" w:type="dxa"/>
              <w:bottom w:w="0" w:type="dxa"/>
              <w:right w:w="15" w:type="dxa"/>
            </w:tcMar>
            <w:vAlign w:val="center"/>
            <w:hideMark/>
          </w:tcPr>
          <w:p w14:paraId="28434E1F" w14:textId="622BD477" w:rsidR="00E10422" w:rsidRPr="00F95AFC" w:rsidRDefault="00E10422"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BC56E3" w:rsidRPr="00F95AFC">
              <w:rPr>
                <w:rFonts w:ascii="Times New Roman" w:hAnsi="Times New Roman"/>
                <w:b/>
                <w:sz w:val="24"/>
                <w:szCs w:val="24"/>
              </w:rPr>
              <w:t>2</w:t>
            </w:r>
          </w:p>
        </w:tc>
      </w:tr>
      <w:tr w:rsidR="00BC56E3" w:rsidRPr="00F95AFC" w14:paraId="4D300A66" w14:textId="77777777" w:rsidTr="00BC56E3">
        <w:trPr>
          <w:trHeight w:val="320"/>
        </w:trPr>
        <w:tc>
          <w:tcPr>
            <w:tcW w:w="4695" w:type="dxa"/>
            <w:shd w:val="clear" w:color="auto" w:fill="auto"/>
            <w:noWrap/>
            <w:tcMar>
              <w:top w:w="15" w:type="dxa"/>
              <w:left w:w="15" w:type="dxa"/>
              <w:bottom w:w="0" w:type="dxa"/>
              <w:right w:w="15" w:type="dxa"/>
            </w:tcMar>
            <w:vAlign w:val="center"/>
          </w:tcPr>
          <w:p w14:paraId="10A4E3F7" w14:textId="4AD1FB82" w:rsidR="00BC56E3" w:rsidRPr="00F95AFC" w:rsidRDefault="00BC56E3" w:rsidP="00F95AFC">
            <w:pPr>
              <w:spacing w:line="360" w:lineRule="auto"/>
              <w:rPr>
                <w:rFonts w:ascii="Times New Roman" w:hAnsi="Times New Roman"/>
                <w:sz w:val="24"/>
                <w:szCs w:val="24"/>
              </w:rPr>
            </w:pP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NY</w:t>
            </w:r>
          </w:p>
        </w:tc>
        <w:tc>
          <w:tcPr>
            <w:tcW w:w="2880" w:type="dxa"/>
            <w:shd w:val="clear" w:color="auto" w:fill="auto"/>
            <w:noWrap/>
            <w:tcMar>
              <w:top w:w="15" w:type="dxa"/>
              <w:left w:w="15" w:type="dxa"/>
              <w:bottom w:w="0" w:type="dxa"/>
              <w:right w:w="15" w:type="dxa"/>
            </w:tcMar>
            <w:vAlign w:val="center"/>
          </w:tcPr>
          <w:p w14:paraId="20CA388C" w14:textId="471BAD28" w:rsidR="00BC56E3" w:rsidRPr="00F95AFC" w:rsidRDefault="00BC56E3" w:rsidP="00F95AFC">
            <w:pPr>
              <w:spacing w:line="360" w:lineRule="auto"/>
              <w:jc w:val="center"/>
              <w:rPr>
                <w:rFonts w:ascii="Times New Roman" w:hAnsi="Times New Roman"/>
                <w:b/>
                <w:sz w:val="24"/>
                <w:szCs w:val="24"/>
              </w:rPr>
            </w:pPr>
            <w:r w:rsidRPr="00F95AFC">
              <w:rPr>
                <w:rFonts w:ascii="Times New Roman" w:hAnsi="Times New Roman"/>
                <w:sz w:val="24"/>
                <w:szCs w:val="24"/>
                <w:lang w:val="nl-NL"/>
              </w:rPr>
              <w:t>0</w:t>
            </w:r>
          </w:p>
        </w:tc>
        <w:tc>
          <w:tcPr>
            <w:tcW w:w="2250" w:type="dxa"/>
            <w:shd w:val="clear" w:color="auto" w:fill="auto"/>
            <w:noWrap/>
            <w:tcMar>
              <w:top w:w="15" w:type="dxa"/>
              <w:left w:w="15" w:type="dxa"/>
              <w:bottom w:w="0" w:type="dxa"/>
              <w:right w:w="15" w:type="dxa"/>
            </w:tcMar>
            <w:vAlign w:val="center"/>
          </w:tcPr>
          <w:p w14:paraId="08E82715" w14:textId="32D28859" w:rsidR="00BC56E3" w:rsidRPr="00F95AFC" w:rsidRDefault="00BC56E3" w:rsidP="00F95AFC">
            <w:pPr>
              <w:spacing w:line="360" w:lineRule="auto"/>
              <w:jc w:val="center"/>
              <w:rPr>
                <w:rFonts w:ascii="Times New Roman" w:hAnsi="Times New Roman"/>
                <w:b/>
                <w:sz w:val="24"/>
                <w:szCs w:val="24"/>
              </w:rPr>
            </w:pPr>
            <w:r w:rsidRPr="00F95AFC">
              <w:rPr>
                <w:rFonts w:ascii="Times New Roman" w:hAnsi="Times New Roman"/>
                <w:sz w:val="24"/>
                <w:szCs w:val="24"/>
                <w:lang w:val="nl-NL"/>
              </w:rPr>
              <w:t>10.000.000.000</w:t>
            </w:r>
          </w:p>
        </w:tc>
      </w:tr>
      <w:tr w:rsidR="00BC56E3" w:rsidRPr="00F95AFC" w14:paraId="07204EBF" w14:textId="77777777" w:rsidTr="00BC56E3">
        <w:trPr>
          <w:trHeight w:val="320"/>
        </w:trPr>
        <w:tc>
          <w:tcPr>
            <w:tcW w:w="4695" w:type="dxa"/>
            <w:shd w:val="clear" w:color="auto" w:fill="auto"/>
            <w:noWrap/>
            <w:tcMar>
              <w:top w:w="15" w:type="dxa"/>
              <w:left w:w="15" w:type="dxa"/>
              <w:bottom w:w="0" w:type="dxa"/>
              <w:right w:w="15" w:type="dxa"/>
            </w:tcMar>
            <w:vAlign w:val="center"/>
          </w:tcPr>
          <w:p w14:paraId="4B8C7FE0" w14:textId="2B6B4ED1" w:rsidR="00BC56E3" w:rsidRPr="00F95AFC" w:rsidRDefault="00BC56E3" w:rsidP="00F95AFC">
            <w:pPr>
              <w:spacing w:line="360" w:lineRule="auto"/>
              <w:rPr>
                <w:rFonts w:ascii="Times New Roman" w:hAnsi="Times New Roman"/>
                <w:sz w:val="24"/>
                <w:szCs w:val="24"/>
              </w:rPr>
            </w:pP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vAlign w:val="center"/>
          </w:tcPr>
          <w:p w14:paraId="68128A51" w14:textId="0EF8D22E"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1.394.381.410</w:t>
            </w:r>
          </w:p>
        </w:tc>
        <w:tc>
          <w:tcPr>
            <w:tcW w:w="2250" w:type="dxa"/>
            <w:shd w:val="clear" w:color="auto" w:fill="auto"/>
            <w:noWrap/>
            <w:tcMar>
              <w:top w:w="15" w:type="dxa"/>
              <w:left w:w="15" w:type="dxa"/>
              <w:bottom w:w="0" w:type="dxa"/>
              <w:right w:w="15" w:type="dxa"/>
            </w:tcMar>
            <w:vAlign w:val="center"/>
          </w:tcPr>
          <w:p w14:paraId="2A512C61" w14:textId="242F4460"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1.167.877.268</w:t>
            </w:r>
          </w:p>
        </w:tc>
      </w:tr>
      <w:tr w:rsidR="00BC56E3" w:rsidRPr="00F95AFC" w14:paraId="35BEC1AE" w14:textId="77777777" w:rsidTr="00BC56E3">
        <w:trPr>
          <w:trHeight w:val="320"/>
        </w:trPr>
        <w:tc>
          <w:tcPr>
            <w:tcW w:w="4695" w:type="dxa"/>
            <w:shd w:val="clear" w:color="auto" w:fill="auto"/>
            <w:noWrap/>
            <w:tcMar>
              <w:top w:w="15" w:type="dxa"/>
              <w:left w:w="15" w:type="dxa"/>
              <w:bottom w:w="0" w:type="dxa"/>
              <w:right w:w="15" w:type="dxa"/>
            </w:tcMar>
            <w:vAlign w:val="center"/>
            <w:hideMark/>
          </w:tcPr>
          <w:p w14:paraId="04F40351" w14:textId="0EF5253E" w:rsidR="00BC56E3" w:rsidRPr="00F95AFC" w:rsidRDefault="00BC56E3" w:rsidP="00F95AFC">
            <w:pPr>
              <w:spacing w:line="360" w:lineRule="auto"/>
              <w:rPr>
                <w:rFonts w:ascii="Times New Roman" w:hAnsi="Times New Roman"/>
                <w:sz w:val="24"/>
                <w:szCs w:val="24"/>
              </w:rPr>
            </w:pP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khoản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vAlign w:val="center"/>
          </w:tcPr>
          <w:p w14:paraId="202FE8CF" w14:textId="0249D046"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0</w:t>
            </w:r>
          </w:p>
        </w:tc>
        <w:tc>
          <w:tcPr>
            <w:tcW w:w="2250" w:type="dxa"/>
            <w:shd w:val="clear" w:color="auto" w:fill="auto"/>
            <w:noWrap/>
            <w:tcMar>
              <w:top w:w="15" w:type="dxa"/>
              <w:left w:w="15" w:type="dxa"/>
              <w:bottom w:w="0" w:type="dxa"/>
              <w:right w:w="15" w:type="dxa"/>
            </w:tcMar>
            <w:vAlign w:val="center"/>
          </w:tcPr>
          <w:p w14:paraId="69031162" w14:textId="04ED0035"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0</w:t>
            </w:r>
          </w:p>
        </w:tc>
      </w:tr>
      <w:tr w:rsidR="00BC56E3" w:rsidRPr="00F95AFC" w14:paraId="3D4FC92C" w14:textId="77777777" w:rsidTr="00BC56E3">
        <w:trPr>
          <w:trHeight w:val="320"/>
        </w:trPr>
        <w:tc>
          <w:tcPr>
            <w:tcW w:w="4695" w:type="dxa"/>
            <w:shd w:val="clear" w:color="auto" w:fill="auto"/>
            <w:noWrap/>
            <w:tcMar>
              <w:top w:w="15" w:type="dxa"/>
              <w:left w:w="15" w:type="dxa"/>
              <w:bottom w:w="0" w:type="dxa"/>
              <w:right w:w="15" w:type="dxa"/>
            </w:tcMar>
            <w:vAlign w:val="center"/>
            <w:hideMark/>
          </w:tcPr>
          <w:p w14:paraId="72190B52" w14:textId="1EA1C1EC" w:rsidR="00BC56E3" w:rsidRPr="00F95AFC" w:rsidRDefault="00BC56E3" w:rsidP="00F95AFC">
            <w:pPr>
              <w:spacing w:line="360" w:lineRule="auto"/>
              <w:rPr>
                <w:rFonts w:ascii="Times New Roman" w:hAnsi="Times New Roman"/>
                <w:sz w:val="24"/>
                <w:szCs w:val="24"/>
              </w:rPr>
            </w:pP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3 </w:t>
            </w:r>
            <w:proofErr w:type="spellStart"/>
            <w:r w:rsidRPr="00F95AFC">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vAlign w:val="center"/>
          </w:tcPr>
          <w:p w14:paraId="45D44432" w14:textId="1FEFD7B4"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101.000.000.000</w:t>
            </w:r>
          </w:p>
        </w:tc>
        <w:tc>
          <w:tcPr>
            <w:tcW w:w="2250" w:type="dxa"/>
            <w:shd w:val="clear" w:color="auto" w:fill="auto"/>
            <w:noWrap/>
            <w:tcMar>
              <w:top w:w="15" w:type="dxa"/>
              <w:left w:w="15" w:type="dxa"/>
              <w:bottom w:w="0" w:type="dxa"/>
              <w:right w:w="15" w:type="dxa"/>
            </w:tcMar>
            <w:vAlign w:val="center"/>
          </w:tcPr>
          <w:p w14:paraId="7B49124B" w14:textId="568EA8B4"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100.800.000.000</w:t>
            </w:r>
          </w:p>
        </w:tc>
      </w:tr>
      <w:tr w:rsidR="00BC56E3" w:rsidRPr="00F95AFC" w14:paraId="56A1627A" w14:textId="77777777" w:rsidTr="00BC56E3">
        <w:trPr>
          <w:trHeight w:val="320"/>
        </w:trPr>
        <w:tc>
          <w:tcPr>
            <w:tcW w:w="4695" w:type="dxa"/>
            <w:shd w:val="clear" w:color="auto" w:fill="auto"/>
            <w:noWrap/>
            <w:tcMar>
              <w:top w:w="15" w:type="dxa"/>
              <w:left w:w="15" w:type="dxa"/>
              <w:bottom w:w="0" w:type="dxa"/>
              <w:right w:w="15" w:type="dxa"/>
            </w:tcMar>
            <w:vAlign w:val="center"/>
            <w:hideMark/>
          </w:tcPr>
          <w:p w14:paraId="38E575A0" w14:textId="69A4ABC2" w:rsidR="00BC56E3" w:rsidRPr="00F95AFC" w:rsidRDefault="00BC56E3" w:rsidP="00F95AFC">
            <w:pPr>
              <w:spacing w:line="360" w:lineRule="auto"/>
              <w:rPr>
                <w:rFonts w:ascii="Times New Roman" w:hAnsi="Times New Roman"/>
                <w:sz w:val="24"/>
                <w:szCs w:val="24"/>
              </w:rPr>
            </w:pPr>
            <w:r w:rsidRPr="00F95AFC">
              <w:rPr>
                <w:rFonts w:ascii="Times New Roman" w:hAnsi="Times New Roman"/>
                <w:sz w:val="24"/>
                <w:szCs w:val="24"/>
              </w:rPr>
              <w:t xml:space="preserve">Chứng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vAlign w:val="center"/>
          </w:tcPr>
          <w:p w14:paraId="55DE5064" w14:textId="3854C933"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 xml:space="preserve"> 13.000.000.000</w:t>
            </w:r>
          </w:p>
        </w:tc>
        <w:tc>
          <w:tcPr>
            <w:tcW w:w="2250" w:type="dxa"/>
            <w:shd w:val="clear" w:color="auto" w:fill="auto"/>
            <w:noWrap/>
            <w:tcMar>
              <w:top w:w="15" w:type="dxa"/>
              <w:left w:w="15" w:type="dxa"/>
              <w:bottom w:w="0" w:type="dxa"/>
              <w:right w:w="15" w:type="dxa"/>
            </w:tcMar>
            <w:vAlign w:val="center"/>
          </w:tcPr>
          <w:p w14:paraId="4CBF014A" w14:textId="02D20DA2"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0</w:t>
            </w:r>
          </w:p>
        </w:tc>
      </w:tr>
      <w:tr w:rsidR="00BC56E3" w:rsidRPr="00F95AFC" w14:paraId="14244728" w14:textId="77777777" w:rsidTr="00BC56E3">
        <w:trPr>
          <w:trHeight w:val="320"/>
        </w:trPr>
        <w:tc>
          <w:tcPr>
            <w:tcW w:w="4695" w:type="dxa"/>
            <w:shd w:val="clear" w:color="auto" w:fill="auto"/>
            <w:noWrap/>
            <w:tcMar>
              <w:top w:w="15" w:type="dxa"/>
              <w:left w:w="15" w:type="dxa"/>
              <w:bottom w:w="0" w:type="dxa"/>
              <w:right w:w="15" w:type="dxa"/>
            </w:tcMar>
            <w:vAlign w:val="center"/>
          </w:tcPr>
          <w:p w14:paraId="786B4CEF" w14:textId="4FC13C29" w:rsidR="00BC56E3" w:rsidRPr="00F95AFC" w:rsidRDefault="00BC56E3" w:rsidP="00F95AFC">
            <w:pPr>
              <w:spacing w:line="360" w:lineRule="auto"/>
              <w:rPr>
                <w:rFonts w:ascii="Times New Roman" w:hAnsi="Times New Roman"/>
                <w:sz w:val="24"/>
                <w:szCs w:val="24"/>
              </w:rPr>
            </w:pP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vAlign w:val="center"/>
          </w:tcPr>
          <w:p w14:paraId="4773775E" w14:textId="782373BB"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5.260.958.219</w:t>
            </w:r>
          </w:p>
        </w:tc>
        <w:tc>
          <w:tcPr>
            <w:tcW w:w="2250" w:type="dxa"/>
            <w:shd w:val="clear" w:color="auto" w:fill="auto"/>
            <w:noWrap/>
            <w:tcMar>
              <w:top w:w="15" w:type="dxa"/>
              <w:left w:w="15" w:type="dxa"/>
              <w:bottom w:w="0" w:type="dxa"/>
              <w:right w:w="15" w:type="dxa"/>
            </w:tcMar>
            <w:vAlign w:val="center"/>
          </w:tcPr>
          <w:p w14:paraId="33B72572" w14:textId="73CFFC2D" w:rsidR="00BC56E3" w:rsidRPr="00F95AFC" w:rsidRDefault="00BC56E3" w:rsidP="00F95AFC">
            <w:pPr>
              <w:spacing w:line="360" w:lineRule="auto"/>
              <w:jc w:val="center"/>
              <w:rPr>
                <w:rFonts w:ascii="Times New Roman" w:hAnsi="Times New Roman"/>
                <w:sz w:val="24"/>
                <w:szCs w:val="24"/>
                <w:highlight w:val="yellow"/>
              </w:rPr>
            </w:pPr>
            <w:r w:rsidRPr="00F95AFC">
              <w:rPr>
                <w:rFonts w:ascii="Times New Roman" w:hAnsi="Times New Roman"/>
                <w:sz w:val="24"/>
                <w:szCs w:val="24"/>
              </w:rPr>
              <w:t>2.625.908.220</w:t>
            </w:r>
          </w:p>
        </w:tc>
      </w:tr>
      <w:tr w:rsidR="00BC56E3" w:rsidRPr="00F95AFC" w14:paraId="2AF9C477" w14:textId="77777777" w:rsidTr="00BC56E3">
        <w:trPr>
          <w:trHeight w:val="353"/>
        </w:trPr>
        <w:tc>
          <w:tcPr>
            <w:tcW w:w="4695" w:type="dxa"/>
            <w:shd w:val="clear" w:color="auto" w:fill="auto"/>
            <w:noWrap/>
            <w:tcMar>
              <w:top w:w="15" w:type="dxa"/>
              <w:left w:w="15" w:type="dxa"/>
              <w:bottom w:w="0" w:type="dxa"/>
              <w:right w:w="15" w:type="dxa"/>
            </w:tcMar>
            <w:vAlign w:val="center"/>
          </w:tcPr>
          <w:p w14:paraId="1755037B" w14:textId="3FC1B629" w:rsidR="00BC56E3" w:rsidRPr="00F95AFC" w:rsidRDefault="00BC56E3" w:rsidP="00F95AFC">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vAlign w:val="center"/>
          </w:tcPr>
          <w:p w14:paraId="33734A05" w14:textId="7142F05F" w:rsidR="00BC56E3" w:rsidRPr="00F95AFC" w:rsidRDefault="00BC56E3" w:rsidP="00F95AFC">
            <w:pPr>
              <w:spacing w:line="360" w:lineRule="auto"/>
              <w:jc w:val="center"/>
              <w:rPr>
                <w:rFonts w:ascii="Times New Roman" w:hAnsi="Times New Roman"/>
                <w:b/>
                <w:sz w:val="24"/>
                <w:szCs w:val="24"/>
                <w:highlight w:val="yellow"/>
              </w:rPr>
            </w:pPr>
            <w:r w:rsidRPr="00F95AFC">
              <w:rPr>
                <w:rFonts w:ascii="Times New Roman" w:hAnsi="Times New Roman"/>
                <w:b/>
                <w:sz w:val="24"/>
                <w:szCs w:val="24"/>
              </w:rPr>
              <w:t>120.655.339.629</w:t>
            </w:r>
          </w:p>
        </w:tc>
        <w:tc>
          <w:tcPr>
            <w:tcW w:w="2250" w:type="dxa"/>
            <w:shd w:val="clear" w:color="auto" w:fill="auto"/>
            <w:noWrap/>
            <w:tcMar>
              <w:top w:w="15" w:type="dxa"/>
              <w:left w:w="15" w:type="dxa"/>
              <w:bottom w:w="0" w:type="dxa"/>
              <w:right w:w="15" w:type="dxa"/>
            </w:tcMar>
            <w:vAlign w:val="center"/>
          </w:tcPr>
          <w:p w14:paraId="68EB6E77" w14:textId="5DAFE26B" w:rsidR="00BC56E3" w:rsidRPr="00F95AFC" w:rsidRDefault="00BC56E3" w:rsidP="00F95AFC">
            <w:pPr>
              <w:spacing w:line="360" w:lineRule="auto"/>
              <w:jc w:val="center"/>
              <w:rPr>
                <w:rFonts w:ascii="Times New Roman" w:hAnsi="Times New Roman"/>
                <w:b/>
                <w:sz w:val="24"/>
                <w:szCs w:val="24"/>
                <w:highlight w:val="yellow"/>
              </w:rPr>
            </w:pPr>
            <w:r w:rsidRPr="00F95AFC">
              <w:rPr>
                <w:rFonts w:ascii="Times New Roman" w:hAnsi="Times New Roman"/>
                <w:b/>
                <w:sz w:val="24"/>
                <w:szCs w:val="24"/>
              </w:rPr>
              <w:t>114.593.785.488</w:t>
            </w:r>
          </w:p>
        </w:tc>
      </w:tr>
    </w:tbl>
    <w:p w14:paraId="657FA714" w14:textId="4E3DFD89" w:rsidR="002E7115"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g)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dựa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khi</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điều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này</w:t>
      </w:r>
      <w:proofErr w:type="spellEnd"/>
      <w:r w:rsidRPr="00F95AFC">
        <w:rPr>
          <w:rFonts w:ascii="Times New Roman" w:hAnsi="Times New Roman"/>
          <w:sz w:val="24"/>
          <w:szCs w:val="24"/>
        </w:rPr>
        <w:t xml:space="preserve"> </w:t>
      </w:r>
      <w:proofErr w:type="spellStart"/>
      <w:r w:rsidR="000412ED"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gần</w:t>
      </w:r>
      <w:proofErr w:type="spellEnd"/>
      <w:r w:rsidRPr="00F95AFC">
        <w:rPr>
          <w:rFonts w:ascii="Times New Roman" w:hAnsi="Times New Roman"/>
          <w:sz w:val="24"/>
          <w:szCs w:val="24"/>
        </w:rPr>
        <w:t xml:space="preserve"> </w:t>
      </w:r>
      <w:proofErr w:type="spellStart"/>
      <w:r w:rsidR="000B050B" w:rsidRPr="00F95AFC">
        <w:rPr>
          <w:rFonts w:ascii="Times New Roman" w:hAnsi="Times New Roman"/>
          <w:sz w:val="24"/>
          <w:szCs w:val="24"/>
        </w:rPr>
        <w:t>nhất</w:t>
      </w:r>
      <w:proofErr w:type="spellEnd"/>
      <w:r w:rsidR="000B050B" w:rsidRPr="00F95AFC">
        <w:rPr>
          <w:rFonts w:ascii="Times New Roman" w:hAnsi="Times New Roman"/>
          <w:sz w:val="24"/>
          <w:szCs w:val="24"/>
        </w:rPr>
        <w:t>:</w:t>
      </w:r>
      <w:r w:rsidR="00133983" w:rsidRPr="00F95AFC">
        <w:rPr>
          <w:rFonts w:ascii="Times New Roman" w:hAnsi="Times New Roman"/>
          <w:sz w:val="24"/>
          <w:szCs w:val="24"/>
        </w:rPr>
        <w:t xml:space="preserve"> </w:t>
      </w:r>
    </w:p>
    <w:p w14:paraId="7CCEBBAE" w14:textId="7FF49832" w:rsidR="003F0046" w:rsidRPr="00F95AFC" w:rsidRDefault="00133983"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Trong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p>
    <w:p w14:paraId="0198F7EA" w14:textId="731CC9DC" w:rsidR="00133983" w:rsidRPr="00F95AFC" w:rsidRDefault="009710C5" w:rsidP="00F95AFC">
      <w:pPr>
        <w:tabs>
          <w:tab w:val="left" w:pos="270"/>
          <w:tab w:val="left" w:pos="567"/>
        </w:tabs>
        <w:spacing w:line="360" w:lineRule="auto"/>
        <w:rPr>
          <w:rFonts w:ascii="Times New Roman" w:hAnsi="Times New Roman"/>
          <w:sz w:val="24"/>
          <w:szCs w:val="24"/>
        </w:rPr>
      </w:pPr>
      <w:r w:rsidRPr="00F95AFC">
        <w:rPr>
          <w:rFonts w:ascii="Times New Roman" w:hAnsi="Times New Roman"/>
          <w:sz w:val="24"/>
          <w:szCs w:val="24"/>
        </w:rPr>
        <w:tab/>
      </w:r>
      <w:r w:rsidR="00133983" w:rsidRPr="00F95AFC">
        <w:rPr>
          <w:rFonts w:ascii="Times New Roman" w:hAnsi="Times New Roman"/>
          <w:sz w:val="24"/>
          <w:szCs w:val="24"/>
        </w:rPr>
        <w:t>-</w:t>
      </w:r>
      <w:r w:rsidR="00133983" w:rsidRPr="00F95AFC">
        <w:rPr>
          <w:rFonts w:ascii="Times New Roman" w:hAnsi="Times New Roman"/>
          <w:sz w:val="24"/>
          <w:szCs w:val="24"/>
        </w:rPr>
        <w:tab/>
        <w:t>NAV/</w:t>
      </w:r>
      <w:proofErr w:type="spellStart"/>
      <w:r w:rsidR="00133983" w:rsidRPr="00F95AFC">
        <w:rPr>
          <w:rFonts w:ascii="Times New Roman" w:hAnsi="Times New Roman"/>
          <w:sz w:val="24"/>
          <w:szCs w:val="24"/>
        </w:rPr>
        <w:t>đơn</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vị</w:t>
      </w:r>
      <w:proofErr w:type="spellEnd"/>
      <w:r w:rsidR="00133983" w:rsidRPr="00F95AFC">
        <w:rPr>
          <w:rFonts w:ascii="Times New Roman" w:hAnsi="Times New Roman"/>
          <w:sz w:val="24"/>
          <w:szCs w:val="24"/>
        </w:rPr>
        <w:t xml:space="preserve"> quỹ </w:t>
      </w:r>
      <w:proofErr w:type="spellStart"/>
      <w:r w:rsidR="00133983" w:rsidRPr="00F95AFC">
        <w:rPr>
          <w:rFonts w:ascii="Times New Roman" w:hAnsi="Times New Roman"/>
          <w:sz w:val="24"/>
          <w:szCs w:val="24"/>
        </w:rPr>
        <w:t>tại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ngày</w:t>
      </w:r>
      <w:proofErr w:type="spellEnd"/>
      <w:r w:rsidR="00133983" w:rsidRPr="00F95AFC">
        <w:rPr>
          <w:rFonts w:ascii="Times New Roman" w:hAnsi="Times New Roman"/>
          <w:sz w:val="24"/>
          <w:szCs w:val="24"/>
        </w:rPr>
        <w:t xml:space="preserve"> </w:t>
      </w:r>
      <w:r w:rsidR="00AB776A" w:rsidRPr="00F95AFC">
        <w:rPr>
          <w:rFonts w:ascii="Times New Roman" w:hAnsi="Times New Roman"/>
          <w:sz w:val="24"/>
          <w:szCs w:val="24"/>
        </w:rPr>
        <w:t>30/06/202</w:t>
      </w:r>
      <w:r w:rsidR="00A634B2" w:rsidRPr="00F95AFC">
        <w:rPr>
          <w:rFonts w:ascii="Times New Roman" w:hAnsi="Times New Roman"/>
          <w:sz w:val="24"/>
          <w:szCs w:val="24"/>
        </w:rPr>
        <w:t>2</w:t>
      </w:r>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là</w:t>
      </w:r>
      <w:proofErr w:type="spellEnd"/>
      <w:r w:rsidR="00133983" w:rsidRPr="00F95AFC">
        <w:rPr>
          <w:rFonts w:ascii="Times New Roman" w:hAnsi="Times New Roman"/>
          <w:sz w:val="24"/>
          <w:szCs w:val="24"/>
        </w:rPr>
        <w:t xml:space="preserve"> </w:t>
      </w:r>
      <w:r w:rsidR="00A634B2" w:rsidRPr="00F95AFC">
        <w:rPr>
          <w:rFonts w:ascii="Times New Roman" w:hAnsi="Times New Roman"/>
          <w:sz w:val="24"/>
          <w:szCs w:val="24"/>
          <w:lang w:val="nl-NL"/>
        </w:rPr>
        <w:t xml:space="preserve">11.429,95 </w:t>
      </w:r>
      <w:r w:rsidR="00133983" w:rsidRPr="00F95AFC">
        <w:rPr>
          <w:rFonts w:ascii="Times New Roman" w:hAnsi="Times New Roman"/>
          <w:sz w:val="24"/>
          <w:szCs w:val="24"/>
        </w:rPr>
        <w:t>VNĐ</w:t>
      </w:r>
      <w:r w:rsidR="000B050B" w:rsidRPr="00F95AFC">
        <w:rPr>
          <w:rFonts w:ascii="Times New Roman" w:hAnsi="Times New Roman"/>
          <w:sz w:val="24"/>
          <w:szCs w:val="24"/>
        </w:rPr>
        <w:t xml:space="preserve"> </w:t>
      </w:r>
    </w:p>
    <w:p w14:paraId="22030B8F" w14:textId="6DC4FED7" w:rsidR="000B050B" w:rsidRPr="00F95AFC" w:rsidRDefault="009710C5" w:rsidP="00F95AFC">
      <w:pPr>
        <w:tabs>
          <w:tab w:val="left" w:pos="270"/>
          <w:tab w:val="left" w:pos="567"/>
        </w:tabs>
        <w:spacing w:line="360" w:lineRule="auto"/>
        <w:rPr>
          <w:rFonts w:ascii="Times New Roman" w:hAnsi="Times New Roman"/>
          <w:sz w:val="24"/>
          <w:szCs w:val="24"/>
        </w:rPr>
      </w:pPr>
      <w:r w:rsidRPr="00F95AFC">
        <w:rPr>
          <w:rFonts w:ascii="Times New Roman" w:hAnsi="Times New Roman"/>
          <w:sz w:val="24"/>
          <w:szCs w:val="24"/>
        </w:rPr>
        <w:tab/>
      </w:r>
      <w:r w:rsidR="00133983" w:rsidRPr="00F95AFC">
        <w:rPr>
          <w:rFonts w:ascii="Times New Roman" w:hAnsi="Times New Roman"/>
          <w:sz w:val="24"/>
          <w:szCs w:val="24"/>
        </w:rPr>
        <w:t xml:space="preserve">- </w:t>
      </w:r>
      <w:r w:rsidR="00133983" w:rsidRPr="00F95AFC">
        <w:rPr>
          <w:rFonts w:ascii="Times New Roman" w:hAnsi="Times New Roman"/>
          <w:sz w:val="24"/>
          <w:szCs w:val="24"/>
        </w:rPr>
        <w:tab/>
        <w:t>NAV/</w:t>
      </w:r>
      <w:proofErr w:type="spellStart"/>
      <w:r w:rsidR="00133983" w:rsidRPr="00F95AFC">
        <w:rPr>
          <w:rFonts w:ascii="Times New Roman" w:hAnsi="Times New Roman"/>
          <w:sz w:val="24"/>
          <w:szCs w:val="24"/>
        </w:rPr>
        <w:t>đơn</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vị</w:t>
      </w:r>
      <w:proofErr w:type="spellEnd"/>
      <w:r w:rsidR="00133983" w:rsidRPr="00F95AFC">
        <w:rPr>
          <w:rFonts w:ascii="Times New Roman" w:hAnsi="Times New Roman"/>
          <w:sz w:val="24"/>
          <w:szCs w:val="24"/>
        </w:rPr>
        <w:t xml:space="preserve"> quỹ </w:t>
      </w:r>
      <w:proofErr w:type="spellStart"/>
      <w:r w:rsidR="00133983" w:rsidRPr="00F95AFC">
        <w:rPr>
          <w:rFonts w:ascii="Times New Roman" w:hAnsi="Times New Roman"/>
          <w:sz w:val="24"/>
          <w:szCs w:val="24"/>
        </w:rPr>
        <w:t>tại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thời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điểm</w:t>
      </w:r>
      <w:proofErr w:type="spellEnd"/>
      <w:r w:rsidR="00133983" w:rsidRPr="00F95AFC">
        <w:rPr>
          <w:rFonts w:ascii="Times New Roman" w:hAnsi="Times New Roman"/>
          <w:sz w:val="24"/>
          <w:szCs w:val="24"/>
        </w:rPr>
        <w:t xml:space="preserve"> 30/06/20</w:t>
      </w:r>
      <w:r w:rsidR="00714D66" w:rsidRPr="00F95AFC">
        <w:rPr>
          <w:rFonts w:ascii="Times New Roman" w:hAnsi="Times New Roman"/>
          <w:sz w:val="24"/>
          <w:szCs w:val="24"/>
        </w:rPr>
        <w:t>2</w:t>
      </w:r>
      <w:r w:rsidR="00A634B2" w:rsidRPr="00F95AFC">
        <w:rPr>
          <w:rFonts w:ascii="Times New Roman" w:hAnsi="Times New Roman"/>
          <w:sz w:val="24"/>
          <w:szCs w:val="24"/>
        </w:rPr>
        <w:t>3</w:t>
      </w:r>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là</w:t>
      </w:r>
      <w:proofErr w:type="spellEnd"/>
      <w:r w:rsidR="00133983" w:rsidRPr="00F95AFC">
        <w:rPr>
          <w:rFonts w:ascii="Times New Roman" w:hAnsi="Times New Roman"/>
          <w:sz w:val="24"/>
          <w:szCs w:val="24"/>
        </w:rPr>
        <w:t xml:space="preserve"> </w:t>
      </w:r>
      <w:r w:rsidR="00A634B2" w:rsidRPr="00F95AFC">
        <w:rPr>
          <w:rFonts w:ascii="Times New Roman" w:hAnsi="Times New Roman"/>
          <w:sz w:val="24"/>
          <w:szCs w:val="24"/>
          <w:lang w:val="nl-NL"/>
        </w:rPr>
        <w:t xml:space="preserve">12.047,11 </w:t>
      </w:r>
      <w:r w:rsidR="00133983" w:rsidRPr="00F95AFC">
        <w:rPr>
          <w:rFonts w:ascii="Times New Roman" w:hAnsi="Times New Roman"/>
          <w:sz w:val="24"/>
          <w:szCs w:val="24"/>
        </w:rPr>
        <w:t xml:space="preserve">VNĐ </w:t>
      </w:r>
      <w:proofErr w:type="spellStart"/>
      <w:r w:rsidR="00133983" w:rsidRPr="00F95AFC">
        <w:rPr>
          <w:rFonts w:ascii="Times New Roman" w:hAnsi="Times New Roman"/>
          <w:sz w:val="24"/>
          <w:szCs w:val="24"/>
        </w:rPr>
        <w:t>tăng</w:t>
      </w:r>
      <w:proofErr w:type="spellEnd"/>
      <w:r w:rsidR="00133983" w:rsidRPr="00F95AFC">
        <w:rPr>
          <w:rFonts w:ascii="Times New Roman" w:hAnsi="Times New Roman"/>
          <w:sz w:val="24"/>
          <w:szCs w:val="24"/>
        </w:rPr>
        <w:t xml:space="preserve"> </w:t>
      </w:r>
      <w:r w:rsidR="00A634B2" w:rsidRPr="00F95AFC">
        <w:rPr>
          <w:rFonts w:ascii="Times New Roman" w:hAnsi="Times New Roman"/>
          <w:sz w:val="24"/>
          <w:szCs w:val="24"/>
        </w:rPr>
        <w:t>5,40</w:t>
      </w:r>
      <w:r w:rsidR="00133983" w:rsidRPr="00F95AFC">
        <w:rPr>
          <w:rFonts w:ascii="Times New Roman" w:hAnsi="Times New Roman"/>
          <w:sz w:val="24"/>
          <w:szCs w:val="24"/>
        </w:rPr>
        <w:t>%</w:t>
      </w:r>
    </w:p>
    <w:p w14:paraId="69DF1E79" w14:textId="15D7113E"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h)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ngoài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mà</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vào</w:t>
      </w:r>
      <w:proofErr w:type="spellEnd"/>
      <w:r w:rsidRPr="00F95AFC">
        <w:rPr>
          <w:rFonts w:ascii="Times New Roman" w:hAnsi="Times New Roman"/>
          <w:sz w:val="24"/>
          <w:szCs w:val="24"/>
        </w:rPr>
        <w:t xml:space="preserve">, thông tin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loại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blue-chip,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ty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vốn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hóa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thấp</w:t>
      </w:r>
      <w:proofErr w:type="spellEnd"/>
      <w:r w:rsidRPr="00F95AFC">
        <w:rPr>
          <w:rFonts w:ascii="Times New Roman" w:hAnsi="Times New Roman"/>
          <w:sz w:val="24"/>
          <w:szCs w:val="24"/>
        </w:rPr>
        <w:t xml:space="preserve"> </w:t>
      </w:r>
      <w:r w:rsidR="00684A23" w:rsidRPr="00F95AFC">
        <w:rPr>
          <w:rFonts w:ascii="Times New Roman" w:hAnsi="Times New Roman"/>
          <w:sz w:val="24"/>
          <w:szCs w:val="24"/>
        </w:rPr>
        <w:t>(</w:t>
      </w:r>
      <w:proofErr w:type="gramStart"/>
      <w:r w:rsidR="00684A23" w:rsidRPr="00F95AFC">
        <w:rPr>
          <w:rFonts w:ascii="Times New Roman" w:hAnsi="Times New Roman"/>
          <w:sz w:val="24"/>
          <w:szCs w:val="24"/>
        </w:rPr>
        <w:t>small-</w:t>
      </w:r>
      <w:r w:rsidR="00F85702" w:rsidRPr="00F95AFC">
        <w:rPr>
          <w:rFonts w:ascii="Times New Roman" w:hAnsi="Times New Roman"/>
          <w:sz w:val="24"/>
          <w:szCs w:val="24"/>
        </w:rPr>
        <w:t>cap</w:t>
      </w:r>
      <w:proofErr w:type="gramEnd"/>
      <w:r w:rsidR="00D84EFB" w:rsidRPr="00F95AFC">
        <w:rPr>
          <w:rFonts w:ascii="Times New Roman" w:hAnsi="Times New Roman"/>
          <w:sz w:val="24"/>
          <w:szCs w:val="24"/>
        </w:rPr>
        <w:t>)</w:t>
      </w:r>
      <w:r w:rsidR="009C6890" w:rsidRPr="00F95AFC">
        <w:rPr>
          <w:rFonts w:ascii="Times New Roman" w:hAnsi="Times New Roman"/>
          <w:sz w:val="24"/>
          <w:szCs w:val="24"/>
        </w:rPr>
        <w:t>.</w:t>
      </w:r>
    </w:p>
    <w:p w14:paraId="34B321AC" w14:textId="77777777" w:rsidR="00C9770A" w:rsidRPr="00F95AFC" w:rsidRDefault="00C9770A" w:rsidP="00F95AFC">
      <w:pPr>
        <w:shd w:val="clear" w:color="auto" w:fill="FFFFFF"/>
        <w:tabs>
          <w:tab w:val="left" w:pos="540"/>
        </w:tabs>
        <w:spacing w:before="120" w:line="360" w:lineRule="auto"/>
        <w:jc w:val="both"/>
        <w:rPr>
          <w:rFonts w:ascii="Times New Roman" w:hAnsi="Times New Roman"/>
          <w:b/>
          <w:bCs/>
          <w:sz w:val="24"/>
          <w:szCs w:val="24"/>
          <w:lang w:val="nl-NL"/>
        </w:rPr>
      </w:pPr>
      <w:r w:rsidRPr="00F95AFC">
        <w:rPr>
          <w:rFonts w:ascii="Times New Roman" w:hAnsi="Times New Roman"/>
          <w:b/>
          <w:bCs/>
          <w:sz w:val="24"/>
          <w:szCs w:val="24"/>
          <w:lang w:val="nl-NL"/>
        </w:rPr>
        <w:t>Kinh tế Vĩ mô:</w:t>
      </w:r>
    </w:p>
    <w:p w14:paraId="289D8E39" w14:textId="77777777" w:rsidR="00857810" w:rsidRPr="00F95AFC" w:rsidRDefault="00857810" w:rsidP="00F95AFC">
      <w:pPr>
        <w:shd w:val="clear" w:color="auto" w:fill="FFFFFF"/>
        <w:tabs>
          <w:tab w:val="left" w:pos="426"/>
        </w:tabs>
        <w:spacing w:before="120" w:line="360" w:lineRule="auto"/>
        <w:jc w:val="both"/>
        <w:rPr>
          <w:rFonts w:ascii="Times New Roman" w:hAnsi="Times New Roman"/>
          <w:b/>
          <w:bCs/>
          <w:sz w:val="24"/>
          <w:szCs w:val="24"/>
          <w:lang w:val="nl-NL"/>
        </w:rPr>
      </w:pPr>
      <w:bookmarkStart w:id="15" w:name="_Hlk109397108"/>
      <w:r w:rsidRPr="00F95AFC">
        <w:rPr>
          <w:rFonts w:ascii="Times New Roman" w:hAnsi="Times New Roman"/>
          <w:b/>
          <w:bCs/>
          <w:sz w:val="24"/>
          <w:szCs w:val="24"/>
          <w:lang w:val="nl-NL"/>
        </w:rPr>
        <w:t>Tổng sản phẩm trong nước (GDP)</w:t>
      </w:r>
    </w:p>
    <w:p w14:paraId="3F65F5FA" w14:textId="77777777" w:rsidR="00857810" w:rsidRPr="00F95AFC" w:rsidRDefault="00857810" w:rsidP="00F95AFC">
      <w:pPr>
        <w:shd w:val="clear" w:color="auto" w:fill="FFFFFF"/>
        <w:tabs>
          <w:tab w:val="left" w:pos="426"/>
        </w:tabs>
        <w:spacing w:line="360" w:lineRule="auto"/>
        <w:jc w:val="both"/>
        <w:rPr>
          <w:rFonts w:ascii="Times New Roman" w:eastAsia="Calibri" w:hAnsi="Times New Roman"/>
          <w:bCs/>
          <w:sz w:val="24"/>
          <w:szCs w:val="24"/>
          <w:lang w:val="nl-NL"/>
        </w:rPr>
      </w:pPr>
      <w:r w:rsidRPr="00F95AFC">
        <w:rPr>
          <w:rFonts w:ascii="Times New Roman" w:hAnsi="Times New Roman"/>
          <w:bCs/>
          <w:sz w:val="24"/>
          <w:szCs w:val="24"/>
          <w:lang w:val="nl-NL"/>
        </w:rPr>
        <w:t>GDP 6 tháng đầu năm 2023 tăng 3,72%, chỉ cao hơn tốc độ tăng 1,74% của 6 tháng đầu năm 2020 trong giai đoạn 2011-2023. Trong mức tăng tổng giá trị tăng thêm của toàn nền kinh tế, khu vực nông, lâm nghiệp và thủy sản tăng 3,07%, đóng góp 9,28%; khu vực công nghiệp và xây dựng tăng 1,13%, đóng góp 11,87%; khu vực dịch vụ tăng 6,33%, đóng góp 78,85%. Trong đó:</w:t>
      </w:r>
    </w:p>
    <w:p w14:paraId="459A466C" w14:textId="77777777" w:rsidR="00857810" w:rsidRPr="00F95AFC" w:rsidRDefault="00857810" w:rsidP="00F95AFC">
      <w:pPr>
        <w:pStyle w:val="ListParagraph"/>
        <w:numPr>
          <w:ilvl w:val="0"/>
          <w:numId w:val="43"/>
        </w:numPr>
        <w:shd w:val="clear" w:color="auto" w:fill="FFFFFF"/>
        <w:tabs>
          <w:tab w:val="left" w:pos="426"/>
        </w:tabs>
        <w:spacing w:line="360" w:lineRule="auto"/>
        <w:jc w:val="both"/>
        <w:rPr>
          <w:b w:val="0"/>
          <w:lang w:val="nl-NL"/>
        </w:rPr>
      </w:pPr>
      <w:r w:rsidRPr="00F95AFC">
        <w:rPr>
          <w:b w:val="0"/>
          <w:lang w:val="nl-NL"/>
        </w:rPr>
        <w:lastRenderedPageBreak/>
        <w:t>Nông nghiệp: Giá trị tăng thêm ngành nông nghiệp 6 tháng đầu năm 2023 tăng 3,14% so với cùng kỳ năm trước, đóng góp 0,27 điểm phần trăm vào mức tăng tổng giá trị tăng thêm của toàn nền kinh tế; ngành lâm nghiệp tăng 3,43% nhưng chiếm tỷ trọng thấp nên chỉ đóng góp 0,02 điểm phần trăm; ngành thủy sản tăng 2,77%, đóng góp 0,07 điểm phần trăm.</w:t>
      </w:r>
    </w:p>
    <w:p w14:paraId="4A8C6577" w14:textId="77777777" w:rsidR="00857810" w:rsidRPr="00F95AFC" w:rsidRDefault="00857810" w:rsidP="00F95AFC">
      <w:pPr>
        <w:pStyle w:val="ListParagraph"/>
        <w:numPr>
          <w:ilvl w:val="0"/>
          <w:numId w:val="43"/>
        </w:numPr>
        <w:shd w:val="clear" w:color="auto" w:fill="FFFFFF"/>
        <w:tabs>
          <w:tab w:val="left" w:pos="426"/>
        </w:tabs>
        <w:spacing w:line="360" w:lineRule="auto"/>
        <w:jc w:val="both"/>
        <w:rPr>
          <w:b w:val="0"/>
          <w:lang w:val="nl-NL"/>
        </w:rPr>
      </w:pPr>
      <w:r w:rsidRPr="00F95AFC">
        <w:rPr>
          <w:b w:val="0"/>
          <w:lang w:val="nl-NL"/>
        </w:rPr>
        <w:t>Giá trị tăng thêm ngành công nghiệp 6 tháng đầu năm 2023 tăng 0,44% so với cùng kỳ năm trước, là mức tăng thấp nhất của cùng kỳ các năm trong giai đoạn 2011-2023, đóng góp 0,15 điểm phần trăm vào tốc độ tăng tổng giá trị tăng thêm toàn nền kinh tế. Ngành công nghiệp chế biến, chế tạo tăng 0,37%, đóng góp 0,1 điểm phần trăm. Ngành sản xuất và phân phối điện tăng 1,79%, đóng góp 0,07 điểm phần trăm. Ngành khai khoáng giảm 1,43%, làm giảm 0,05 điểm phần trăm trong mức tăng tổng giá trị tăng thêm của toàn nền kinh tế. Ngành xây dựng tăng 4,74%, chỉ cao hơn tốc độ tăng 0,07%, 2,54% và 4,19% của cùng kỳ các năm 2011, 2012, 2022 trong giai đoạn 2011-2023, đóng góp 0,31 điểm phần trăm.</w:t>
      </w:r>
    </w:p>
    <w:p w14:paraId="0DF52C86" w14:textId="37538359" w:rsidR="00732305" w:rsidRPr="00266279" w:rsidRDefault="00857810" w:rsidP="00F95AFC">
      <w:pPr>
        <w:pStyle w:val="ListParagraph"/>
        <w:numPr>
          <w:ilvl w:val="0"/>
          <w:numId w:val="43"/>
        </w:numPr>
        <w:shd w:val="clear" w:color="auto" w:fill="FFFFFF"/>
        <w:tabs>
          <w:tab w:val="left" w:pos="426"/>
        </w:tabs>
        <w:spacing w:line="360" w:lineRule="auto"/>
        <w:jc w:val="both"/>
        <w:rPr>
          <w:lang w:val="nl-NL"/>
        </w:rPr>
      </w:pPr>
      <w:r w:rsidRPr="00266279">
        <w:rPr>
          <w:b w:val="0"/>
          <w:lang w:val="nl-NL"/>
        </w:rPr>
        <w:t>Các chính sách kích cầu tiêu dùng nội địa, các hoạt động xúc tiến, quảng bá du lịch được đẩy mạnh đã góp phần duy trì tăng trưởng của khu vực dịch vụ. Giá trị tăng thêm khu vực dịch vụ 6 tháng đầu năm 2023 tăng 6,33% so với cùng kỳ năm trước, cao hơn mức tăng 1,18% và 4,53% của cùng kỳ các năm 2020 và năm 2021. Trong khu vực dịch vụ, đóng góp của một số ngành có tỷ trọng lớn vào mức tăng tổng giá trị tăng thêm toàn nền kinh tế như sau: Bán buôn và bán lẻ tăng 8,49% so với cùng kỳ năm trước, đóng góp 0,88 điểm phần trăm; ngành vận tải, kho bãi tăng 7,18%, đóng góp 0,45 điểm phần trăm; hoạt động tài chính, ngân hàng và bảo hiểm tăng 7,13%, đóng góp 0,4 điểm phần trăm; dịch vụ lưu trú và ăn uống tăng 15,14%, đóng góp 0,37 điểm phần trăm.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57810" w:rsidRPr="00F95AFC" w14:paraId="098DC753" w14:textId="77777777" w:rsidTr="00266279">
        <w:trPr>
          <w:trHeight w:val="285"/>
          <w:jc w:val="center"/>
        </w:trPr>
        <w:tc>
          <w:tcPr>
            <w:tcW w:w="9810" w:type="dxa"/>
            <w:tcBorders>
              <w:top w:val="nil"/>
              <w:left w:val="nil"/>
              <w:bottom w:val="single" w:sz="4" w:space="0" w:color="auto"/>
              <w:right w:val="nil"/>
            </w:tcBorders>
            <w:hideMark/>
          </w:tcPr>
          <w:p w14:paraId="0D90DD7D" w14:textId="77777777" w:rsidR="00857810" w:rsidRPr="00F95AFC" w:rsidRDefault="00857810" w:rsidP="00F95AFC">
            <w:pPr>
              <w:tabs>
                <w:tab w:val="left" w:pos="426"/>
              </w:tabs>
              <w:spacing w:line="360" w:lineRule="auto"/>
              <w:jc w:val="both"/>
              <w:rPr>
                <w:rFonts w:ascii="Times New Roman" w:hAnsi="Times New Roman"/>
                <w:b/>
                <w:bCs/>
                <w:sz w:val="24"/>
                <w:szCs w:val="24"/>
                <w:lang w:val="nl-NL"/>
              </w:rPr>
            </w:pPr>
            <w:r w:rsidRPr="00F95AFC">
              <w:rPr>
                <w:rFonts w:ascii="Times New Roman" w:hAnsi="Times New Roman"/>
                <w:b/>
                <w:bCs/>
                <w:sz w:val="24"/>
                <w:szCs w:val="24"/>
                <w:lang w:val="nl-NL"/>
              </w:rPr>
              <w:t>Hình 1: Tăng trưởng GDP theo từng quý qua các năm</w:t>
            </w:r>
          </w:p>
        </w:tc>
      </w:tr>
      <w:tr w:rsidR="00857810" w:rsidRPr="00F95AFC" w14:paraId="54E2BA94" w14:textId="77777777" w:rsidTr="00266279">
        <w:trPr>
          <w:trHeight w:val="3821"/>
          <w:jc w:val="center"/>
        </w:trPr>
        <w:tc>
          <w:tcPr>
            <w:tcW w:w="9810" w:type="dxa"/>
            <w:tcBorders>
              <w:top w:val="single" w:sz="4" w:space="0" w:color="auto"/>
              <w:left w:val="nil"/>
              <w:bottom w:val="single" w:sz="4" w:space="0" w:color="auto"/>
              <w:right w:val="nil"/>
            </w:tcBorders>
            <w:hideMark/>
          </w:tcPr>
          <w:p w14:paraId="1F24767F" w14:textId="28317A8B" w:rsidR="00857810" w:rsidRPr="00F95AFC" w:rsidRDefault="00857810" w:rsidP="00F95AFC">
            <w:pPr>
              <w:tabs>
                <w:tab w:val="left" w:pos="426"/>
              </w:tabs>
              <w:spacing w:line="360" w:lineRule="auto"/>
              <w:jc w:val="both"/>
              <w:rPr>
                <w:rFonts w:ascii="Times New Roman" w:hAnsi="Times New Roman"/>
                <w:bCs/>
                <w:sz w:val="24"/>
                <w:szCs w:val="24"/>
                <w:lang w:val="nl-NL"/>
              </w:rPr>
            </w:pPr>
            <w:r w:rsidRPr="00F95AFC">
              <w:rPr>
                <w:rFonts w:ascii="Times New Roman" w:hAnsi="Times New Roman"/>
                <w:noProof/>
                <w:sz w:val="24"/>
                <w:szCs w:val="24"/>
                <w:lang w:val="nl-NL"/>
              </w:rPr>
              <w:drawing>
                <wp:inline distT="0" distB="0" distL="0" distR="0" wp14:anchorId="69EE1AB7" wp14:editId="6BE7C57E">
                  <wp:extent cx="6105525" cy="2686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2686050"/>
                          </a:xfrm>
                          <a:prstGeom prst="rect">
                            <a:avLst/>
                          </a:prstGeom>
                          <a:noFill/>
                          <a:ln>
                            <a:noFill/>
                          </a:ln>
                        </pic:spPr>
                      </pic:pic>
                    </a:graphicData>
                  </a:graphic>
                </wp:inline>
              </w:drawing>
            </w:r>
          </w:p>
        </w:tc>
      </w:tr>
      <w:tr w:rsidR="00857810" w:rsidRPr="00F95AFC" w14:paraId="7D511208" w14:textId="77777777" w:rsidTr="00266279">
        <w:trPr>
          <w:trHeight w:val="268"/>
          <w:jc w:val="center"/>
        </w:trPr>
        <w:tc>
          <w:tcPr>
            <w:tcW w:w="9810" w:type="dxa"/>
            <w:tcBorders>
              <w:top w:val="single" w:sz="4" w:space="0" w:color="auto"/>
              <w:left w:val="nil"/>
              <w:bottom w:val="nil"/>
              <w:right w:val="nil"/>
            </w:tcBorders>
            <w:hideMark/>
          </w:tcPr>
          <w:p w14:paraId="191CB4CE" w14:textId="77777777" w:rsidR="00857810" w:rsidRPr="00F95AFC" w:rsidRDefault="00857810" w:rsidP="00F95AFC">
            <w:pPr>
              <w:tabs>
                <w:tab w:val="left" w:pos="426"/>
              </w:tabs>
              <w:spacing w:line="360" w:lineRule="auto"/>
              <w:jc w:val="both"/>
              <w:rPr>
                <w:rFonts w:ascii="Times New Roman" w:hAnsi="Times New Roman"/>
                <w:bCs/>
                <w:i/>
                <w:iCs/>
                <w:sz w:val="24"/>
                <w:szCs w:val="24"/>
                <w:lang w:val="nl-NL"/>
              </w:rPr>
            </w:pPr>
            <w:r w:rsidRPr="00F95AFC">
              <w:rPr>
                <w:rFonts w:ascii="Times New Roman" w:hAnsi="Times New Roman"/>
                <w:bCs/>
                <w:i/>
                <w:iCs/>
                <w:sz w:val="24"/>
                <w:szCs w:val="24"/>
                <w:lang w:val="nl-NL"/>
              </w:rPr>
              <w:t>Nguồn: Tổng Cục Thống Kê</w:t>
            </w:r>
          </w:p>
        </w:tc>
      </w:tr>
    </w:tbl>
    <w:p w14:paraId="2B983950" w14:textId="77777777" w:rsidR="00266279" w:rsidRDefault="00266279" w:rsidP="00F95AFC">
      <w:pPr>
        <w:shd w:val="clear" w:color="auto" w:fill="FFFFFF"/>
        <w:tabs>
          <w:tab w:val="left" w:pos="426"/>
        </w:tabs>
        <w:spacing w:line="360" w:lineRule="auto"/>
        <w:jc w:val="both"/>
        <w:rPr>
          <w:rFonts w:ascii="Times New Roman" w:hAnsi="Times New Roman"/>
          <w:b/>
          <w:bCs/>
          <w:sz w:val="24"/>
          <w:szCs w:val="24"/>
          <w:lang w:val="nl-NL"/>
        </w:rPr>
      </w:pPr>
    </w:p>
    <w:p w14:paraId="2A2DBCE3" w14:textId="19E2C47A" w:rsidR="00857810" w:rsidRPr="00F95AFC" w:rsidRDefault="00857810" w:rsidP="00F95AFC">
      <w:pPr>
        <w:shd w:val="clear" w:color="auto" w:fill="FFFFFF"/>
        <w:tabs>
          <w:tab w:val="left" w:pos="426"/>
        </w:tabs>
        <w:spacing w:line="360" w:lineRule="auto"/>
        <w:jc w:val="both"/>
        <w:rPr>
          <w:rFonts w:ascii="Times New Roman" w:hAnsi="Times New Roman"/>
          <w:b/>
          <w:bCs/>
          <w:sz w:val="24"/>
          <w:szCs w:val="24"/>
          <w:lang w:val="nl-NL"/>
        </w:rPr>
      </w:pPr>
      <w:r w:rsidRPr="00F95AFC">
        <w:rPr>
          <w:rFonts w:ascii="Times New Roman" w:hAnsi="Times New Roman"/>
          <w:b/>
          <w:bCs/>
          <w:sz w:val="24"/>
          <w:szCs w:val="24"/>
          <w:lang w:val="nl-NL"/>
        </w:rPr>
        <w:t>Lạm</w:t>
      </w:r>
      <w:r w:rsidRPr="00F95AFC">
        <w:rPr>
          <w:rFonts w:ascii="Times New Roman" w:hAnsi="Times New Roman"/>
          <w:b/>
          <w:sz w:val="24"/>
          <w:szCs w:val="24"/>
          <w:lang w:val="nl-NL"/>
        </w:rPr>
        <w:t xml:space="preserve"> </w:t>
      </w:r>
      <w:r w:rsidRPr="00F95AFC">
        <w:rPr>
          <w:rFonts w:ascii="Times New Roman" w:hAnsi="Times New Roman"/>
          <w:b/>
          <w:bCs/>
          <w:sz w:val="24"/>
          <w:szCs w:val="24"/>
          <w:lang w:val="nl-NL"/>
        </w:rPr>
        <w:t>phát</w:t>
      </w:r>
    </w:p>
    <w:p w14:paraId="37B40D3C" w14:textId="77777777" w:rsidR="00857810" w:rsidRPr="00F95AFC" w:rsidRDefault="00857810" w:rsidP="00F95AFC">
      <w:pPr>
        <w:spacing w:line="360" w:lineRule="auto"/>
        <w:jc w:val="both"/>
        <w:rPr>
          <w:rFonts w:ascii="Times New Roman" w:eastAsia="Calibri" w:hAnsi="Times New Roman"/>
          <w:sz w:val="24"/>
          <w:szCs w:val="24"/>
        </w:rPr>
      </w:pP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liệu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kê</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thấy</w:t>
      </w:r>
      <w:proofErr w:type="spellEnd"/>
      <w:r w:rsidRPr="00F95AFC">
        <w:rPr>
          <w:rFonts w:ascii="Times New Roman" w:hAnsi="Times New Roman"/>
          <w:sz w:val="24"/>
          <w:szCs w:val="24"/>
        </w:rPr>
        <w:t xml:space="preserve"> doanh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lẻ</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nửa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2023 (+10,9% YoY </w:t>
      </w:r>
      <w:proofErr w:type="spellStart"/>
      <w:r w:rsidRPr="00F95AFC">
        <w:rPr>
          <w:rFonts w:ascii="Times New Roman" w:hAnsi="Times New Roman"/>
          <w:sz w:val="24"/>
          <w:szCs w:val="24"/>
        </w:rPr>
        <w:t>theo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nghĩa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8,9% YoY </w:t>
      </w:r>
      <w:proofErr w:type="spellStart"/>
      <w:r w:rsidRPr="00F95AFC">
        <w:rPr>
          <w:rFonts w:ascii="Times New Roman" w:hAnsi="Times New Roman"/>
          <w:sz w:val="24"/>
          <w:szCs w:val="24"/>
        </w:rPr>
        <w:t>theo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tế</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xu </w:t>
      </w:r>
      <w:proofErr w:type="spellStart"/>
      <w:r w:rsidRPr="00F95AFC">
        <w:rPr>
          <w:rFonts w:ascii="Times New Roman" w:hAnsi="Times New Roman"/>
          <w:sz w:val="24"/>
          <w:szCs w:val="24"/>
        </w:rPr>
        <w:t>hướng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dần</w:t>
      </w:r>
      <w:proofErr w:type="spellEnd"/>
      <w:r w:rsidRPr="00F95AFC">
        <w:rPr>
          <w:rFonts w:ascii="Times New Roman" w:hAnsi="Times New Roman"/>
          <w:sz w:val="24"/>
          <w:szCs w:val="24"/>
        </w:rPr>
        <w:t xml:space="preserve"> qua </w:t>
      </w:r>
      <w:proofErr w:type="spellStart"/>
      <w:r w:rsidRPr="00F95AFC">
        <w:rPr>
          <w:rFonts w:ascii="Times New Roman" w:hAnsi="Times New Roman"/>
          <w:sz w:val="24"/>
          <w:szCs w:val="24"/>
        </w:rPr>
        <w:t>từng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tế</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dấu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yếu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dùng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chậm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lại</w:t>
      </w:r>
      <w:proofErr w:type="spellEnd"/>
      <w:r w:rsidRPr="00F95AFC">
        <w:rPr>
          <w:rFonts w:ascii="Times New Roman" w:hAnsi="Times New Roman"/>
          <w:sz w:val="24"/>
          <w:szCs w:val="24"/>
        </w:rPr>
        <w:t>.</w:t>
      </w:r>
    </w:p>
    <w:p w14:paraId="116C7630" w14:textId="3EC58CBF" w:rsidR="00857810" w:rsidRPr="00F95AFC" w:rsidRDefault="00857810" w:rsidP="00F95AFC">
      <w:pPr>
        <w:spacing w:line="360" w:lineRule="auto"/>
        <w:jc w:val="both"/>
        <w:rPr>
          <w:rFonts w:ascii="Times New Roman" w:hAnsi="Times New Roman"/>
          <w:sz w:val="24"/>
          <w:szCs w:val="24"/>
        </w:rPr>
      </w:pPr>
      <w:proofErr w:type="spellStart"/>
      <w:r w:rsidRPr="00F95AFC">
        <w:rPr>
          <w:rFonts w:ascii="Times New Roman" w:hAnsi="Times New Roman"/>
          <w:sz w:val="24"/>
          <w:szCs w:val="24"/>
        </w:rPr>
        <w:t>Lạm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toàn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6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0,27%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đây</w:t>
      </w:r>
      <w:proofErr w:type="spellEnd"/>
      <w:r w:rsidRPr="00F95AFC">
        <w:rPr>
          <w:rFonts w:ascii="Times New Roman" w:hAnsi="Times New Roman"/>
          <w:sz w:val="24"/>
          <w:szCs w:val="24"/>
        </w:rPr>
        <w:t xml:space="preserve"> (+3,16%)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điện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hóa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hộ</w:t>
      </w:r>
      <w:proofErr w:type="spellEnd"/>
      <w:r w:rsidRPr="00F95AFC">
        <w:rPr>
          <w:rFonts w:ascii="Times New Roman" w:hAnsi="Times New Roman"/>
          <w:sz w:val="24"/>
          <w:szCs w:val="24"/>
        </w:rPr>
        <w:t xml:space="preserve"> gia </w:t>
      </w:r>
      <w:proofErr w:type="spellStart"/>
      <w:r w:rsidRPr="00F95AFC">
        <w:rPr>
          <w:rFonts w:ascii="Times New Roman" w:hAnsi="Times New Roman"/>
          <w:sz w:val="24"/>
          <w:szCs w:val="24"/>
        </w:rPr>
        <w:t>đình</w:t>
      </w:r>
      <w:proofErr w:type="spellEnd"/>
      <w:r w:rsidRPr="00F95AFC">
        <w:rPr>
          <w:rFonts w:ascii="Times New Roman" w:hAnsi="Times New Roman"/>
          <w:sz w:val="24"/>
          <w:szCs w:val="24"/>
        </w:rPr>
        <w:t xml:space="preserve">. Tuy </w:t>
      </w:r>
      <w:proofErr w:type="spellStart"/>
      <w:r w:rsidRPr="00F95AFC">
        <w:rPr>
          <w:rFonts w:ascii="Times New Roman" w:hAnsi="Times New Roman"/>
          <w:sz w:val="24"/>
          <w:szCs w:val="24"/>
        </w:rPr>
        <w:t>nhiên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lạm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toàn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vẫn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xu </w:t>
      </w:r>
      <w:proofErr w:type="spellStart"/>
      <w:r w:rsidRPr="00F95AFC">
        <w:rPr>
          <w:rFonts w:ascii="Times New Roman" w:hAnsi="Times New Roman"/>
          <w:sz w:val="24"/>
          <w:szCs w:val="24"/>
        </w:rPr>
        <w:t>hướng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xuống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còn</w:t>
      </w:r>
      <w:proofErr w:type="spellEnd"/>
      <w:r w:rsidRPr="00F95AFC">
        <w:rPr>
          <w:rFonts w:ascii="Times New Roman" w:hAnsi="Times New Roman"/>
          <w:sz w:val="24"/>
          <w:szCs w:val="24"/>
        </w:rPr>
        <w:t xml:space="preserve"> 3,29% YoY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6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thấp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nhiều</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4,5% YoY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lạm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lõi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chúng</w:t>
      </w:r>
      <w:proofErr w:type="spellEnd"/>
      <w:r w:rsidRPr="00F95AFC">
        <w:rPr>
          <w:rFonts w:ascii="Times New Roman" w:hAnsi="Times New Roman"/>
          <w:sz w:val="24"/>
          <w:szCs w:val="24"/>
        </w:rPr>
        <w:t xml:space="preserve"> ta </w:t>
      </w:r>
      <w:proofErr w:type="spellStart"/>
      <w:r w:rsidRPr="00F95AFC">
        <w:rPr>
          <w:rFonts w:ascii="Times New Roman" w:hAnsi="Times New Roman"/>
          <w:sz w:val="24"/>
          <w:szCs w:val="24"/>
        </w:rPr>
        <w:t>vẫn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thấy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4,74%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cùng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ngoái</w:t>
      </w:r>
      <w:proofErr w:type="spellEnd"/>
      <w:r w:rsidRPr="00F95AFC">
        <w:rPr>
          <w:rFonts w:ascii="Times New Roman" w:hAnsi="Times New Roman"/>
          <w:sz w:val="24"/>
          <w:szCs w:val="24"/>
        </w:rPr>
        <w:t xml:space="preserve"> do chi </w:t>
      </w:r>
      <w:proofErr w:type="spellStart"/>
      <w:r w:rsidR="009E526B" w:rsidRPr="00F95AFC">
        <w:rPr>
          <w:rFonts w:ascii="Times New Roman" w:hAnsi="Times New Roman"/>
          <w:sz w:val="24"/>
          <w:szCs w:val="24"/>
        </w:rPr>
        <w:t>phí</w:t>
      </w:r>
      <w:proofErr w:type="spellEnd"/>
      <w:r w:rsidR="009E526B" w:rsidRPr="00F95AFC">
        <w:rPr>
          <w:rFonts w:ascii="Times New Roman" w:hAnsi="Times New Roman"/>
          <w:sz w:val="24"/>
          <w:szCs w:val="24"/>
        </w:rPr>
        <w:t xml:space="preserve"> </w:t>
      </w:r>
      <w:proofErr w:type="spellStart"/>
      <w:r w:rsidRPr="00F95AFC">
        <w:rPr>
          <w:rFonts w:ascii="Times New Roman" w:hAnsi="Times New Roman"/>
          <w:sz w:val="24"/>
          <w:szCs w:val="24"/>
        </w:rPr>
        <w:t>lưu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trú</w:t>
      </w:r>
      <w:proofErr w:type="spellEnd"/>
      <w:r w:rsidRPr="00F95AFC">
        <w:rPr>
          <w:rFonts w:ascii="Times New Roman" w:hAnsi="Times New Roman"/>
          <w:sz w:val="24"/>
          <w:szCs w:val="24"/>
        </w:rPr>
        <w:t xml:space="preserve"> cao.</w:t>
      </w:r>
    </w:p>
    <w:p w14:paraId="08FEDC8B" w14:textId="77777777" w:rsidR="00857810" w:rsidRPr="00F95AFC" w:rsidRDefault="00857810" w:rsidP="00F95AFC">
      <w:pPr>
        <w:spacing w:line="360" w:lineRule="auto"/>
        <w:jc w:val="both"/>
        <w:rPr>
          <w:rFonts w:ascii="Times New Roman" w:hAnsi="Times New Roman"/>
          <w:sz w:val="24"/>
          <w:szCs w:val="24"/>
        </w:rPr>
      </w:pPr>
      <w:proofErr w:type="spellStart"/>
      <w:r w:rsidRPr="00F95AFC">
        <w:rPr>
          <w:rFonts w:ascii="Times New Roman" w:hAnsi="Times New Roman"/>
          <w:sz w:val="24"/>
          <w:szCs w:val="24"/>
        </w:rPr>
        <w:t>Lạm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vẫn</w:t>
      </w:r>
      <w:proofErr w:type="spellEnd"/>
      <w:r w:rsidRPr="00F95AFC">
        <w:rPr>
          <w:rFonts w:ascii="Times New Roman" w:hAnsi="Times New Roman"/>
          <w:sz w:val="24"/>
          <w:szCs w:val="24"/>
        </w:rPr>
        <w:t xml:space="preserve"> ở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cao. Trong </w:t>
      </w:r>
      <w:proofErr w:type="spellStart"/>
      <w:r w:rsidRPr="00F95AFC">
        <w:rPr>
          <w:rFonts w:ascii="Times New Roman" w:hAnsi="Times New Roman"/>
          <w:sz w:val="24"/>
          <w:szCs w:val="24"/>
        </w:rPr>
        <w:t>khi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ứng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hỗ</w:t>
      </w:r>
      <w:proofErr w:type="spellEnd"/>
      <w:r w:rsidRPr="00F95AFC">
        <w:rPr>
          <w:rFonts w:ascii="Times New Roman" w:hAnsi="Times New Roman"/>
          <w:sz w:val="24"/>
          <w:szCs w:val="24"/>
        </w:rPr>
        <w:t xml:space="preserve"> trợ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chúng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tôi</w:t>
      </w:r>
      <w:proofErr w:type="spellEnd"/>
      <w:r w:rsidRPr="00F95AFC">
        <w:rPr>
          <w:rFonts w:ascii="Times New Roman" w:hAnsi="Times New Roman"/>
          <w:sz w:val="24"/>
          <w:szCs w:val="24"/>
        </w:rPr>
        <w:t xml:space="preserve"> tin </w:t>
      </w:r>
      <w:proofErr w:type="spellStart"/>
      <w:r w:rsidRPr="00F95AFC">
        <w:rPr>
          <w:rFonts w:ascii="Times New Roman" w:hAnsi="Times New Roman"/>
          <w:sz w:val="24"/>
          <w:szCs w:val="24"/>
        </w:rPr>
        <w:t>rằng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đóng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vai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trò</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chốt</w:t>
      </w:r>
      <w:proofErr w:type="spellEnd"/>
      <w:r w:rsidRPr="00F95AFC">
        <w:rPr>
          <w:rFonts w:ascii="Times New Roman" w:hAnsi="Times New Roman"/>
          <w:sz w:val="24"/>
          <w:szCs w:val="24"/>
        </w:rPr>
        <w:t xml:space="preserve">, do </w:t>
      </w:r>
      <w:proofErr w:type="spellStart"/>
      <w:r w:rsidRPr="00F95AFC">
        <w:rPr>
          <w:rFonts w:ascii="Times New Roman" w:hAnsi="Times New Roman"/>
          <w:sz w:val="24"/>
          <w:szCs w:val="24"/>
        </w:rPr>
        <w:t>đó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lạm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diễn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57810" w:rsidRPr="00F95AFC" w14:paraId="4C69CF35" w14:textId="77777777" w:rsidTr="00857810">
        <w:trPr>
          <w:trHeight w:val="471"/>
          <w:jc w:val="center"/>
        </w:trPr>
        <w:tc>
          <w:tcPr>
            <w:tcW w:w="8526" w:type="dxa"/>
            <w:tcBorders>
              <w:top w:val="nil"/>
              <w:left w:val="nil"/>
              <w:bottom w:val="single" w:sz="4" w:space="0" w:color="auto"/>
              <w:right w:val="nil"/>
            </w:tcBorders>
            <w:hideMark/>
          </w:tcPr>
          <w:p w14:paraId="345F7074" w14:textId="77777777" w:rsidR="00857810" w:rsidRPr="00F95AFC" w:rsidRDefault="00857810" w:rsidP="00F95AFC">
            <w:pPr>
              <w:tabs>
                <w:tab w:val="left" w:pos="426"/>
              </w:tabs>
              <w:spacing w:line="360" w:lineRule="auto"/>
              <w:jc w:val="both"/>
              <w:rPr>
                <w:rFonts w:ascii="Times New Roman" w:hAnsi="Times New Roman"/>
                <w:b/>
                <w:sz w:val="24"/>
                <w:szCs w:val="24"/>
                <w:lang w:val="nl-NL"/>
              </w:rPr>
            </w:pPr>
            <w:r w:rsidRPr="00F95AFC">
              <w:rPr>
                <w:rFonts w:ascii="Times New Roman" w:hAnsi="Times New Roman"/>
                <w:b/>
                <w:sz w:val="24"/>
                <w:szCs w:val="24"/>
                <w:lang w:val="nl-NL"/>
              </w:rPr>
              <w:t>Hình 2: Lạm phát Việt Nam trong 12 tháng gần nhất</w:t>
            </w:r>
          </w:p>
        </w:tc>
      </w:tr>
      <w:tr w:rsidR="00857810" w:rsidRPr="00F95AFC" w14:paraId="15DD4DF0" w14:textId="77777777" w:rsidTr="00857810">
        <w:trPr>
          <w:trHeight w:val="4112"/>
          <w:jc w:val="center"/>
        </w:trPr>
        <w:tc>
          <w:tcPr>
            <w:tcW w:w="8526" w:type="dxa"/>
            <w:tcBorders>
              <w:top w:val="single" w:sz="4" w:space="0" w:color="auto"/>
              <w:left w:val="nil"/>
              <w:bottom w:val="single" w:sz="4" w:space="0" w:color="auto"/>
              <w:right w:val="nil"/>
            </w:tcBorders>
            <w:hideMark/>
          </w:tcPr>
          <w:p w14:paraId="123EFF85" w14:textId="3AD5B1BF" w:rsidR="00857810" w:rsidRPr="00F95AFC" w:rsidRDefault="00857810" w:rsidP="00F95AFC">
            <w:pPr>
              <w:tabs>
                <w:tab w:val="left" w:pos="426"/>
              </w:tabs>
              <w:spacing w:line="360" w:lineRule="auto"/>
              <w:jc w:val="both"/>
              <w:rPr>
                <w:rFonts w:ascii="Times New Roman" w:hAnsi="Times New Roman"/>
                <w:bCs/>
                <w:sz w:val="24"/>
                <w:szCs w:val="24"/>
                <w:lang w:val="nl-NL"/>
              </w:rPr>
            </w:pPr>
            <w:r w:rsidRPr="00F95AFC">
              <w:rPr>
                <w:rFonts w:ascii="Times New Roman" w:hAnsi="Times New Roman"/>
                <w:noProof/>
                <w:sz w:val="24"/>
                <w:szCs w:val="24"/>
              </w:rPr>
              <w:drawing>
                <wp:inline distT="0" distB="0" distL="0" distR="0" wp14:anchorId="6E83BE9C" wp14:editId="21DAD4B3">
                  <wp:extent cx="6229350" cy="2409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9350" cy="2409825"/>
                          </a:xfrm>
                          <a:prstGeom prst="rect">
                            <a:avLst/>
                          </a:prstGeom>
                          <a:noFill/>
                          <a:ln>
                            <a:noFill/>
                          </a:ln>
                        </pic:spPr>
                      </pic:pic>
                    </a:graphicData>
                  </a:graphic>
                </wp:inline>
              </w:drawing>
            </w:r>
          </w:p>
        </w:tc>
      </w:tr>
      <w:tr w:rsidR="00857810" w:rsidRPr="00F95AFC" w14:paraId="345CE5EC" w14:textId="77777777" w:rsidTr="00857810">
        <w:trPr>
          <w:trHeight w:val="443"/>
          <w:jc w:val="center"/>
        </w:trPr>
        <w:tc>
          <w:tcPr>
            <w:tcW w:w="8526" w:type="dxa"/>
            <w:tcBorders>
              <w:top w:val="single" w:sz="4" w:space="0" w:color="auto"/>
              <w:left w:val="nil"/>
              <w:bottom w:val="nil"/>
              <w:right w:val="nil"/>
            </w:tcBorders>
            <w:hideMark/>
          </w:tcPr>
          <w:p w14:paraId="6603A1A3" w14:textId="77777777" w:rsidR="00857810" w:rsidRPr="00F95AFC" w:rsidRDefault="00857810" w:rsidP="00F95AFC">
            <w:pPr>
              <w:tabs>
                <w:tab w:val="left" w:pos="426"/>
              </w:tabs>
              <w:spacing w:line="360" w:lineRule="auto"/>
              <w:jc w:val="both"/>
              <w:rPr>
                <w:rFonts w:ascii="Times New Roman" w:hAnsi="Times New Roman"/>
                <w:bCs/>
                <w:i/>
                <w:iCs/>
                <w:sz w:val="24"/>
                <w:szCs w:val="24"/>
                <w:lang w:val="nl-NL"/>
              </w:rPr>
            </w:pPr>
            <w:r w:rsidRPr="00F95AFC">
              <w:rPr>
                <w:rFonts w:ascii="Times New Roman" w:hAnsi="Times New Roman"/>
                <w:bCs/>
                <w:i/>
                <w:iCs/>
                <w:sz w:val="24"/>
                <w:szCs w:val="24"/>
                <w:lang w:val="nl-NL"/>
              </w:rPr>
              <w:t>Nguồn: Tổng Cục Thống Kê</w:t>
            </w:r>
          </w:p>
        </w:tc>
      </w:tr>
    </w:tbl>
    <w:p w14:paraId="6AED644D" w14:textId="77777777" w:rsidR="00857810" w:rsidRPr="00F95AFC" w:rsidRDefault="00857810" w:rsidP="00F95AFC">
      <w:pPr>
        <w:shd w:val="clear" w:color="auto" w:fill="FFFFFF"/>
        <w:tabs>
          <w:tab w:val="left" w:pos="426"/>
        </w:tabs>
        <w:spacing w:line="360" w:lineRule="auto"/>
        <w:jc w:val="both"/>
        <w:rPr>
          <w:rFonts w:ascii="Times New Roman" w:eastAsia="Calibri" w:hAnsi="Times New Roman"/>
          <w:b/>
          <w:sz w:val="24"/>
          <w:szCs w:val="24"/>
          <w:lang w:val="nl-NL"/>
        </w:rPr>
      </w:pPr>
      <w:r w:rsidRPr="00F95AFC">
        <w:rPr>
          <w:rFonts w:ascii="Times New Roman" w:hAnsi="Times New Roman"/>
          <w:b/>
          <w:bCs/>
          <w:sz w:val="24"/>
          <w:szCs w:val="24"/>
          <w:lang w:val="nl-NL"/>
        </w:rPr>
        <w:t>Hoạt động xuất nhập khẩu hàng hoá</w:t>
      </w:r>
    </w:p>
    <w:p w14:paraId="302DC872" w14:textId="77777777" w:rsidR="00857810" w:rsidRPr="00F95AFC" w:rsidRDefault="00857810" w:rsidP="00F95AFC">
      <w:pPr>
        <w:shd w:val="clear" w:color="auto" w:fill="FFFFFF"/>
        <w:tabs>
          <w:tab w:val="left" w:pos="426"/>
        </w:tabs>
        <w:spacing w:line="360" w:lineRule="auto"/>
        <w:jc w:val="both"/>
        <w:rPr>
          <w:rFonts w:ascii="Times New Roman" w:hAnsi="Times New Roman"/>
          <w:sz w:val="24"/>
          <w:szCs w:val="24"/>
          <w:lang w:val="nl-NL"/>
        </w:rPr>
      </w:pPr>
      <w:r w:rsidRPr="00F95AFC">
        <w:rPr>
          <w:rFonts w:ascii="Times New Roman" w:hAnsi="Times New Roman"/>
          <w:sz w:val="24"/>
          <w:szCs w:val="24"/>
          <w:lang w:val="nl-NL"/>
        </w:rPr>
        <w:t>Tính chung 6 tháng đầu năm 2023, kim ngạch xuất khẩu dịch vụ ước đạt 8,8 tỷ USD, tăng 99,5% so với cùng kỳ năm 2022; kim ngạch nhập khẩu dịch vụ ước đạt 12,9 tỷ USD (trong đó đã tính trong phí dịch vụ vận tải và bảo hiểm của hàng hóa nhập khẩu là 3,8 tỷ USD), giảm 0,8% so với cùng kỳ năm trước. Nhập siêu dịch vụ 6 tháng đầu năm 2023 là 4,1 tỷ USD.</w:t>
      </w:r>
    </w:p>
    <w:p w14:paraId="676F9B99" w14:textId="77777777" w:rsidR="00857810" w:rsidRPr="00F95AFC" w:rsidRDefault="00857810" w:rsidP="00F95AFC">
      <w:pPr>
        <w:shd w:val="clear" w:color="auto" w:fill="FFFFFF"/>
        <w:tabs>
          <w:tab w:val="left" w:pos="426"/>
        </w:tabs>
        <w:spacing w:line="360" w:lineRule="auto"/>
        <w:jc w:val="both"/>
        <w:rPr>
          <w:rFonts w:ascii="Times New Roman" w:eastAsia="Calibri" w:hAnsi="Times New Roman"/>
          <w:sz w:val="24"/>
          <w:szCs w:val="24"/>
          <w:lang w:val="nl-NL"/>
        </w:rPr>
      </w:pPr>
      <w:r w:rsidRPr="00F95AFC">
        <w:rPr>
          <w:rFonts w:ascii="Times New Roman" w:hAnsi="Times New Roman"/>
          <w:sz w:val="24"/>
          <w:szCs w:val="24"/>
          <w:lang w:val="nl-NL"/>
        </w:rPr>
        <w:t>Tính chung 6 tháng đầu năm 2023, kim ngạch nhập khẩu hàng hóa ước đạt 152,2 tỷ USD, giảm 18,2% so với cùng kỳ năm trước. Trong 6 tháng đầu năm 2023 có 28 mặt hàng nhập khẩu đạt trị giá trên 1 tỷ USD, chiếm tỷ trọng 84,4% tổng kim ngạch nhập khẩu (có 2 mặt hàng nhập khẩu trên 10 tỷ USD, chiếm 38,1%).</w:t>
      </w:r>
    </w:p>
    <w:p w14:paraId="3FB122C9" w14:textId="77777777" w:rsidR="00857810" w:rsidRPr="00F95AFC" w:rsidRDefault="00857810" w:rsidP="00F95AFC">
      <w:pPr>
        <w:shd w:val="clear" w:color="auto" w:fill="FFFFFF"/>
        <w:tabs>
          <w:tab w:val="left" w:pos="426"/>
        </w:tabs>
        <w:spacing w:line="360" w:lineRule="auto"/>
        <w:jc w:val="both"/>
        <w:rPr>
          <w:rFonts w:ascii="Times New Roman" w:hAnsi="Times New Roman"/>
          <w:sz w:val="24"/>
          <w:szCs w:val="24"/>
          <w:lang w:val="nl-NL"/>
        </w:rPr>
      </w:pPr>
      <w:r w:rsidRPr="00F95AFC">
        <w:rPr>
          <w:rFonts w:ascii="Times New Roman" w:hAnsi="Times New Roman"/>
          <w:sz w:val="24"/>
          <w:szCs w:val="24"/>
          <w:lang w:val="nl-NL"/>
        </w:rPr>
        <w:lastRenderedPageBreak/>
        <w:t>Về thị trường xuất, nhập khẩu hàng hóa 6 tháng đầu năm 2023, Hoa Kỳ là thị trường xuất khẩu lớn nhất của Việt Nam với kim ngạch ước đạt 44,2 tỷ USD. Trung Quốc là thị trường nhập khẩu lớn nhất của Việt Nam với kim ngạch ước đạt 50,1 tỷ USD.</w:t>
      </w:r>
    </w:p>
    <w:p w14:paraId="09904992" w14:textId="77777777" w:rsidR="00857810" w:rsidRPr="00F95AFC" w:rsidRDefault="00857810" w:rsidP="00F95AFC">
      <w:pPr>
        <w:shd w:val="clear" w:color="auto" w:fill="FFFFFF"/>
        <w:tabs>
          <w:tab w:val="left" w:pos="426"/>
        </w:tabs>
        <w:spacing w:line="360" w:lineRule="auto"/>
        <w:jc w:val="both"/>
        <w:rPr>
          <w:rFonts w:ascii="Times New Roman" w:hAnsi="Times New Roman"/>
          <w:sz w:val="24"/>
          <w:szCs w:val="24"/>
          <w:lang w:val="nl-NL"/>
        </w:rPr>
      </w:pPr>
      <w:r w:rsidRPr="00F95AFC">
        <w:rPr>
          <w:rFonts w:ascii="Times New Roman" w:hAnsi="Times New Roman"/>
          <w:sz w:val="24"/>
          <w:szCs w:val="24"/>
          <w:lang w:val="nl-NL"/>
        </w:rPr>
        <w:t>Trong 6 tháng đầu năm 2023, xuất siêu sang Hoa Kỳ ước đạt 37,2 tỷ USD giảm 24,9% so với cùng kỳ năm trước; xuất siêu sang EU ước đạt 14,5 tỷ USD, giảm 9,8%; xuất siêu sang Nhật Bản 1,2 tỷ USD (cùng kỳ năm trước nhập siêu 0,7 tỷ USD); nhập siêu từ Trung Quốc 24,5 tỷ USD, giảm 30,9%; nhập siêu từ Hàn Quốc 13,4 tỷ USD, giảm 34,8%; nhập siêu từ ASEAN 4 tỷ USD, giảm 39,1%.</w:t>
      </w:r>
    </w:p>
    <w:p w14:paraId="7F6323A0" w14:textId="77777777" w:rsidR="00857810" w:rsidRPr="00F95AFC" w:rsidRDefault="00857810" w:rsidP="00F95AFC">
      <w:pPr>
        <w:shd w:val="clear" w:color="auto" w:fill="FFFFFF"/>
        <w:tabs>
          <w:tab w:val="left" w:pos="426"/>
        </w:tabs>
        <w:spacing w:line="360" w:lineRule="auto"/>
        <w:jc w:val="both"/>
        <w:rPr>
          <w:rFonts w:ascii="Times New Roman" w:hAnsi="Times New Roman"/>
          <w:sz w:val="24"/>
          <w:szCs w:val="24"/>
          <w:lang w:val="nl-NL"/>
        </w:rPr>
      </w:pPr>
      <w:r w:rsidRPr="00F95AFC">
        <w:rPr>
          <w:rFonts w:ascii="Times New Roman" w:hAnsi="Times New Roman"/>
          <w:sz w:val="24"/>
          <w:szCs w:val="24"/>
          <w:lang w:val="nl-NL"/>
        </w:rPr>
        <w:t>Tính chung 6 tháng đầu năm 2023, cán cân thương mại hàng hóa ước tính xuất siêu 12,25 tỷ USD (cùng kỳ năm trước xuất siêu 1,2 tỷ USD). Trong đó, khu vực kinh tế trong nước nhập siêu 9,81 tỷ USD; khu vực có vốn đầu tư nước ngoài (kể cả dầu thô) xuất siêu 22,06 tỷ USD.</w:t>
      </w:r>
    </w:p>
    <w:p w14:paraId="195ABD2B" w14:textId="77777777" w:rsidR="00857810" w:rsidRPr="00F95AFC" w:rsidRDefault="00857810" w:rsidP="00F95AFC">
      <w:pPr>
        <w:shd w:val="clear" w:color="auto" w:fill="FFFFFF"/>
        <w:tabs>
          <w:tab w:val="left" w:pos="426"/>
        </w:tabs>
        <w:spacing w:line="360" w:lineRule="auto"/>
        <w:jc w:val="both"/>
        <w:rPr>
          <w:rFonts w:ascii="Times New Roman" w:hAnsi="Times New Roman"/>
          <w:b/>
          <w:sz w:val="24"/>
          <w:szCs w:val="24"/>
          <w:lang w:val="nl-NL"/>
        </w:rPr>
      </w:pPr>
      <w:r w:rsidRPr="00F95AFC">
        <w:rPr>
          <w:rFonts w:ascii="Times New Roman" w:hAnsi="Times New Roman"/>
          <w:b/>
          <w:bCs/>
          <w:sz w:val="24"/>
          <w:szCs w:val="24"/>
          <w:lang w:val="nl-NL"/>
        </w:rPr>
        <w:t>Hoạt động đầu tư</w:t>
      </w:r>
    </w:p>
    <w:p w14:paraId="4917E0D4" w14:textId="77777777" w:rsidR="00857810" w:rsidRPr="00F95AFC" w:rsidRDefault="00857810" w:rsidP="00F95AFC">
      <w:pPr>
        <w:shd w:val="clear" w:color="auto" w:fill="FFFFFF"/>
        <w:tabs>
          <w:tab w:val="left" w:pos="426"/>
        </w:tabs>
        <w:spacing w:line="360" w:lineRule="auto"/>
        <w:jc w:val="both"/>
        <w:rPr>
          <w:rFonts w:ascii="Times New Roman" w:hAnsi="Times New Roman"/>
          <w:sz w:val="24"/>
          <w:szCs w:val="24"/>
          <w:lang w:val="nl-NL"/>
        </w:rPr>
      </w:pPr>
      <w:r w:rsidRPr="00F95AFC">
        <w:rPr>
          <w:rFonts w:ascii="Times New Roman" w:hAnsi="Times New Roman"/>
          <w:sz w:val="24"/>
          <w:szCs w:val="24"/>
          <w:lang w:val="nl-NL"/>
        </w:rPr>
        <w:t>Ước tính 6 tháng đầu năm 2023, vốn đầu tư thực hiện toàn xã hội theo giá hiện hành ước đạt 1.357,7 nghìn tỷ đồng, tăng 4,7% so với cùng kỳ năm trước. Vốn đầu tư thực hiện của khu vực nhà nước tăng 12,6% cho thấy sự quyết tâm nỗ lực của Chính phủ, bộ ngành và địa phương trong việc quyết liệt đẩy mạnh thực hiện nguồn vốn đầu tư công nhằm tạo động lực thúc đẩy tăng trưởng kinh tế cả trong ngắn hạn và dài hạn.</w:t>
      </w:r>
    </w:p>
    <w:p w14:paraId="3419066C" w14:textId="77777777" w:rsidR="00857810" w:rsidRPr="00F95AFC" w:rsidRDefault="00857810" w:rsidP="00F95AFC">
      <w:pPr>
        <w:shd w:val="clear" w:color="auto" w:fill="FFFFFF"/>
        <w:tabs>
          <w:tab w:val="left" w:pos="360"/>
        </w:tabs>
        <w:spacing w:line="360" w:lineRule="auto"/>
        <w:jc w:val="both"/>
        <w:rPr>
          <w:rFonts w:ascii="Times New Roman" w:hAnsi="Times New Roman"/>
          <w:sz w:val="24"/>
          <w:szCs w:val="24"/>
          <w:lang w:val="nl-NL"/>
        </w:rPr>
      </w:pPr>
      <w:r w:rsidRPr="00F95AFC">
        <w:rPr>
          <w:rFonts w:ascii="Times New Roman" w:hAnsi="Times New Roman"/>
          <w:sz w:val="24"/>
          <w:szCs w:val="24"/>
          <w:lang w:val="nl-NL"/>
        </w:rPr>
        <w:t>Tổng vốn đầu tư nước ngoài đăng ký vào Việt Nam tính đến ngày 20/6/2023 bao gồm vốn đăng ký cấp mới, vốn đăng ký điều chỉnh và giá trị góp vốn, mua cổ phần của nhà đầu tư nước ngoài đạt 13,4 tỷ USD, giảm 4,3% so với cùng kỳ năm trước. Vốn đầu tư trực tiếp nước ngoài thực hiện tại Việt Nam 6 tháng đầu năm 2023 ước đạt 10,02 tỷ USD, tăng 0,5% so với cùng kỳ năm trước.</w:t>
      </w:r>
    </w:p>
    <w:p w14:paraId="3F183C2B" w14:textId="77777777" w:rsidR="00857810" w:rsidRPr="00F95AFC" w:rsidRDefault="00857810" w:rsidP="00F95AFC">
      <w:pPr>
        <w:shd w:val="clear" w:color="auto" w:fill="FFFFFF"/>
        <w:spacing w:line="360" w:lineRule="auto"/>
        <w:jc w:val="both"/>
        <w:rPr>
          <w:rFonts w:ascii="Times New Roman" w:hAnsi="Times New Roman"/>
          <w:b/>
          <w:sz w:val="24"/>
          <w:szCs w:val="24"/>
          <w:lang w:val="nl-NL"/>
        </w:rPr>
      </w:pPr>
      <w:r w:rsidRPr="00F95AFC">
        <w:rPr>
          <w:rFonts w:ascii="Times New Roman" w:hAnsi="Times New Roman"/>
          <w:b/>
          <w:sz w:val="24"/>
          <w:szCs w:val="24"/>
          <w:lang w:val="nl-NL"/>
        </w:rPr>
        <w:t>Thị trường chứng khoán:</w:t>
      </w:r>
      <w:r w:rsidRPr="00F95AFC">
        <w:rPr>
          <w:rFonts w:ascii="Times New Roman" w:hAnsi="Times New Roman"/>
          <w:noProof/>
          <w:sz w:val="24"/>
          <w:szCs w:val="24"/>
          <w:lang w:val="nl-NL"/>
        </w:rPr>
        <w:t xml:space="preserve"> </w:t>
      </w:r>
    </w:p>
    <w:p w14:paraId="1FC91CC8" w14:textId="77777777" w:rsidR="00857810" w:rsidRPr="00F95AFC" w:rsidRDefault="00857810" w:rsidP="00F95AFC">
      <w:pPr>
        <w:shd w:val="clear" w:color="auto" w:fill="FFFFFF"/>
        <w:spacing w:line="360" w:lineRule="auto"/>
        <w:jc w:val="both"/>
        <w:rPr>
          <w:rFonts w:ascii="Times New Roman" w:hAnsi="Times New Roman"/>
          <w:bCs/>
          <w:sz w:val="24"/>
          <w:szCs w:val="24"/>
          <w:lang w:val="nl-NL"/>
        </w:rPr>
      </w:pPr>
      <w:r w:rsidRPr="00F95AFC">
        <w:rPr>
          <w:rFonts w:ascii="Times New Roman" w:hAnsi="Times New Roman"/>
          <w:bCs/>
          <w:sz w:val="24"/>
          <w:szCs w:val="24"/>
          <w:lang w:val="nl-NL"/>
        </w:rPr>
        <w:t xml:space="preserve">Thị trường chứng khoán Quý 2/2023 có diễn biến lên xuống liên tục với các nhịp tăng giảm ngắn đan xen, VNIndex đóng cửa tăng 5.2% so với cuối Quý 1/2023. Kết thúc nửa đầu năm 2023, VNIndex đóng cửa với mức tăng 11.2% so với cùng kỳ, trong khi giá trị giao dịch giảm 44.6% so với cùng kỳ. Thị trường có biến động tương quan chặt chẽ với diễn biến mặt bằng lãi suất tiền gửi của nhóm ngân hàng quốc doanh, và được hỗ trợ bởi kỳ vọng xu hướng hạ lãi suất tiếp diễn trong thời gian tới. </w:t>
      </w:r>
    </w:p>
    <w:p w14:paraId="0161F25C" w14:textId="77777777" w:rsidR="00857810" w:rsidRPr="00F95AFC" w:rsidRDefault="00857810" w:rsidP="00F95AFC">
      <w:pPr>
        <w:shd w:val="clear" w:color="auto" w:fill="FFFFFF"/>
        <w:tabs>
          <w:tab w:val="left" w:pos="426"/>
        </w:tabs>
        <w:spacing w:line="360" w:lineRule="auto"/>
        <w:ind w:left="142" w:hanging="142"/>
        <w:jc w:val="both"/>
        <w:rPr>
          <w:rFonts w:ascii="Times New Roman" w:hAnsi="Times New Roman"/>
          <w:b/>
          <w:sz w:val="24"/>
          <w:szCs w:val="24"/>
          <w:lang w:val="nl-NL"/>
        </w:rPr>
      </w:pPr>
      <w:r w:rsidRPr="00F95AFC">
        <w:rPr>
          <w:rFonts w:ascii="Times New Roman" w:hAnsi="Times New Roman"/>
          <w:b/>
          <w:sz w:val="24"/>
          <w:szCs w:val="24"/>
          <w:lang w:val="nl-NL"/>
        </w:rPr>
        <w:t>Thị trường trái phiếu</w:t>
      </w:r>
    </w:p>
    <w:p w14:paraId="259B74C3" w14:textId="77777777" w:rsidR="00857810" w:rsidRPr="00F95AFC" w:rsidRDefault="00857810" w:rsidP="00F95AFC">
      <w:pPr>
        <w:shd w:val="clear" w:color="auto" w:fill="FFFFFF"/>
        <w:tabs>
          <w:tab w:val="left" w:pos="540"/>
        </w:tabs>
        <w:spacing w:line="360" w:lineRule="auto"/>
        <w:jc w:val="both"/>
        <w:rPr>
          <w:rFonts w:ascii="Times New Roman" w:hAnsi="Times New Roman"/>
          <w:bCs/>
          <w:sz w:val="24"/>
          <w:szCs w:val="24"/>
          <w:lang w:val="nl-NL"/>
        </w:rPr>
      </w:pPr>
      <w:r w:rsidRPr="00F95AFC">
        <w:rPr>
          <w:rFonts w:ascii="Times New Roman" w:hAnsi="Times New Roman"/>
          <w:bCs/>
          <w:sz w:val="24"/>
          <w:szCs w:val="24"/>
          <w:lang w:val="nl-NL"/>
        </w:rPr>
        <w:t>Tháng đầu năm, Kho bạc phát hành 179,892 tỷ đồng, hoàn thành 44.97% kế hoạch năm 2023. Tốc độ phát hành đã chậm lại trong Quý 2, tuy nhiên tổng khối lượng phát hành trong 6 tháng đầu năm vẫn ở mức khá tốt. Tăng trưởng đầu tư công có tín hiệu tích cực. Do đó, áp lực phát hành trong thời gian tới của Kho bạc Nhà nước mặc dù không quá lớn nhưng có thể vẫn sẽ tăng nếu đầu tư công có bứt phá. Dự báo, thời gian tới Kho bạc Nhà nước sẽ tiếp tục cân đối khối lượng phát hành phù hợp với khả năng hấp thụ của thị trường với mức trung bình quanh 5,000 – 6,000 tỷ đồng mỗi phiên, có thể tổ chức phiên phát hành bổ sung nếu thị trường có nhu cầu.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6"/>
      </w:tblGrid>
      <w:tr w:rsidR="00857810" w:rsidRPr="00F95AFC" w14:paraId="0C4CB6BD" w14:textId="77777777" w:rsidTr="00857810">
        <w:trPr>
          <w:trHeight w:val="471"/>
          <w:jc w:val="center"/>
        </w:trPr>
        <w:tc>
          <w:tcPr>
            <w:tcW w:w="8251" w:type="dxa"/>
            <w:tcBorders>
              <w:top w:val="nil"/>
              <w:left w:val="nil"/>
              <w:bottom w:val="single" w:sz="4" w:space="0" w:color="auto"/>
              <w:right w:val="nil"/>
            </w:tcBorders>
            <w:hideMark/>
          </w:tcPr>
          <w:p w14:paraId="57DB1F4D" w14:textId="77777777" w:rsidR="00857810" w:rsidRPr="00F95AFC" w:rsidRDefault="00857810" w:rsidP="00F95AFC">
            <w:pPr>
              <w:tabs>
                <w:tab w:val="left" w:pos="426"/>
              </w:tabs>
              <w:spacing w:line="360" w:lineRule="auto"/>
              <w:jc w:val="both"/>
              <w:rPr>
                <w:rFonts w:ascii="Times New Roman" w:hAnsi="Times New Roman"/>
                <w:b/>
                <w:sz w:val="24"/>
                <w:szCs w:val="24"/>
                <w:lang w:val="nl-NL"/>
              </w:rPr>
            </w:pPr>
            <w:r w:rsidRPr="00F95AFC">
              <w:rPr>
                <w:rFonts w:ascii="Times New Roman" w:hAnsi="Times New Roman"/>
                <w:b/>
                <w:sz w:val="24"/>
                <w:szCs w:val="24"/>
                <w:lang w:val="nl-NL"/>
              </w:rPr>
              <w:lastRenderedPageBreak/>
              <w:t>Hình 2: Đường cong lợi suất</w:t>
            </w:r>
          </w:p>
        </w:tc>
      </w:tr>
      <w:tr w:rsidR="00857810" w:rsidRPr="00F95AFC" w14:paraId="23CC8C05" w14:textId="77777777" w:rsidTr="00857810">
        <w:trPr>
          <w:trHeight w:val="4220"/>
          <w:jc w:val="center"/>
        </w:trPr>
        <w:tc>
          <w:tcPr>
            <w:tcW w:w="8251" w:type="dxa"/>
            <w:tcBorders>
              <w:top w:val="single" w:sz="4" w:space="0" w:color="auto"/>
              <w:left w:val="nil"/>
              <w:bottom w:val="single" w:sz="4" w:space="0" w:color="auto"/>
              <w:right w:val="nil"/>
            </w:tcBorders>
            <w:hideMark/>
          </w:tcPr>
          <w:p w14:paraId="760B1FB6" w14:textId="19B6FB84" w:rsidR="00857810" w:rsidRPr="00F95AFC" w:rsidRDefault="00857810" w:rsidP="00F95AFC">
            <w:pPr>
              <w:tabs>
                <w:tab w:val="left" w:pos="426"/>
              </w:tabs>
              <w:spacing w:line="360" w:lineRule="auto"/>
              <w:jc w:val="both"/>
              <w:rPr>
                <w:rFonts w:ascii="Times New Roman" w:hAnsi="Times New Roman"/>
                <w:bCs/>
                <w:sz w:val="24"/>
                <w:szCs w:val="24"/>
                <w:lang w:val="nl-NL"/>
              </w:rPr>
            </w:pPr>
            <w:r w:rsidRPr="00F95AFC">
              <w:rPr>
                <w:rFonts w:ascii="Times New Roman" w:hAnsi="Times New Roman"/>
                <w:noProof/>
                <w:w w:val="1"/>
                <w:sz w:val="24"/>
                <w:szCs w:val="24"/>
                <w:bdr w:val="none" w:sz="0" w:space="0" w:color="auto" w:frame="1"/>
                <w:shd w:val="clear" w:color="auto" w:fill="000000"/>
                <w:lang w:val="x-none" w:eastAsia="x-none" w:bidi="x-none"/>
              </w:rPr>
              <w:drawing>
                <wp:inline distT="0" distB="0" distL="0" distR="0" wp14:anchorId="4F346899" wp14:editId="5A6CCFC8">
                  <wp:extent cx="539115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562225"/>
                          </a:xfrm>
                          <a:prstGeom prst="rect">
                            <a:avLst/>
                          </a:prstGeom>
                          <a:noFill/>
                          <a:ln>
                            <a:noFill/>
                          </a:ln>
                        </pic:spPr>
                      </pic:pic>
                    </a:graphicData>
                  </a:graphic>
                </wp:inline>
              </w:drawing>
            </w:r>
          </w:p>
        </w:tc>
      </w:tr>
      <w:tr w:rsidR="00857810" w:rsidRPr="00F95AFC" w14:paraId="02E5AC32" w14:textId="77777777" w:rsidTr="00857810">
        <w:trPr>
          <w:trHeight w:val="443"/>
          <w:jc w:val="center"/>
        </w:trPr>
        <w:tc>
          <w:tcPr>
            <w:tcW w:w="8251" w:type="dxa"/>
            <w:tcBorders>
              <w:top w:val="single" w:sz="4" w:space="0" w:color="auto"/>
              <w:left w:val="nil"/>
              <w:bottom w:val="nil"/>
              <w:right w:val="nil"/>
            </w:tcBorders>
            <w:hideMark/>
          </w:tcPr>
          <w:p w14:paraId="79245BE0" w14:textId="77777777" w:rsidR="00857810" w:rsidRPr="00F95AFC" w:rsidRDefault="00857810" w:rsidP="00F95AFC">
            <w:pPr>
              <w:tabs>
                <w:tab w:val="left" w:pos="426"/>
              </w:tabs>
              <w:spacing w:line="360" w:lineRule="auto"/>
              <w:jc w:val="both"/>
              <w:rPr>
                <w:rFonts w:ascii="Times New Roman" w:hAnsi="Times New Roman"/>
                <w:bCs/>
                <w:i/>
                <w:iCs/>
                <w:sz w:val="24"/>
                <w:szCs w:val="24"/>
                <w:lang w:val="nl-NL"/>
              </w:rPr>
            </w:pPr>
            <w:r w:rsidRPr="00F95AFC">
              <w:rPr>
                <w:rFonts w:ascii="Times New Roman" w:hAnsi="Times New Roman"/>
                <w:bCs/>
                <w:i/>
                <w:iCs/>
                <w:sz w:val="24"/>
                <w:szCs w:val="24"/>
                <w:lang w:val="nl-NL"/>
              </w:rPr>
              <w:t>Nguồn: VBMA</w:t>
            </w:r>
          </w:p>
        </w:tc>
      </w:tr>
    </w:tbl>
    <w:p w14:paraId="3A0724E9" w14:textId="710936A5" w:rsidR="003F0046" w:rsidRPr="00F95AFC" w:rsidRDefault="003F0046" w:rsidP="00F95AFC">
      <w:pPr>
        <w:spacing w:before="120" w:line="360" w:lineRule="auto"/>
        <w:jc w:val="both"/>
        <w:rPr>
          <w:rFonts w:ascii="Times New Roman" w:hAnsi="Times New Roman"/>
          <w:b/>
          <w:sz w:val="24"/>
          <w:szCs w:val="24"/>
          <w:lang w:val="nl-NL"/>
        </w:rPr>
      </w:pPr>
      <w:r w:rsidRPr="00F95AFC">
        <w:rPr>
          <w:rFonts w:ascii="Times New Roman" w:hAnsi="Times New Roman"/>
          <w:b/>
          <w:sz w:val="24"/>
          <w:szCs w:val="24"/>
          <w:lang w:val="nl-NL"/>
        </w:rPr>
        <w:t>4. Báo cáo về hoạt động giám sát của Ngân hàng giám sát</w:t>
      </w:r>
      <w:r w:rsidR="00EF7BDA" w:rsidRPr="00F95AFC">
        <w:rPr>
          <w:rFonts w:ascii="Times New Roman" w:hAnsi="Times New Roman"/>
          <w:b/>
          <w:sz w:val="24"/>
          <w:szCs w:val="24"/>
          <w:lang w:val="nl-NL"/>
        </w:rPr>
        <w:t>:</w:t>
      </w:r>
    </w:p>
    <w:bookmarkEnd w:id="15"/>
    <w:p w14:paraId="45DE9C40" w14:textId="77777777" w:rsidR="00585FC9" w:rsidRPr="00F95AFC" w:rsidRDefault="00585FC9" w:rsidP="00F95AFC">
      <w:pPr>
        <w:spacing w:before="120" w:after="120" w:line="360" w:lineRule="auto"/>
        <w:jc w:val="both"/>
        <w:rPr>
          <w:rFonts w:ascii="Times New Roman" w:hAnsi="Times New Roman"/>
          <w:sz w:val="24"/>
          <w:szCs w:val="24"/>
        </w:rPr>
      </w:pPr>
      <w:r w:rsidRPr="00F95AFC">
        <w:rPr>
          <w:rFonts w:ascii="Times New Roman" w:hAnsi="Times New Roman"/>
          <w:sz w:val="24"/>
          <w:szCs w:val="24"/>
        </w:rPr>
        <w:t xml:space="preserve">Ngân </w:t>
      </w:r>
      <w:proofErr w:type="spellStart"/>
      <w:r w:rsidRPr="00F95AFC">
        <w:rPr>
          <w:rFonts w:ascii="Times New Roman" w:hAnsi="Times New Roman"/>
          <w:sz w:val="24"/>
          <w:szCs w:val="24"/>
        </w:rPr>
        <w:t>hàng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ra</w:t>
      </w:r>
      <w:proofErr w:type="spellEnd"/>
      <w:r w:rsidRPr="00F95AFC">
        <w:rPr>
          <w:rFonts w:ascii="Times New Roman" w:hAnsi="Times New Roman"/>
          <w:sz w:val="24"/>
          <w:szCs w:val="24"/>
        </w:rPr>
        <w:t xml:space="preserve"> ý </w:t>
      </w:r>
      <w:proofErr w:type="spellStart"/>
      <w:r w:rsidRPr="00F95AFC">
        <w:rPr>
          <w:rFonts w:ascii="Times New Roman" w:hAnsi="Times New Roman"/>
          <w:sz w:val="24"/>
          <w:szCs w:val="24"/>
        </w:rPr>
        <w:t>kiến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pháp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Pr="00F95AFC">
        <w:rPr>
          <w:rFonts w:ascii="Times New Roman" w:eastAsiaTheme="minorHAnsi" w:hAnsi="Times New Roman"/>
          <w:sz w:val="24"/>
          <w:szCs w:val="24"/>
        </w:rPr>
        <w:t xml:space="preserve">Công ty TNHH </w:t>
      </w:r>
      <w:proofErr w:type="spellStart"/>
      <w:r w:rsidRPr="00F95AFC">
        <w:rPr>
          <w:rFonts w:ascii="Times New Roman" w:eastAsiaTheme="minorHAnsi" w:hAnsi="Times New Roman"/>
          <w:sz w:val="24"/>
          <w:szCs w:val="24"/>
        </w:rPr>
        <w:t>Một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Thành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Viên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Quản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Lý</w:t>
      </w:r>
      <w:proofErr w:type="spellEnd"/>
      <w:r w:rsidRPr="00F95AFC">
        <w:rPr>
          <w:rFonts w:ascii="Times New Roman" w:eastAsiaTheme="minorHAnsi" w:hAnsi="Times New Roman"/>
          <w:sz w:val="24"/>
          <w:szCs w:val="24"/>
        </w:rPr>
        <w:t xml:space="preserve"> Quỹ Chubb Life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trình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hành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w:t>
      </w:r>
      <w:r w:rsidRPr="00F95AFC">
        <w:rPr>
          <w:rFonts w:ascii="Times New Roman" w:eastAsiaTheme="minorHAnsi" w:hAnsi="Times New Roman"/>
          <w:sz w:val="24"/>
          <w:szCs w:val="24"/>
        </w:rPr>
        <w:t xml:space="preserve">Quỹ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Trái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phiếu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Mở</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rộng</w:t>
      </w:r>
      <w:proofErr w:type="spellEnd"/>
      <w:r w:rsidRPr="00F95AFC">
        <w:rPr>
          <w:rFonts w:ascii="Times New Roman" w:eastAsiaTheme="minorHAnsi" w:hAnsi="Times New Roman"/>
          <w:sz w:val="24"/>
          <w:szCs w:val="24"/>
        </w:rPr>
        <w:t xml:space="preserve"> Chubb (“CBPF” </w:t>
      </w:r>
      <w:proofErr w:type="spellStart"/>
      <w:r w:rsidRPr="00F95AFC">
        <w:rPr>
          <w:rFonts w:ascii="Times New Roman" w:eastAsiaTheme="minorHAnsi" w:hAnsi="Times New Roman"/>
          <w:sz w:val="24"/>
          <w:szCs w:val="24"/>
        </w:rPr>
        <w:t>hoặc</w:t>
      </w:r>
      <w:proofErr w:type="spellEnd"/>
      <w:r w:rsidRPr="00F95AFC">
        <w:rPr>
          <w:rFonts w:ascii="Times New Roman" w:eastAsiaTheme="minorHAnsi" w:hAnsi="Times New Roman"/>
          <w:sz w:val="24"/>
          <w:szCs w:val="24"/>
        </w:rPr>
        <w:t xml:space="preserve"> “Quỹ”) </w:t>
      </w:r>
      <w:proofErr w:type="spellStart"/>
      <w:r w:rsidRPr="00F95AFC">
        <w:rPr>
          <w:rFonts w:ascii="Times New Roman" w:hAnsi="Times New Roman"/>
          <w:sz w:val="24"/>
          <w:szCs w:val="24"/>
        </w:rPr>
        <w:t>đối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dung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081D1753" w14:textId="722ED794" w:rsidR="00585FC9" w:rsidRPr="00F95AFC" w:rsidRDefault="00585FC9" w:rsidP="00F95AFC">
      <w:pPr>
        <w:pStyle w:val="BodyText"/>
        <w:numPr>
          <w:ilvl w:val="0"/>
          <w:numId w:val="41"/>
        </w:numPr>
        <w:tabs>
          <w:tab w:val="left" w:pos="360"/>
        </w:tabs>
        <w:spacing w:before="120" w:line="360" w:lineRule="auto"/>
        <w:ind w:left="360"/>
        <w:rPr>
          <w:rFonts w:ascii="Times New Roman" w:eastAsiaTheme="minorHAnsi" w:hAnsi="Times New Roman"/>
          <w:sz w:val="24"/>
          <w:szCs w:val="24"/>
          <w:lang w:val="vi-VN"/>
        </w:rPr>
      </w:pPr>
      <w:r w:rsidRPr="00F95AFC">
        <w:rPr>
          <w:rFonts w:ascii="Times New Roman" w:hAnsi="Times New Roman"/>
          <w:sz w:val="24"/>
          <w:szCs w:val="24"/>
          <w:lang w:val="vi-VN"/>
        </w:rPr>
        <w:t xml:space="preserve">Thuyết minh về việc thay đổi ngân hàng giám sát (nếu có): </w:t>
      </w:r>
      <w:r w:rsidRPr="00F95AFC">
        <w:rPr>
          <w:rFonts w:ascii="Times New Roman" w:eastAsiaTheme="minorHAnsi" w:hAnsi="Times New Roman"/>
          <w:sz w:val="24"/>
          <w:szCs w:val="24"/>
          <w:lang w:val="vi-VN"/>
        </w:rPr>
        <w:t xml:space="preserve">từ ngày 01 tháng 01 năm 2023 đến ngày 30 tháng </w:t>
      </w:r>
      <w:r w:rsidRPr="00F95AFC">
        <w:rPr>
          <w:rFonts w:ascii="Times New Roman" w:eastAsiaTheme="minorHAnsi" w:hAnsi="Times New Roman"/>
          <w:sz w:val="24"/>
          <w:szCs w:val="24"/>
        </w:rPr>
        <w:t>06</w:t>
      </w:r>
      <w:r w:rsidRPr="00F95AFC">
        <w:rPr>
          <w:rFonts w:ascii="Times New Roman" w:eastAsiaTheme="minorHAnsi" w:hAnsi="Times New Roman"/>
          <w:sz w:val="24"/>
          <w:szCs w:val="24"/>
          <w:lang w:val="vi-VN"/>
        </w:rPr>
        <w:t xml:space="preserve"> năm 2023, Quỹ không thay đổi Ngân hàng giám sát.</w:t>
      </w:r>
    </w:p>
    <w:p w14:paraId="5F1476FC" w14:textId="22A3A716" w:rsidR="00585FC9" w:rsidRPr="00F95AFC" w:rsidRDefault="00585FC9" w:rsidP="00F95AFC">
      <w:pPr>
        <w:pStyle w:val="BodyText"/>
        <w:numPr>
          <w:ilvl w:val="0"/>
          <w:numId w:val="41"/>
        </w:numPr>
        <w:tabs>
          <w:tab w:val="left" w:pos="360"/>
        </w:tabs>
        <w:spacing w:before="120" w:line="360" w:lineRule="auto"/>
        <w:ind w:left="360"/>
        <w:rPr>
          <w:rFonts w:ascii="Times New Roman" w:hAnsi="Times New Roman"/>
          <w:sz w:val="24"/>
          <w:szCs w:val="24"/>
          <w:lang w:val="vi-VN"/>
        </w:rPr>
      </w:pPr>
      <w:r w:rsidRPr="00F95AFC">
        <w:rPr>
          <w:rFonts w:ascii="Times New Roman" w:hAnsi="Times New Roman"/>
          <w:sz w:val="24"/>
          <w:szCs w:val="24"/>
          <w:lang w:val="vi-VN"/>
        </w:rPr>
        <w:t>Việc lưu ký tài sản của quỹ: từ ngày 01 tháng 01 năm 2023 đến ngày 30 tháng 06 năm 2023, Quỹ đã thực hiện lưu ký tài sản theo các quy định pháp luật hiện hành.</w:t>
      </w:r>
    </w:p>
    <w:p w14:paraId="2F25855A" w14:textId="4E81DD27" w:rsidR="00585FC9" w:rsidRPr="00F95AFC" w:rsidRDefault="00585FC9" w:rsidP="00F95AFC">
      <w:pPr>
        <w:pStyle w:val="BodyText"/>
        <w:numPr>
          <w:ilvl w:val="0"/>
          <w:numId w:val="41"/>
        </w:numPr>
        <w:tabs>
          <w:tab w:val="left" w:pos="360"/>
        </w:tabs>
        <w:spacing w:before="120" w:line="360" w:lineRule="auto"/>
        <w:ind w:left="360"/>
        <w:rPr>
          <w:rFonts w:ascii="Times New Roman" w:hAnsi="Times New Roman"/>
          <w:sz w:val="24"/>
          <w:szCs w:val="24"/>
          <w:lang w:val="vi-VN"/>
        </w:rPr>
      </w:pPr>
      <w:r w:rsidRPr="00F95AFC">
        <w:rPr>
          <w:rFonts w:ascii="Times New Roman" w:hAnsi="Times New Roman"/>
          <w:sz w:val="24"/>
          <w:szCs w:val="24"/>
          <w:lang w:val="vi-VN"/>
        </w:rPr>
        <w:t>Việc đầu tư tuân thủ các hạn chế về đầu tư, hạn chế về vay theo quy định pháp luật, quy định tại Điều lệ quỹ, Bản cáo bạch;</w:t>
      </w:r>
    </w:p>
    <w:p w14:paraId="4D79A570" w14:textId="77777777" w:rsidR="00585FC9" w:rsidRPr="00F95AFC" w:rsidRDefault="00585FC9" w:rsidP="00F95AFC">
      <w:pPr>
        <w:spacing w:after="160" w:line="360" w:lineRule="auto"/>
        <w:jc w:val="both"/>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quá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trình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giám</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hoạt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và</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các</w:t>
      </w:r>
      <w:proofErr w:type="spellEnd"/>
      <w:r w:rsidRPr="00F95AFC">
        <w:rPr>
          <w:rFonts w:ascii="Times New Roman" w:eastAsiaTheme="minorHAnsi" w:hAnsi="Times New Roman"/>
          <w:sz w:val="24"/>
          <w:szCs w:val="24"/>
        </w:rPr>
        <w:t xml:space="preserve"> giao </w:t>
      </w:r>
      <w:proofErr w:type="spellStart"/>
      <w:r w:rsidRPr="00F95AFC">
        <w:rPr>
          <w:rFonts w:ascii="Times New Roman" w:eastAsiaTheme="minorHAnsi" w:hAnsi="Times New Roman"/>
          <w:sz w:val="24"/>
          <w:szCs w:val="24"/>
        </w:rPr>
        <w:t>dịch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tài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cho</w:t>
      </w:r>
      <w:proofErr w:type="spellEnd"/>
      <w:r w:rsidRPr="00F95AFC">
        <w:rPr>
          <w:rFonts w:ascii="Times New Roman" w:eastAsiaTheme="minorHAnsi" w:hAnsi="Times New Roman"/>
          <w:sz w:val="24"/>
          <w:szCs w:val="24"/>
        </w:rPr>
        <w:t xml:space="preserve"> giai </w:t>
      </w:r>
      <w:proofErr w:type="spellStart"/>
      <w:r w:rsidRPr="00F95AFC">
        <w:rPr>
          <w:rFonts w:ascii="Times New Roman" w:eastAsiaTheme="minorHAnsi" w:hAnsi="Times New Roman"/>
          <w:sz w:val="24"/>
          <w:szCs w:val="24"/>
        </w:rPr>
        <w:t>đoạn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01 </w:t>
      </w:r>
      <w:proofErr w:type="spellStart"/>
      <w:r w:rsidRPr="00F95AFC">
        <w:rPr>
          <w:rFonts w:ascii="Times New Roman" w:eastAsiaTheme="minorHAnsi" w:hAnsi="Times New Roman"/>
          <w:sz w:val="24"/>
          <w:szCs w:val="24"/>
        </w:rPr>
        <w:t>tháng</w:t>
      </w:r>
      <w:proofErr w:type="spellEnd"/>
      <w:r w:rsidRPr="00F95AFC">
        <w:rPr>
          <w:rFonts w:ascii="Times New Roman" w:eastAsiaTheme="minorHAnsi" w:hAnsi="Times New Roman"/>
          <w:sz w:val="24"/>
          <w:szCs w:val="24"/>
        </w:rPr>
        <w:t xml:space="preserve"> 01 </w:t>
      </w:r>
      <w:proofErr w:type="spellStart"/>
      <w:r w:rsidRPr="00F95AFC">
        <w:rPr>
          <w:rFonts w:ascii="Times New Roman" w:eastAsiaTheme="minorHAnsi" w:hAnsi="Times New Roman"/>
          <w:sz w:val="24"/>
          <w:szCs w:val="24"/>
        </w:rPr>
        <w:t>năm</w:t>
      </w:r>
      <w:proofErr w:type="spellEnd"/>
      <w:r w:rsidRPr="00F95AFC">
        <w:rPr>
          <w:rFonts w:ascii="Times New Roman" w:eastAsiaTheme="minorHAnsi" w:hAnsi="Times New Roman"/>
          <w:sz w:val="24"/>
          <w:szCs w:val="24"/>
        </w:rPr>
        <w:t xml:space="preserve"> 2023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 </w:t>
      </w:r>
      <w:proofErr w:type="spellStart"/>
      <w:r w:rsidRPr="00F95AFC">
        <w:rPr>
          <w:rFonts w:ascii="Times New Roman" w:eastAsiaTheme="minorHAnsi" w:hAnsi="Times New Roman"/>
          <w:sz w:val="24"/>
          <w:szCs w:val="24"/>
        </w:rPr>
        <w:t>tháng</w:t>
      </w:r>
      <w:proofErr w:type="spellEnd"/>
      <w:r w:rsidRPr="00F95AFC">
        <w:rPr>
          <w:rFonts w:ascii="Times New Roman" w:eastAsiaTheme="minorHAnsi" w:hAnsi="Times New Roman"/>
          <w:sz w:val="24"/>
          <w:szCs w:val="24"/>
        </w:rPr>
        <w:t xml:space="preserve"> 06 </w:t>
      </w:r>
      <w:proofErr w:type="spellStart"/>
      <w:r w:rsidRPr="00F95AFC">
        <w:rPr>
          <w:rFonts w:ascii="Times New Roman" w:eastAsiaTheme="minorHAnsi" w:hAnsi="Times New Roman"/>
          <w:sz w:val="24"/>
          <w:szCs w:val="24"/>
        </w:rPr>
        <w:t>năm</w:t>
      </w:r>
      <w:proofErr w:type="spellEnd"/>
      <w:r w:rsidRPr="00F95AFC">
        <w:rPr>
          <w:rFonts w:ascii="Times New Roman" w:eastAsiaTheme="minorHAnsi" w:hAnsi="Times New Roman"/>
          <w:sz w:val="24"/>
          <w:szCs w:val="24"/>
        </w:rPr>
        <w:t xml:space="preserve"> 2023, </w:t>
      </w:r>
      <w:proofErr w:type="spellStart"/>
      <w:r w:rsidRPr="00F95AFC">
        <w:rPr>
          <w:rFonts w:ascii="Times New Roman" w:eastAsiaTheme="minorHAnsi" w:hAnsi="Times New Roman"/>
          <w:sz w:val="24"/>
          <w:szCs w:val="24"/>
        </w:rPr>
        <w:t>cơ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cấu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danh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mục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đã </w:t>
      </w:r>
      <w:proofErr w:type="spellStart"/>
      <w:r w:rsidRPr="00F95AFC">
        <w:rPr>
          <w:rFonts w:ascii="Times New Roman" w:eastAsiaTheme="minorHAnsi" w:hAnsi="Times New Roman"/>
          <w:sz w:val="24"/>
          <w:szCs w:val="24"/>
        </w:rPr>
        <w:t>phát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sinh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sai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lệch</w:t>
      </w:r>
      <w:proofErr w:type="spellEnd"/>
      <w:r w:rsidRPr="00F95AFC">
        <w:rPr>
          <w:rFonts w:ascii="Times New Roman" w:eastAsiaTheme="minorHAnsi" w:hAnsi="Times New Roman"/>
          <w:sz w:val="24"/>
          <w:szCs w:val="24"/>
        </w:rPr>
        <w:t xml:space="preserve"> so </w:t>
      </w:r>
      <w:proofErr w:type="spellStart"/>
      <w:r w:rsidRPr="00F95AFC">
        <w:rPr>
          <w:rFonts w:ascii="Times New Roman" w:eastAsiaTheme="minorHAnsi" w:hAnsi="Times New Roman"/>
          <w:sz w:val="24"/>
          <w:szCs w:val="24"/>
        </w:rPr>
        <w:t>với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các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quy</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định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tại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các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văn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pháp</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luật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chứng</w:t>
      </w:r>
      <w:proofErr w:type="spellEnd"/>
      <w:r w:rsidRPr="00F95AFC">
        <w:rPr>
          <w:rFonts w:ascii="Times New Roman" w:eastAsiaTheme="minorHAnsi" w:hAnsi="Times New Roman"/>
          <w:sz w:val="24"/>
          <w:szCs w:val="24"/>
        </w:rPr>
        <w:t xml:space="preserve"> khoán </w:t>
      </w:r>
      <w:proofErr w:type="spellStart"/>
      <w:r w:rsidRPr="00F95AFC">
        <w:rPr>
          <w:rFonts w:ascii="Times New Roman" w:eastAsiaTheme="minorHAnsi" w:hAnsi="Times New Roman"/>
          <w:sz w:val="24"/>
          <w:szCs w:val="24"/>
        </w:rPr>
        <w:t>hiện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hành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về</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mơ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Điều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Bản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cáo</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bạch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và</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văn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pháp</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luật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liên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quan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cụ</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thể</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như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sau</w:t>
      </w:r>
      <w:proofErr w:type="spellEnd"/>
      <w:r w:rsidRPr="00F95AFC">
        <w:rPr>
          <w:rFonts w:ascii="Times New Roman" w:eastAsiaTheme="minorHAnsi" w:hAnsi="Times New Roman"/>
          <w:sz w:val="24"/>
          <w:szCs w:val="24"/>
        </w:rPr>
        <w:t>:</w:t>
      </w:r>
    </w:p>
    <w:p w14:paraId="4ECC8810" w14:textId="77777777" w:rsidR="00585FC9" w:rsidRPr="00F95AFC" w:rsidRDefault="00585FC9" w:rsidP="00F95AFC">
      <w:pPr>
        <w:spacing w:after="160" w:line="360" w:lineRule="auto"/>
        <w:jc w:val="both"/>
        <w:rPr>
          <w:rFonts w:ascii="Times New Roman" w:hAnsi="Times New Roman"/>
          <w:i/>
          <w:iCs/>
          <w:sz w:val="24"/>
          <w:szCs w:val="24"/>
        </w:rPr>
      </w:pPr>
      <w:r w:rsidRPr="00F95AFC">
        <w:rPr>
          <w:rFonts w:ascii="Times New Roman" w:hAnsi="Times New Roman"/>
          <w:i/>
          <w:iCs/>
          <w:sz w:val="24"/>
          <w:szCs w:val="24"/>
        </w:rPr>
        <w:t xml:space="preserve">Theo </w:t>
      </w:r>
      <w:proofErr w:type="spellStart"/>
      <w:r w:rsidRPr="00F95AFC">
        <w:rPr>
          <w:rFonts w:ascii="Times New Roman" w:hAnsi="Times New Roman"/>
          <w:i/>
          <w:iCs/>
          <w:sz w:val="24"/>
          <w:szCs w:val="24"/>
        </w:rPr>
        <w:t>Điểm</w:t>
      </w:r>
      <w:proofErr w:type="spellEnd"/>
      <w:r w:rsidRPr="00F95AFC">
        <w:rPr>
          <w:rFonts w:ascii="Times New Roman" w:hAnsi="Times New Roman"/>
          <w:i/>
          <w:iCs/>
          <w:sz w:val="24"/>
          <w:szCs w:val="24"/>
        </w:rPr>
        <w:t xml:space="preserve"> c, </w:t>
      </w:r>
      <w:proofErr w:type="spellStart"/>
      <w:r w:rsidRPr="00F95AFC">
        <w:rPr>
          <w:rFonts w:ascii="Times New Roman" w:hAnsi="Times New Roman"/>
          <w:i/>
          <w:iCs/>
          <w:sz w:val="24"/>
          <w:szCs w:val="24"/>
        </w:rPr>
        <w:t>Khoản</w:t>
      </w:r>
      <w:proofErr w:type="spellEnd"/>
      <w:r w:rsidRPr="00F95AFC">
        <w:rPr>
          <w:rFonts w:ascii="Times New Roman" w:hAnsi="Times New Roman"/>
          <w:i/>
          <w:iCs/>
          <w:sz w:val="24"/>
          <w:szCs w:val="24"/>
        </w:rPr>
        <w:t xml:space="preserve"> 4, </w:t>
      </w:r>
      <w:proofErr w:type="spellStart"/>
      <w:r w:rsidRPr="00F95AFC">
        <w:rPr>
          <w:rFonts w:ascii="Times New Roman" w:hAnsi="Times New Roman"/>
          <w:i/>
          <w:iCs/>
          <w:sz w:val="24"/>
          <w:szCs w:val="24"/>
        </w:rPr>
        <w:t>Điều</w:t>
      </w:r>
      <w:proofErr w:type="spellEnd"/>
      <w:r w:rsidRPr="00F95AFC">
        <w:rPr>
          <w:rFonts w:ascii="Times New Roman" w:hAnsi="Times New Roman"/>
          <w:i/>
          <w:iCs/>
          <w:sz w:val="24"/>
          <w:szCs w:val="24"/>
        </w:rPr>
        <w:t xml:space="preserve"> 35, Thông </w:t>
      </w:r>
      <w:proofErr w:type="spellStart"/>
      <w:r w:rsidRPr="00F95AFC">
        <w:rPr>
          <w:rFonts w:ascii="Times New Roman" w:hAnsi="Times New Roman"/>
          <w:i/>
          <w:iCs/>
          <w:sz w:val="24"/>
          <w:szCs w:val="24"/>
        </w:rPr>
        <w:t>tư</w:t>
      </w:r>
      <w:proofErr w:type="spellEnd"/>
      <w:r w:rsidRPr="00F95AFC">
        <w:rPr>
          <w:rFonts w:ascii="Times New Roman" w:hAnsi="Times New Roman"/>
          <w:i/>
          <w:iCs/>
          <w:sz w:val="24"/>
          <w:szCs w:val="24"/>
        </w:rPr>
        <w:t xml:space="preserve"> 98/2020/TT-BTC </w:t>
      </w:r>
      <w:proofErr w:type="spellStart"/>
      <w:r w:rsidRPr="00F95AFC">
        <w:rPr>
          <w:rFonts w:ascii="Times New Roman" w:hAnsi="Times New Roman"/>
          <w:i/>
          <w:iCs/>
          <w:sz w:val="24"/>
          <w:szCs w:val="24"/>
        </w:rPr>
        <w:t>ngày</w:t>
      </w:r>
      <w:proofErr w:type="spellEnd"/>
      <w:r w:rsidRPr="00F95AFC">
        <w:rPr>
          <w:rFonts w:ascii="Times New Roman" w:hAnsi="Times New Roman"/>
          <w:i/>
          <w:iCs/>
          <w:sz w:val="24"/>
          <w:szCs w:val="24"/>
        </w:rPr>
        <w:t xml:space="preserve"> 16 </w:t>
      </w:r>
      <w:proofErr w:type="spellStart"/>
      <w:r w:rsidRPr="00F95AFC">
        <w:rPr>
          <w:rFonts w:ascii="Times New Roman" w:hAnsi="Times New Roman"/>
          <w:i/>
          <w:iCs/>
          <w:sz w:val="24"/>
          <w:szCs w:val="24"/>
        </w:rPr>
        <w:t>tháng</w:t>
      </w:r>
      <w:proofErr w:type="spellEnd"/>
      <w:r w:rsidRPr="00F95AFC">
        <w:rPr>
          <w:rFonts w:ascii="Times New Roman" w:hAnsi="Times New Roman"/>
          <w:i/>
          <w:iCs/>
          <w:sz w:val="24"/>
          <w:szCs w:val="24"/>
        </w:rPr>
        <w:t xml:space="preserve"> 11 </w:t>
      </w:r>
      <w:proofErr w:type="spellStart"/>
      <w:r w:rsidRPr="00F95AFC">
        <w:rPr>
          <w:rFonts w:ascii="Times New Roman" w:hAnsi="Times New Roman"/>
          <w:i/>
          <w:iCs/>
          <w:sz w:val="24"/>
          <w:szCs w:val="24"/>
        </w:rPr>
        <w:t>năm</w:t>
      </w:r>
      <w:proofErr w:type="spellEnd"/>
      <w:r w:rsidRPr="00F95AFC">
        <w:rPr>
          <w:rFonts w:ascii="Times New Roman" w:hAnsi="Times New Roman"/>
          <w:i/>
          <w:iCs/>
          <w:sz w:val="24"/>
          <w:szCs w:val="24"/>
        </w:rPr>
        <w:t xml:space="preserve"> 2020 </w:t>
      </w:r>
      <w:proofErr w:type="spellStart"/>
      <w:r w:rsidRPr="00F95AFC">
        <w:rPr>
          <w:rFonts w:ascii="Times New Roman" w:hAnsi="Times New Roman"/>
          <w:i/>
          <w:iCs/>
          <w:sz w:val="24"/>
          <w:szCs w:val="24"/>
        </w:rPr>
        <w:t>hướng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dẫn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hoạt</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động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và</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quản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lý</w:t>
      </w:r>
      <w:proofErr w:type="spellEnd"/>
      <w:r w:rsidRPr="00F95AFC">
        <w:rPr>
          <w:rFonts w:ascii="Times New Roman" w:hAnsi="Times New Roman"/>
          <w:i/>
          <w:iCs/>
          <w:sz w:val="24"/>
          <w:szCs w:val="24"/>
        </w:rPr>
        <w:t xml:space="preserve"> quỹ </w:t>
      </w:r>
      <w:proofErr w:type="spellStart"/>
      <w:r w:rsidRPr="00F95AFC">
        <w:rPr>
          <w:rFonts w:ascii="Times New Roman" w:hAnsi="Times New Roman"/>
          <w:i/>
          <w:iCs/>
          <w:sz w:val="24"/>
          <w:szCs w:val="24"/>
        </w:rPr>
        <w:t>đầu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tư</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chứng</w:t>
      </w:r>
      <w:proofErr w:type="spellEnd"/>
      <w:r w:rsidRPr="00F95AFC">
        <w:rPr>
          <w:rFonts w:ascii="Times New Roman" w:hAnsi="Times New Roman"/>
          <w:i/>
          <w:iCs/>
          <w:sz w:val="24"/>
          <w:szCs w:val="24"/>
        </w:rPr>
        <w:t xml:space="preserve"> khoán (“Thông </w:t>
      </w:r>
      <w:proofErr w:type="spellStart"/>
      <w:r w:rsidRPr="00F95AFC">
        <w:rPr>
          <w:rFonts w:ascii="Times New Roman" w:hAnsi="Times New Roman"/>
          <w:i/>
          <w:iCs/>
          <w:sz w:val="24"/>
          <w:szCs w:val="24"/>
        </w:rPr>
        <w:t>tư</w:t>
      </w:r>
      <w:proofErr w:type="spellEnd"/>
      <w:r w:rsidRPr="00F95AFC">
        <w:rPr>
          <w:rFonts w:ascii="Times New Roman" w:hAnsi="Times New Roman"/>
          <w:i/>
          <w:iCs/>
          <w:sz w:val="24"/>
          <w:szCs w:val="24"/>
        </w:rPr>
        <w:t xml:space="preserve"> 98”) </w:t>
      </w:r>
      <w:proofErr w:type="spellStart"/>
      <w:r w:rsidRPr="00F95AFC">
        <w:rPr>
          <w:rFonts w:ascii="Times New Roman" w:hAnsi="Times New Roman"/>
          <w:i/>
          <w:iCs/>
          <w:sz w:val="24"/>
          <w:szCs w:val="24"/>
        </w:rPr>
        <w:t>và</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Điều</w:t>
      </w:r>
      <w:proofErr w:type="spellEnd"/>
      <w:r w:rsidRPr="00F95AFC">
        <w:rPr>
          <w:rFonts w:ascii="Times New Roman" w:hAnsi="Times New Roman"/>
          <w:i/>
          <w:iCs/>
          <w:sz w:val="24"/>
          <w:szCs w:val="24"/>
        </w:rPr>
        <w:t xml:space="preserve"> 11, </w:t>
      </w:r>
      <w:proofErr w:type="spellStart"/>
      <w:r w:rsidRPr="00F95AFC">
        <w:rPr>
          <w:rFonts w:ascii="Times New Roman" w:hAnsi="Times New Roman"/>
          <w:i/>
          <w:iCs/>
          <w:sz w:val="24"/>
          <w:szCs w:val="24"/>
        </w:rPr>
        <w:t>Điều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lệ</w:t>
      </w:r>
      <w:proofErr w:type="spellEnd"/>
      <w:r w:rsidRPr="00F95AFC">
        <w:rPr>
          <w:rFonts w:ascii="Times New Roman" w:hAnsi="Times New Roman"/>
          <w:i/>
          <w:iCs/>
          <w:sz w:val="24"/>
          <w:szCs w:val="24"/>
        </w:rPr>
        <w:t xml:space="preserve"> Quỹ </w:t>
      </w:r>
      <w:proofErr w:type="spellStart"/>
      <w:r w:rsidRPr="00F95AFC">
        <w:rPr>
          <w:rFonts w:ascii="Times New Roman" w:hAnsi="Times New Roman"/>
          <w:i/>
          <w:iCs/>
          <w:sz w:val="24"/>
          <w:szCs w:val="24"/>
        </w:rPr>
        <w:t>quy</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định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cơ</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cấu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danh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mục</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đầu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tư</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quỹ </w:t>
      </w:r>
      <w:proofErr w:type="spellStart"/>
      <w:r w:rsidRPr="00F95AFC">
        <w:rPr>
          <w:rFonts w:ascii="Times New Roman" w:hAnsi="Times New Roman"/>
          <w:i/>
          <w:iCs/>
          <w:sz w:val="24"/>
          <w:szCs w:val="24"/>
        </w:rPr>
        <w:t>mở</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phải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đảm</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bảo</w:t>
      </w:r>
      <w:proofErr w:type="spellEnd"/>
      <w:r w:rsidRPr="00F95AFC">
        <w:rPr>
          <w:rFonts w:ascii="Times New Roman" w:hAnsi="Times New Roman"/>
          <w:i/>
          <w:iCs/>
          <w:sz w:val="24"/>
          <w:szCs w:val="24"/>
        </w:rPr>
        <w:t>: “</w:t>
      </w:r>
      <w:proofErr w:type="spellStart"/>
      <w:r w:rsidRPr="00F95AFC">
        <w:rPr>
          <w:rFonts w:ascii="Times New Roman" w:hAnsi="Times New Roman"/>
          <w:i/>
          <w:iCs/>
          <w:sz w:val="24"/>
          <w:szCs w:val="24"/>
        </w:rPr>
        <w:t>Không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được</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đầu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tư</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quá</w:t>
      </w:r>
      <w:proofErr w:type="spellEnd"/>
      <w:r w:rsidRPr="00F95AFC">
        <w:rPr>
          <w:rFonts w:ascii="Times New Roman" w:hAnsi="Times New Roman"/>
          <w:i/>
          <w:iCs/>
          <w:sz w:val="24"/>
          <w:szCs w:val="24"/>
        </w:rPr>
        <w:t xml:space="preserve"> 20% </w:t>
      </w:r>
      <w:proofErr w:type="spellStart"/>
      <w:r w:rsidRPr="00F95AFC">
        <w:rPr>
          <w:rFonts w:ascii="Times New Roman" w:hAnsi="Times New Roman"/>
          <w:i/>
          <w:iCs/>
          <w:sz w:val="24"/>
          <w:szCs w:val="24"/>
        </w:rPr>
        <w:t>tổng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giá</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trị</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tài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sản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quỹ </w:t>
      </w:r>
      <w:proofErr w:type="spellStart"/>
      <w:r w:rsidRPr="00F95AFC">
        <w:rPr>
          <w:rFonts w:ascii="Times New Roman" w:hAnsi="Times New Roman"/>
          <w:i/>
          <w:iCs/>
          <w:sz w:val="24"/>
          <w:szCs w:val="24"/>
        </w:rPr>
        <w:t>vào</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chứng</w:t>
      </w:r>
      <w:proofErr w:type="spellEnd"/>
      <w:r w:rsidRPr="00F95AFC">
        <w:rPr>
          <w:rFonts w:ascii="Times New Roman" w:hAnsi="Times New Roman"/>
          <w:i/>
          <w:iCs/>
          <w:sz w:val="24"/>
          <w:szCs w:val="24"/>
        </w:rPr>
        <w:t xml:space="preserve"> khoán </w:t>
      </w:r>
      <w:proofErr w:type="spellStart"/>
      <w:r w:rsidRPr="00F95AFC">
        <w:rPr>
          <w:rFonts w:ascii="Times New Roman" w:hAnsi="Times New Roman"/>
          <w:i/>
          <w:iCs/>
          <w:sz w:val="24"/>
          <w:szCs w:val="24"/>
        </w:rPr>
        <w:t>đang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lưu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hành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tiền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gửi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tại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các</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ngân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hàng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thương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mại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theo</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quy</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định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pháp</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luật</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ngân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hàng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và</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công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cụ</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thị</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trường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tiền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tệ</w:t>
      </w:r>
      <w:proofErr w:type="spellEnd"/>
      <w:r w:rsidRPr="00F95AFC">
        <w:rPr>
          <w:rFonts w:ascii="Times New Roman" w:hAnsi="Times New Roman"/>
          <w:i/>
          <w:iCs/>
          <w:sz w:val="24"/>
          <w:szCs w:val="24"/>
        </w:rPr>
        <w:t xml:space="preserve"> bao </w:t>
      </w:r>
      <w:proofErr w:type="spellStart"/>
      <w:r w:rsidRPr="00F95AFC">
        <w:rPr>
          <w:rFonts w:ascii="Times New Roman" w:hAnsi="Times New Roman"/>
          <w:i/>
          <w:iCs/>
          <w:sz w:val="24"/>
          <w:szCs w:val="24"/>
        </w:rPr>
        <w:t>gồm</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giấy</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tờ</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có</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giá</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công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cụ</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chuyển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nhượng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theo</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quy</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lastRenderedPageBreak/>
        <w:t>định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pháp</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luật</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nếu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có</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một</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tổ</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chức</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phát</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hành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trừ</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công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cụ</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nợ</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Chính </w:t>
      </w:r>
      <w:proofErr w:type="spellStart"/>
      <w:r w:rsidRPr="00F95AFC">
        <w:rPr>
          <w:rFonts w:ascii="Times New Roman" w:hAnsi="Times New Roman"/>
          <w:i/>
          <w:iCs/>
          <w:sz w:val="24"/>
          <w:szCs w:val="24"/>
        </w:rPr>
        <w:t>phủ</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Trường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hợp</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phát</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sinh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sai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lệch</w:t>
      </w:r>
      <w:proofErr w:type="spellEnd"/>
      <w:r w:rsidRPr="00F95AFC">
        <w:rPr>
          <w:rFonts w:ascii="Times New Roman" w:hAnsi="Times New Roman"/>
          <w:i/>
          <w:iCs/>
          <w:sz w:val="24"/>
          <w:szCs w:val="24"/>
        </w:rPr>
        <w:t xml:space="preserve">, Công ty </w:t>
      </w:r>
      <w:proofErr w:type="spellStart"/>
      <w:r w:rsidRPr="00F95AFC">
        <w:rPr>
          <w:rFonts w:ascii="Times New Roman" w:hAnsi="Times New Roman"/>
          <w:i/>
          <w:iCs/>
          <w:sz w:val="24"/>
          <w:szCs w:val="24"/>
        </w:rPr>
        <w:t>Quản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lý</w:t>
      </w:r>
      <w:proofErr w:type="spellEnd"/>
      <w:r w:rsidRPr="00F95AFC">
        <w:rPr>
          <w:rFonts w:ascii="Times New Roman" w:hAnsi="Times New Roman"/>
          <w:i/>
          <w:iCs/>
          <w:sz w:val="24"/>
          <w:szCs w:val="24"/>
        </w:rPr>
        <w:t xml:space="preserve"> Quỹ </w:t>
      </w:r>
      <w:proofErr w:type="spellStart"/>
      <w:r w:rsidRPr="00F95AFC">
        <w:rPr>
          <w:rFonts w:ascii="Times New Roman" w:hAnsi="Times New Roman"/>
          <w:i/>
          <w:iCs/>
          <w:sz w:val="24"/>
          <w:szCs w:val="24"/>
        </w:rPr>
        <w:t>có</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nghĩa</w:t>
      </w:r>
      <w:proofErr w:type="spellEnd"/>
      <w:r w:rsidRPr="00F95AFC">
        <w:rPr>
          <w:rFonts w:ascii="Times New Roman" w:hAnsi="Times New Roman"/>
          <w:i/>
          <w:iCs/>
          <w:sz w:val="24"/>
          <w:szCs w:val="24"/>
        </w:rPr>
        <w:t xml:space="preserve"> vụ </w:t>
      </w:r>
      <w:proofErr w:type="spellStart"/>
      <w:r w:rsidRPr="00F95AFC">
        <w:rPr>
          <w:rFonts w:ascii="Times New Roman" w:hAnsi="Times New Roman"/>
          <w:i/>
          <w:iCs/>
          <w:sz w:val="24"/>
          <w:szCs w:val="24"/>
        </w:rPr>
        <w:t>điều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chỉnh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lại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cơ</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cấu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danh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mục</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đầu</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tư</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của</w:t>
      </w:r>
      <w:proofErr w:type="spellEnd"/>
      <w:r w:rsidRPr="00F95AFC">
        <w:rPr>
          <w:rFonts w:ascii="Times New Roman" w:hAnsi="Times New Roman"/>
          <w:i/>
          <w:iCs/>
          <w:sz w:val="24"/>
          <w:szCs w:val="24"/>
        </w:rPr>
        <w:t xml:space="preserve"> Quỹ </w:t>
      </w:r>
      <w:proofErr w:type="spellStart"/>
      <w:r w:rsidRPr="00F95AFC">
        <w:rPr>
          <w:rFonts w:ascii="Times New Roman" w:hAnsi="Times New Roman"/>
          <w:i/>
          <w:iCs/>
          <w:sz w:val="24"/>
          <w:szCs w:val="24"/>
        </w:rPr>
        <w:t>cho</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phù</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hợp</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với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quy</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định</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trong</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thời</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gian</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cho</w:t>
      </w:r>
      <w:proofErr w:type="spellEnd"/>
      <w:r w:rsidRPr="00F95AFC">
        <w:rPr>
          <w:rFonts w:ascii="Times New Roman" w:hAnsi="Times New Roman"/>
          <w:i/>
          <w:iCs/>
          <w:sz w:val="24"/>
          <w:szCs w:val="24"/>
        </w:rPr>
        <w:t xml:space="preserve"> </w:t>
      </w:r>
      <w:proofErr w:type="spellStart"/>
      <w:r w:rsidRPr="00F95AFC">
        <w:rPr>
          <w:rFonts w:ascii="Times New Roman" w:hAnsi="Times New Roman"/>
          <w:i/>
          <w:iCs/>
          <w:sz w:val="24"/>
          <w:szCs w:val="24"/>
        </w:rPr>
        <w:t>phép</w:t>
      </w:r>
      <w:proofErr w:type="spellEnd"/>
      <w:r w:rsidRPr="00F95AFC">
        <w:rPr>
          <w:rFonts w:ascii="Times New Roman" w:hAnsi="Times New Roman"/>
          <w:i/>
          <w:iCs/>
          <w:sz w:val="24"/>
          <w:szCs w:val="24"/>
        </w:rPr>
        <w:t>.</w:t>
      </w:r>
    </w:p>
    <w:p w14:paraId="178CA781" w14:textId="77777777" w:rsidR="00585FC9" w:rsidRPr="00F95AFC" w:rsidRDefault="00585FC9" w:rsidP="00F95AFC">
      <w:pPr>
        <w:spacing w:after="160" w:line="360" w:lineRule="auto"/>
        <w:jc w:val="both"/>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kỳ</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tỷ</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vào</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một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tổ</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chức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phát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hành</w:t>
      </w:r>
      <w:proofErr w:type="spellEnd"/>
      <w:r w:rsidRPr="00F95AFC">
        <w:rPr>
          <w:rFonts w:ascii="Times New Roman" w:eastAsiaTheme="minorHAnsi" w:hAnsi="Times New Roman"/>
          <w:sz w:val="24"/>
          <w:szCs w:val="24"/>
        </w:rPr>
        <w:t xml:space="preserve"> đã </w:t>
      </w:r>
      <w:proofErr w:type="spellStart"/>
      <w:r w:rsidRPr="00F95AFC">
        <w:rPr>
          <w:rFonts w:ascii="Times New Roman" w:eastAsiaTheme="minorHAnsi" w:hAnsi="Times New Roman"/>
          <w:sz w:val="24"/>
          <w:szCs w:val="24"/>
        </w:rPr>
        <w:t>phát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sinh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sai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lệch</w:t>
      </w:r>
      <w:proofErr w:type="spellEnd"/>
      <w:r w:rsidRPr="00F95AFC">
        <w:rPr>
          <w:rFonts w:ascii="Times New Roman" w:eastAsiaTheme="minorHAnsi" w:hAnsi="Times New Roman"/>
          <w:sz w:val="24"/>
          <w:szCs w:val="24"/>
        </w:rPr>
        <w:t xml:space="preserve"> so </w:t>
      </w:r>
      <w:proofErr w:type="spellStart"/>
      <w:r w:rsidRPr="00F95AFC">
        <w:rPr>
          <w:rFonts w:ascii="Times New Roman" w:eastAsiaTheme="minorHAnsi" w:hAnsi="Times New Roman"/>
          <w:sz w:val="24"/>
          <w:szCs w:val="24"/>
        </w:rPr>
        <w:t>với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mức</w:t>
      </w:r>
      <w:proofErr w:type="spellEnd"/>
      <w:r w:rsidRPr="00F95AFC">
        <w:rPr>
          <w:rFonts w:ascii="Times New Roman" w:eastAsiaTheme="minorHAnsi" w:hAnsi="Times New Roman"/>
          <w:sz w:val="24"/>
          <w:szCs w:val="24"/>
        </w:rPr>
        <w:t xml:space="preserve"> 20% </w:t>
      </w:r>
      <w:proofErr w:type="spellStart"/>
      <w:r w:rsidRPr="00F95AFC">
        <w:rPr>
          <w:rFonts w:ascii="Times New Roman" w:eastAsiaTheme="minorHAnsi" w:hAnsi="Times New Roman"/>
          <w:sz w:val="24"/>
          <w:szCs w:val="24"/>
        </w:rPr>
        <w:t>tổng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giá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trị</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tài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w:t>
      </w:r>
    </w:p>
    <w:p w14:paraId="0A02C39A" w14:textId="77777777" w:rsidR="00585FC9" w:rsidRPr="00F95AFC" w:rsidRDefault="00585FC9" w:rsidP="00F95AFC">
      <w:pPr>
        <w:spacing w:after="160" w:line="360" w:lineRule="auto"/>
        <w:jc w:val="both"/>
        <w:rPr>
          <w:rFonts w:ascii="Times New Roman" w:eastAsiaTheme="minorHAnsi" w:hAnsi="Times New Roman"/>
          <w:sz w:val="24"/>
          <w:szCs w:val="24"/>
        </w:rPr>
      </w:pPr>
      <w:r w:rsidRPr="00F95AFC">
        <w:rPr>
          <w:rFonts w:ascii="Times New Roman" w:eastAsiaTheme="minorHAnsi" w:hAnsi="Times New Roman"/>
          <w:sz w:val="24"/>
          <w:szCs w:val="24"/>
        </w:rPr>
        <w:t xml:space="preserve">Công ty </w:t>
      </w:r>
      <w:proofErr w:type="spellStart"/>
      <w:r w:rsidRPr="00F95AFC">
        <w:rPr>
          <w:rFonts w:ascii="Times New Roman" w:eastAsiaTheme="minorHAnsi" w:hAnsi="Times New Roman"/>
          <w:sz w:val="24"/>
          <w:szCs w:val="24"/>
        </w:rPr>
        <w:t>Quản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lý</w:t>
      </w:r>
      <w:proofErr w:type="spellEnd"/>
      <w:r w:rsidRPr="00F95AFC">
        <w:rPr>
          <w:rFonts w:ascii="Times New Roman" w:eastAsiaTheme="minorHAnsi" w:hAnsi="Times New Roman"/>
          <w:sz w:val="24"/>
          <w:szCs w:val="24"/>
        </w:rPr>
        <w:t xml:space="preserve"> Quỹ đã </w:t>
      </w:r>
      <w:proofErr w:type="spellStart"/>
      <w:r w:rsidRPr="00F95AFC">
        <w:rPr>
          <w:rFonts w:ascii="Times New Roman" w:eastAsiaTheme="minorHAnsi" w:hAnsi="Times New Roman"/>
          <w:sz w:val="24"/>
          <w:szCs w:val="24"/>
        </w:rPr>
        <w:t>thực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hiện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điều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chỉnh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lại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cấu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danh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mục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để</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đáp</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ứng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mức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theo</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quy</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định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trong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gian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cho</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phép</w:t>
      </w:r>
      <w:proofErr w:type="spellEnd"/>
      <w:r w:rsidRPr="00F95AFC">
        <w:rPr>
          <w:rFonts w:ascii="Times New Roman" w:eastAsiaTheme="minorHAnsi" w:hAnsi="Times New Roman"/>
          <w:sz w:val="24"/>
          <w:szCs w:val="24"/>
        </w:rPr>
        <w:t xml:space="preserve">. </w:t>
      </w:r>
    </w:p>
    <w:p w14:paraId="2716A637" w14:textId="77777777" w:rsidR="00585FC9" w:rsidRPr="00F95AFC" w:rsidRDefault="00585FC9" w:rsidP="00F95AFC">
      <w:pPr>
        <w:spacing w:after="160" w:line="360" w:lineRule="auto"/>
        <w:jc w:val="both"/>
        <w:rPr>
          <w:rFonts w:ascii="Times New Roman" w:eastAsiaTheme="minorHAnsi" w:hAnsi="Times New Roman"/>
          <w:sz w:val="24"/>
          <w:szCs w:val="24"/>
        </w:rPr>
      </w:pPr>
      <w:proofErr w:type="spellStart"/>
      <w:r w:rsidRPr="00F95AFC">
        <w:rPr>
          <w:rFonts w:ascii="Times New Roman" w:eastAsiaTheme="minorHAnsi" w:hAnsi="Times New Roman"/>
          <w:sz w:val="24"/>
          <w:szCs w:val="24"/>
        </w:rPr>
        <w:t>Tại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 </w:t>
      </w:r>
      <w:proofErr w:type="spellStart"/>
      <w:r w:rsidRPr="00F95AFC">
        <w:rPr>
          <w:rFonts w:ascii="Times New Roman" w:eastAsiaTheme="minorHAnsi" w:hAnsi="Times New Roman"/>
          <w:sz w:val="24"/>
          <w:szCs w:val="24"/>
        </w:rPr>
        <w:t>tháng</w:t>
      </w:r>
      <w:proofErr w:type="spellEnd"/>
      <w:r w:rsidRPr="00F95AFC">
        <w:rPr>
          <w:rFonts w:ascii="Times New Roman" w:eastAsiaTheme="minorHAnsi" w:hAnsi="Times New Roman"/>
          <w:sz w:val="24"/>
          <w:szCs w:val="24"/>
        </w:rPr>
        <w:t xml:space="preserve"> 06 </w:t>
      </w:r>
      <w:proofErr w:type="spellStart"/>
      <w:r w:rsidRPr="00F95AFC">
        <w:rPr>
          <w:rFonts w:ascii="Times New Roman" w:eastAsiaTheme="minorHAnsi" w:hAnsi="Times New Roman"/>
          <w:sz w:val="24"/>
          <w:szCs w:val="24"/>
        </w:rPr>
        <w:t>năm</w:t>
      </w:r>
      <w:proofErr w:type="spellEnd"/>
      <w:r w:rsidRPr="00F95AFC">
        <w:rPr>
          <w:rFonts w:ascii="Times New Roman" w:eastAsiaTheme="minorHAnsi" w:hAnsi="Times New Roman"/>
          <w:sz w:val="24"/>
          <w:szCs w:val="24"/>
        </w:rPr>
        <w:t xml:space="preserve"> 2023, </w:t>
      </w:r>
      <w:proofErr w:type="spellStart"/>
      <w:r w:rsidRPr="00F95AFC">
        <w:rPr>
          <w:rFonts w:ascii="Times New Roman" w:eastAsiaTheme="minorHAnsi" w:hAnsi="Times New Roman"/>
          <w:sz w:val="24"/>
          <w:szCs w:val="24"/>
        </w:rPr>
        <w:t>cơ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cấu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danh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mục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đầu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đã </w:t>
      </w:r>
      <w:proofErr w:type="spellStart"/>
      <w:r w:rsidRPr="00F95AFC">
        <w:rPr>
          <w:rFonts w:ascii="Times New Roman" w:eastAsiaTheme="minorHAnsi" w:hAnsi="Times New Roman"/>
          <w:sz w:val="24"/>
          <w:szCs w:val="24"/>
        </w:rPr>
        <w:t>tuân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thủ</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quy</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định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tại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Điểm</w:t>
      </w:r>
      <w:proofErr w:type="spellEnd"/>
      <w:r w:rsidRPr="00F95AFC">
        <w:rPr>
          <w:rFonts w:ascii="Times New Roman" w:eastAsiaTheme="minorHAnsi" w:hAnsi="Times New Roman"/>
          <w:sz w:val="24"/>
          <w:szCs w:val="24"/>
        </w:rPr>
        <w:t xml:space="preserve"> c, </w:t>
      </w:r>
      <w:proofErr w:type="spellStart"/>
      <w:r w:rsidRPr="00F95AFC">
        <w:rPr>
          <w:rFonts w:ascii="Times New Roman" w:eastAsiaTheme="minorHAnsi" w:hAnsi="Times New Roman"/>
          <w:sz w:val="24"/>
          <w:szCs w:val="24"/>
        </w:rPr>
        <w:t>Khoản</w:t>
      </w:r>
      <w:proofErr w:type="spellEnd"/>
      <w:r w:rsidRPr="00F95AFC">
        <w:rPr>
          <w:rFonts w:ascii="Times New Roman" w:eastAsiaTheme="minorHAnsi" w:hAnsi="Times New Roman"/>
          <w:sz w:val="24"/>
          <w:szCs w:val="24"/>
        </w:rPr>
        <w:t xml:space="preserve"> 4, </w:t>
      </w:r>
      <w:proofErr w:type="spellStart"/>
      <w:r w:rsidRPr="00F95AFC">
        <w:rPr>
          <w:rFonts w:ascii="Times New Roman" w:eastAsiaTheme="minorHAnsi" w:hAnsi="Times New Roman"/>
          <w:sz w:val="24"/>
          <w:szCs w:val="24"/>
        </w:rPr>
        <w:t>Điều</w:t>
      </w:r>
      <w:proofErr w:type="spellEnd"/>
      <w:r w:rsidRPr="00F95AFC">
        <w:rPr>
          <w:rFonts w:ascii="Times New Roman" w:eastAsiaTheme="minorHAnsi" w:hAnsi="Times New Roman"/>
          <w:sz w:val="24"/>
          <w:szCs w:val="24"/>
        </w:rPr>
        <w:t xml:space="preserve"> 35, Thông </w:t>
      </w:r>
      <w:proofErr w:type="spellStart"/>
      <w:r w:rsidRPr="00F95AFC">
        <w:rPr>
          <w:rFonts w:ascii="Times New Roman" w:eastAsiaTheme="minorHAnsi" w:hAnsi="Times New Roman"/>
          <w:sz w:val="24"/>
          <w:szCs w:val="24"/>
        </w:rPr>
        <w:t>tư</w:t>
      </w:r>
      <w:proofErr w:type="spellEnd"/>
      <w:r w:rsidRPr="00F95AFC">
        <w:rPr>
          <w:rFonts w:ascii="Times New Roman" w:eastAsiaTheme="minorHAnsi" w:hAnsi="Times New Roman"/>
          <w:sz w:val="24"/>
          <w:szCs w:val="24"/>
        </w:rPr>
        <w:t xml:space="preserve"> 98 </w:t>
      </w:r>
      <w:proofErr w:type="spellStart"/>
      <w:r w:rsidRPr="00F95AFC">
        <w:rPr>
          <w:rFonts w:ascii="Times New Roman" w:eastAsiaTheme="minorHAnsi" w:hAnsi="Times New Roman"/>
          <w:sz w:val="24"/>
          <w:szCs w:val="24"/>
        </w:rPr>
        <w:t>và</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Điều</w:t>
      </w:r>
      <w:proofErr w:type="spellEnd"/>
      <w:r w:rsidRPr="00F95AFC">
        <w:rPr>
          <w:rFonts w:ascii="Times New Roman" w:eastAsiaTheme="minorHAnsi" w:hAnsi="Times New Roman"/>
          <w:sz w:val="24"/>
          <w:szCs w:val="24"/>
        </w:rPr>
        <w:t xml:space="preserve"> 11, </w:t>
      </w:r>
      <w:proofErr w:type="spellStart"/>
      <w:r w:rsidRPr="00F95AFC">
        <w:rPr>
          <w:rFonts w:ascii="Times New Roman" w:eastAsiaTheme="minorHAnsi" w:hAnsi="Times New Roman"/>
          <w:sz w:val="24"/>
          <w:szCs w:val="24"/>
        </w:rPr>
        <w:t>Điều</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w:t>
      </w:r>
      <w:proofErr w:type="spellEnd"/>
      <w:r w:rsidRPr="00F95AFC">
        <w:rPr>
          <w:rFonts w:ascii="Times New Roman" w:eastAsiaTheme="minorHAnsi" w:hAnsi="Times New Roman"/>
          <w:sz w:val="24"/>
          <w:szCs w:val="24"/>
        </w:rPr>
        <w:t xml:space="preserve"> Quỹ.</w:t>
      </w:r>
    </w:p>
    <w:p w14:paraId="2AF35975" w14:textId="77777777" w:rsidR="00585FC9" w:rsidRPr="00F95AFC" w:rsidRDefault="00585FC9" w:rsidP="00F95AFC">
      <w:pPr>
        <w:spacing w:after="160" w:line="360" w:lineRule="auto"/>
        <w:jc w:val="both"/>
        <w:rPr>
          <w:rFonts w:ascii="Times New Roman" w:eastAsiaTheme="minorHAnsi" w:hAnsi="Times New Roman"/>
          <w:sz w:val="24"/>
          <w:szCs w:val="24"/>
        </w:rPr>
      </w:pP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01 </w:t>
      </w:r>
      <w:proofErr w:type="spellStart"/>
      <w:r w:rsidRPr="00F95AFC">
        <w:rPr>
          <w:rFonts w:ascii="Times New Roman" w:eastAsiaTheme="minorHAnsi" w:hAnsi="Times New Roman"/>
          <w:sz w:val="24"/>
          <w:szCs w:val="24"/>
        </w:rPr>
        <w:t>tháng</w:t>
      </w:r>
      <w:proofErr w:type="spellEnd"/>
      <w:r w:rsidRPr="00F95AFC">
        <w:rPr>
          <w:rFonts w:ascii="Times New Roman" w:eastAsiaTheme="minorHAnsi" w:hAnsi="Times New Roman"/>
          <w:sz w:val="24"/>
          <w:szCs w:val="24"/>
        </w:rPr>
        <w:t xml:space="preserve"> 01 </w:t>
      </w:r>
      <w:proofErr w:type="spellStart"/>
      <w:r w:rsidRPr="00F95AFC">
        <w:rPr>
          <w:rFonts w:ascii="Times New Roman" w:eastAsiaTheme="minorHAnsi" w:hAnsi="Times New Roman"/>
          <w:sz w:val="24"/>
          <w:szCs w:val="24"/>
        </w:rPr>
        <w:t>năm</w:t>
      </w:r>
      <w:proofErr w:type="spellEnd"/>
      <w:r w:rsidRPr="00F95AFC">
        <w:rPr>
          <w:rFonts w:ascii="Times New Roman" w:eastAsiaTheme="minorHAnsi" w:hAnsi="Times New Roman"/>
          <w:sz w:val="24"/>
          <w:szCs w:val="24"/>
        </w:rPr>
        <w:t xml:space="preserve"> 2023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 </w:t>
      </w:r>
      <w:proofErr w:type="spellStart"/>
      <w:r w:rsidRPr="00F95AFC">
        <w:rPr>
          <w:rFonts w:ascii="Times New Roman" w:eastAsiaTheme="minorHAnsi" w:hAnsi="Times New Roman"/>
          <w:sz w:val="24"/>
          <w:szCs w:val="24"/>
        </w:rPr>
        <w:t>tháng</w:t>
      </w:r>
      <w:proofErr w:type="spellEnd"/>
      <w:r w:rsidRPr="00F95AFC">
        <w:rPr>
          <w:rFonts w:ascii="Times New Roman" w:eastAsiaTheme="minorHAnsi" w:hAnsi="Times New Roman"/>
          <w:sz w:val="24"/>
          <w:szCs w:val="24"/>
        </w:rPr>
        <w:t xml:space="preserve"> 06 </w:t>
      </w:r>
      <w:proofErr w:type="spellStart"/>
      <w:r w:rsidRPr="00F95AFC">
        <w:rPr>
          <w:rFonts w:ascii="Times New Roman" w:eastAsiaTheme="minorHAnsi" w:hAnsi="Times New Roman"/>
          <w:sz w:val="24"/>
          <w:szCs w:val="24"/>
        </w:rPr>
        <w:t>năm</w:t>
      </w:r>
      <w:proofErr w:type="spellEnd"/>
      <w:r w:rsidRPr="00F95AFC">
        <w:rPr>
          <w:rFonts w:ascii="Times New Roman" w:eastAsiaTheme="minorHAnsi" w:hAnsi="Times New Roman"/>
          <w:sz w:val="24"/>
          <w:szCs w:val="24"/>
        </w:rPr>
        <w:t xml:space="preserve"> 2023, Quỹ </w:t>
      </w:r>
      <w:proofErr w:type="spellStart"/>
      <w:r w:rsidRPr="00F95AFC">
        <w:rPr>
          <w:rFonts w:ascii="Times New Roman" w:eastAsiaTheme="minorHAnsi" w:hAnsi="Times New Roman"/>
          <w:sz w:val="24"/>
          <w:szCs w:val="24"/>
        </w:rPr>
        <w:t>không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có</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bất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kỳ</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hợp</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đồng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vay</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và</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cho</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vay</w:t>
      </w:r>
      <w:proofErr w:type="spellEnd"/>
      <w:r w:rsidRPr="00F95AFC">
        <w:rPr>
          <w:rFonts w:ascii="Times New Roman" w:eastAsiaTheme="minorHAnsi" w:hAnsi="Times New Roman"/>
          <w:sz w:val="24"/>
          <w:szCs w:val="24"/>
        </w:rPr>
        <w:t>.</w:t>
      </w:r>
    </w:p>
    <w:p w14:paraId="54BBB04C" w14:textId="4DCB0191" w:rsidR="00585FC9" w:rsidRPr="00F95AFC" w:rsidRDefault="00585FC9" w:rsidP="00F95AFC">
      <w:pPr>
        <w:pStyle w:val="BodyText"/>
        <w:numPr>
          <w:ilvl w:val="0"/>
          <w:numId w:val="41"/>
        </w:numPr>
        <w:tabs>
          <w:tab w:val="left" w:pos="360"/>
        </w:tabs>
        <w:spacing w:before="120" w:line="360" w:lineRule="auto"/>
        <w:ind w:left="360"/>
        <w:rPr>
          <w:rFonts w:ascii="Times New Roman" w:hAnsi="Times New Roman"/>
          <w:sz w:val="24"/>
          <w:szCs w:val="24"/>
          <w:lang w:val="vi-VN"/>
        </w:rPr>
      </w:pPr>
      <w:r w:rsidRPr="00F95AFC">
        <w:rPr>
          <w:rFonts w:ascii="Times New Roman" w:hAnsi="Times New Roman"/>
          <w:sz w:val="24"/>
          <w:szCs w:val="24"/>
          <w:lang w:val="vi-VN"/>
        </w:rPr>
        <w:t>Việc xác định giá trị tài sản ròng theo quy định pháp luật, quy định tại Điều lệ quỹ, Bản cáo bạch: việc xác định giá trị tài sản ròng của Quỹ đã tuân thủ theo quy định pháp luật, quy định tại Điều lệ Quỹ, Bản cáo bạch, Sổ tay định giá đã được Ban Đại diện Quỹ phê duyệt và các văn bản pháp luật có liên quan.</w:t>
      </w:r>
    </w:p>
    <w:p w14:paraId="3F6748CC" w14:textId="7C592BEA" w:rsidR="00585FC9" w:rsidRPr="00F95AFC" w:rsidRDefault="00585FC9" w:rsidP="00F95AFC">
      <w:pPr>
        <w:pStyle w:val="BodyText"/>
        <w:numPr>
          <w:ilvl w:val="0"/>
          <w:numId w:val="41"/>
        </w:numPr>
        <w:tabs>
          <w:tab w:val="left" w:pos="360"/>
        </w:tabs>
        <w:spacing w:before="120" w:line="360" w:lineRule="auto"/>
        <w:ind w:left="360"/>
        <w:rPr>
          <w:rFonts w:ascii="Times New Roman" w:hAnsi="Times New Roman"/>
          <w:sz w:val="24"/>
          <w:szCs w:val="24"/>
          <w:lang w:val="vi-VN"/>
        </w:rPr>
      </w:pPr>
      <w:r w:rsidRPr="00F95AFC">
        <w:rPr>
          <w:rFonts w:ascii="Times New Roman" w:hAnsi="Times New Roman"/>
          <w:sz w:val="24"/>
          <w:szCs w:val="24"/>
          <w:lang w:val="vi-VN"/>
        </w:rPr>
        <w:t xml:space="preserve">Việc phát hành bổ sung chứng chỉ quỹ, mua lại chứng chỉ quỹ theo quy định pháp luật, quy định tại Điều lệ quỹ, Bản cáo bạch: việc phát hành bổ sung chứng chỉ quỹ, mua lại chứng chỉ quỹ đã tuân thủ theo quy định pháp luật liên quan, quy định tại Điều lệ Quỹ, Bản cáo bạch. </w:t>
      </w:r>
    </w:p>
    <w:p w14:paraId="6E8688BF" w14:textId="074F2C25" w:rsidR="003F0046" w:rsidRPr="00F95AFC" w:rsidRDefault="00585FC9" w:rsidP="00F95AFC">
      <w:pPr>
        <w:pStyle w:val="BodyText"/>
        <w:numPr>
          <w:ilvl w:val="0"/>
          <w:numId w:val="41"/>
        </w:numPr>
        <w:tabs>
          <w:tab w:val="left" w:pos="360"/>
        </w:tabs>
        <w:spacing w:before="120" w:line="360" w:lineRule="auto"/>
        <w:ind w:left="360"/>
        <w:rPr>
          <w:rFonts w:ascii="Times New Roman" w:hAnsi="Times New Roman"/>
          <w:sz w:val="24"/>
          <w:szCs w:val="24"/>
          <w:lang w:val="vi-VN"/>
        </w:rPr>
      </w:pPr>
      <w:r w:rsidRPr="00F95AFC">
        <w:rPr>
          <w:rFonts w:ascii="Times New Roman" w:hAnsi="Times New Roman"/>
          <w:sz w:val="24"/>
          <w:szCs w:val="24"/>
          <w:lang w:val="vi-VN"/>
        </w:rPr>
        <w:t>Việc phân chia lợi nhuận của quỹ: từ ngày 01 tháng 01 năm 2023 đến ngày 30 tháng 06 năm 2023, Quỹ không thực hiện phân phối lợi nhuận cho nhà đầu tư.</w:t>
      </w:r>
    </w:p>
    <w:p w14:paraId="3A390A4A" w14:textId="77777777" w:rsidR="003F0046" w:rsidRPr="00F95AFC" w:rsidRDefault="003F0046" w:rsidP="00F95AFC">
      <w:pPr>
        <w:spacing w:before="120" w:line="360" w:lineRule="auto"/>
        <w:jc w:val="both"/>
        <w:rPr>
          <w:rFonts w:ascii="Times New Roman" w:hAnsi="Times New Roman"/>
          <w:b/>
          <w:sz w:val="24"/>
          <w:szCs w:val="24"/>
          <w:lang w:val="nl-NL"/>
        </w:rPr>
      </w:pPr>
      <w:r w:rsidRPr="00F95AFC">
        <w:rPr>
          <w:rFonts w:ascii="Times New Roman" w:hAnsi="Times New Roman"/>
          <w:b/>
          <w:sz w:val="24"/>
          <w:szCs w:val="24"/>
          <w:lang w:val="nl-NL"/>
        </w:rPr>
        <w:t>5. Báo cáo về hoạt động ủy quyền</w:t>
      </w:r>
    </w:p>
    <w:p w14:paraId="394C78F2" w14:textId="1D2D27F2" w:rsidR="003F0046" w:rsidRPr="00F95AFC" w:rsidRDefault="003A28E7" w:rsidP="00F95AFC">
      <w:pPr>
        <w:spacing w:before="120" w:line="360" w:lineRule="auto"/>
        <w:jc w:val="both"/>
        <w:rPr>
          <w:rFonts w:ascii="Times New Roman" w:hAnsi="Times New Roman"/>
          <w:sz w:val="24"/>
          <w:szCs w:val="24"/>
        </w:rPr>
      </w:pPr>
      <w:r w:rsidRPr="00F95AFC">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95AFC">
        <w:rPr>
          <w:rFonts w:ascii="Times New Roman" w:hAnsi="Times New Roman"/>
          <w:sz w:val="24"/>
          <w:szCs w:val="24"/>
        </w:rPr>
        <w:t xml:space="preserve">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45C8C15E" w14:textId="650FB52C" w:rsidR="003F0046" w:rsidRPr="00F95AFC" w:rsidRDefault="003F0046" w:rsidP="00F95AFC">
      <w:pPr>
        <w:pStyle w:val="ListParagraph"/>
        <w:numPr>
          <w:ilvl w:val="0"/>
          <w:numId w:val="17"/>
        </w:numPr>
        <w:spacing w:before="120" w:line="360" w:lineRule="auto"/>
        <w:ind w:left="270" w:hanging="270"/>
        <w:jc w:val="both"/>
        <w:rPr>
          <w:b w:val="0"/>
        </w:rPr>
      </w:pPr>
      <w:r w:rsidRPr="00F95AFC">
        <w:rPr>
          <w:b w:val="0"/>
        </w:rPr>
        <w:t xml:space="preserve">Chi </w:t>
      </w:r>
      <w:proofErr w:type="spellStart"/>
      <w:r w:rsidRPr="00F95AFC">
        <w:rPr>
          <w:b w:val="0"/>
        </w:rPr>
        <w:t>phí</w:t>
      </w:r>
      <w:proofErr w:type="spellEnd"/>
      <w:r w:rsidRPr="00F95AFC">
        <w:rPr>
          <w:b w:val="0"/>
        </w:rPr>
        <w:t xml:space="preserve"> </w:t>
      </w:r>
      <w:proofErr w:type="spellStart"/>
      <w:r w:rsidRPr="00F95AFC">
        <w:rPr>
          <w:b w:val="0"/>
        </w:rPr>
        <w:t>phải</w:t>
      </w:r>
      <w:proofErr w:type="spellEnd"/>
      <w:r w:rsidRPr="00F95AFC">
        <w:rPr>
          <w:b w:val="0"/>
        </w:rPr>
        <w:t xml:space="preserve"> </w:t>
      </w:r>
      <w:proofErr w:type="spellStart"/>
      <w:r w:rsidRPr="00F95AFC">
        <w:rPr>
          <w:b w:val="0"/>
        </w:rPr>
        <w:t>trả</w:t>
      </w:r>
      <w:proofErr w:type="spellEnd"/>
      <w:r w:rsidRPr="00F95AFC">
        <w:rPr>
          <w:b w:val="0"/>
        </w:rPr>
        <w:t xml:space="preserve"> </w:t>
      </w:r>
      <w:proofErr w:type="spellStart"/>
      <w:r w:rsidRPr="00F95AFC">
        <w:rPr>
          <w:b w:val="0"/>
        </w:rPr>
        <w:t>cho</w:t>
      </w:r>
      <w:proofErr w:type="spellEnd"/>
      <w:r w:rsidRPr="00F95AFC">
        <w:rPr>
          <w:b w:val="0"/>
        </w:rPr>
        <w:t xml:space="preserve"> </w:t>
      </w:r>
      <w:proofErr w:type="spellStart"/>
      <w:r w:rsidRPr="00F95AFC">
        <w:rPr>
          <w:b w:val="0"/>
        </w:rPr>
        <w:t>bên</w:t>
      </w:r>
      <w:proofErr w:type="spellEnd"/>
      <w:r w:rsidRPr="00F95AFC">
        <w:rPr>
          <w:b w:val="0"/>
        </w:rPr>
        <w:t xml:space="preserve"> </w:t>
      </w:r>
      <w:proofErr w:type="spellStart"/>
      <w:r w:rsidRPr="00F95AFC">
        <w:rPr>
          <w:b w:val="0"/>
        </w:rPr>
        <w:t>nhận</w:t>
      </w:r>
      <w:proofErr w:type="spellEnd"/>
      <w:r w:rsidRPr="00F95AFC">
        <w:rPr>
          <w:b w:val="0"/>
        </w:rPr>
        <w:t xml:space="preserve"> </w:t>
      </w:r>
      <w:proofErr w:type="spellStart"/>
      <w:r w:rsidRPr="00F95AFC">
        <w:rPr>
          <w:b w:val="0"/>
        </w:rPr>
        <w:t>ủy</w:t>
      </w:r>
      <w:proofErr w:type="spellEnd"/>
      <w:r w:rsidRPr="00F95AFC">
        <w:rPr>
          <w:b w:val="0"/>
        </w:rPr>
        <w:t xml:space="preserve"> </w:t>
      </w:r>
      <w:proofErr w:type="spellStart"/>
      <w:r w:rsidRPr="00F95AFC">
        <w:rPr>
          <w:b w:val="0"/>
        </w:rPr>
        <w:t>quyền</w:t>
      </w:r>
      <w:proofErr w:type="spellEnd"/>
      <w:r w:rsidRPr="00F95AFC">
        <w:rPr>
          <w:b w:val="0"/>
        </w:rPr>
        <w:t xml:space="preserve"> so </w:t>
      </w:r>
      <w:proofErr w:type="spellStart"/>
      <w:r w:rsidRPr="00F95AFC">
        <w:rPr>
          <w:b w:val="0"/>
        </w:rPr>
        <w:t>với</w:t>
      </w:r>
      <w:proofErr w:type="spellEnd"/>
      <w:r w:rsidRPr="00F95AFC">
        <w:rPr>
          <w:b w:val="0"/>
        </w:rPr>
        <w:t xml:space="preserve"> </w:t>
      </w:r>
      <w:proofErr w:type="spellStart"/>
      <w:r w:rsidRPr="00F95AFC">
        <w:rPr>
          <w:b w:val="0"/>
        </w:rPr>
        <w:t>lợi</w:t>
      </w:r>
      <w:proofErr w:type="spellEnd"/>
      <w:r w:rsidRPr="00F95AFC">
        <w:rPr>
          <w:b w:val="0"/>
        </w:rPr>
        <w:t xml:space="preserve"> </w:t>
      </w:r>
      <w:proofErr w:type="spellStart"/>
      <w:r w:rsidRPr="00F95AFC">
        <w:rPr>
          <w:b w:val="0"/>
        </w:rPr>
        <w:t>nhuận</w:t>
      </w:r>
      <w:proofErr w:type="spellEnd"/>
      <w:r w:rsidRPr="00F95AFC">
        <w:rPr>
          <w:b w:val="0"/>
        </w:rPr>
        <w:t xml:space="preserve">, </w:t>
      </w:r>
      <w:proofErr w:type="spellStart"/>
      <w:r w:rsidRPr="00F95AFC">
        <w:rPr>
          <w:b w:val="0"/>
        </w:rPr>
        <w:t>thu</w:t>
      </w:r>
      <w:proofErr w:type="spellEnd"/>
      <w:r w:rsidRPr="00F95AFC">
        <w:rPr>
          <w:b w:val="0"/>
        </w:rPr>
        <w:t xml:space="preserve"> </w:t>
      </w:r>
      <w:proofErr w:type="spellStart"/>
      <w:r w:rsidRPr="00F95AFC">
        <w:rPr>
          <w:b w:val="0"/>
        </w:rPr>
        <w:t>nhập</w:t>
      </w:r>
      <w:proofErr w:type="spellEnd"/>
      <w:r w:rsidRPr="00F95AFC">
        <w:rPr>
          <w:b w:val="0"/>
        </w:rPr>
        <w:t xml:space="preserve">, </w:t>
      </w:r>
      <w:proofErr w:type="spellStart"/>
      <w:r w:rsidRPr="00F95AFC">
        <w:rPr>
          <w:b w:val="0"/>
        </w:rPr>
        <w:t>tổng</w:t>
      </w:r>
      <w:proofErr w:type="spellEnd"/>
      <w:r w:rsidRPr="00F95AFC">
        <w:rPr>
          <w:b w:val="0"/>
        </w:rPr>
        <w:t xml:space="preserve"> chi </w:t>
      </w:r>
      <w:proofErr w:type="spellStart"/>
      <w:r w:rsidRPr="00F95AFC">
        <w:rPr>
          <w:b w:val="0"/>
        </w:rPr>
        <w:t>phí</w:t>
      </w:r>
      <w:proofErr w:type="spellEnd"/>
      <w:r w:rsidRPr="00F95AFC">
        <w:rPr>
          <w:b w:val="0"/>
        </w:rPr>
        <w:t xml:space="preserve"> </w:t>
      </w:r>
      <w:proofErr w:type="spellStart"/>
      <w:r w:rsidRPr="00F95AFC">
        <w:rPr>
          <w:b w:val="0"/>
        </w:rPr>
        <w:t>hoạt</w:t>
      </w:r>
      <w:proofErr w:type="spellEnd"/>
      <w:r w:rsidRPr="00F95AFC">
        <w:rPr>
          <w:b w:val="0"/>
        </w:rPr>
        <w:t xml:space="preserve"> </w:t>
      </w:r>
      <w:proofErr w:type="spellStart"/>
      <w:r w:rsidRPr="00F95AFC">
        <w:rPr>
          <w:b w:val="0"/>
        </w:rPr>
        <w:t>động</w:t>
      </w:r>
      <w:proofErr w:type="spellEnd"/>
      <w:r w:rsidRPr="00F95AFC">
        <w:rPr>
          <w:b w:val="0"/>
        </w:rPr>
        <w:t xml:space="preserve"> </w:t>
      </w:r>
      <w:proofErr w:type="spellStart"/>
      <w:r w:rsidRPr="00F95AFC">
        <w:rPr>
          <w:b w:val="0"/>
        </w:rPr>
        <w:t>của</w:t>
      </w:r>
      <w:proofErr w:type="spellEnd"/>
      <w:r w:rsidRPr="00F95AFC">
        <w:rPr>
          <w:b w:val="0"/>
        </w:rPr>
        <w:t xml:space="preserve"> </w:t>
      </w:r>
      <w:r w:rsidR="0085228D" w:rsidRPr="00F95AFC">
        <w:rPr>
          <w:b w:val="0"/>
        </w:rPr>
        <w:t>quỹ:</w:t>
      </w:r>
    </w:p>
    <w:tbl>
      <w:tblPr>
        <w:tblW w:w="9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2197"/>
        <w:gridCol w:w="1751"/>
        <w:gridCol w:w="1907"/>
      </w:tblGrid>
      <w:tr w:rsidR="00BA51D4" w:rsidRPr="00F95AFC" w14:paraId="3DC1570D" w14:textId="77777777" w:rsidTr="006B7A58">
        <w:trPr>
          <w:trHeight w:val="643"/>
        </w:trPr>
        <w:tc>
          <w:tcPr>
            <w:tcW w:w="3870" w:type="dxa"/>
            <w:shd w:val="clear" w:color="auto" w:fill="B8CCE4" w:themeFill="accent1" w:themeFillTint="66"/>
            <w:vAlign w:val="center"/>
            <w:hideMark/>
          </w:tcPr>
          <w:p w14:paraId="41AF0ABD" w14:textId="639B016A" w:rsidR="00BA51D4" w:rsidRPr="00F95AFC" w:rsidRDefault="00E65E77" w:rsidP="00F95AFC">
            <w:pPr>
              <w:spacing w:line="360" w:lineRule="auto"/>
              <w:jc w:val="center"/>
              <w:rPr>
                <w:rFonts w:ascii="Times New Roman" w:hAnsi="Times New Roman"/>
                <w:b/>
                <w:sz w:val="24"/>
                <w:szCs w:val="24"/>
              </w:rPr>
            </w:pPr>
            <w:r w:rsidRPr="00F95AFC">
              <w:rPr>
                <w:rFonts w:ascii="Times New Roman" w:hAnsi="Times New Roman"/>
                <w:b/>
                <w:sz w:val="24"/>
                <w:szCs w:val="24"/>
              </w:rPr>
              <w:t xml:space="preserve">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r w:rsidRPr="00F95AFC">
              <w:rPr>
                <w:rFonts w:ascii="Times New Roman" w:hAnsi="Times New Roman"/>
                <w:b/>
                <w:sz w:val="24"/>
                <w:szCs w:val="24"/>
              </w:rPr>
              <w:t xml:space="preserve"> Quỹ </w:t>
            </w:r>
            <w:proofErr w:type="spellStart"/>
            <w:r w:rsidRPr="00F95AFC">
              <w:rPr>
                <w:rFonts w:ascii="Times New Roman" w:hAnsi="Times New Roman"/>
                <w:b/>
                <w:sz w:val="24"/>
                <w:szCs w:val="24"/>
              </w:rPr>
              <w:t>mở</w:t>
            </w:r>
            <w:proofErr w:type="spellEnd"/>
          </w:p>
        </w:tc>
        <w:tc>
          <w:tcPr>
            <w:tcW w:w="2197" w:type="dxa"/>
            <w:tcBorders>
              <w:bottom w:val="single" w:sz="4" w:space="0" w:color="auto"/>
            </w:tcBorders>
            <w:shd w:val="clear" w:color="auto" w:fill="B8CCE4" w:themeFill="accent1" w:themeFillTint="66"/>
            <w:vAlign w:val="center"/>
            <w:hideMark/>
          </w:tcPr>
          <w:p w14:paraId="733BDB75" w14:textId="4313D036" w:rsidR="00BA51D4" w:rsidRPr="00F95AFC" w:rsidRDefault="00BA51D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Kỳ</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báo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cáo</w:t>
            </w:r>
            <w:proofErr w:type="spellEnd"/>
            <w:r w:rsidRPr="00F95AFC">
              <w:rPr>
                <w:rFonts w:ascii="Times New Roman" w:hAnsi="Times New Roman"/>
                <w:b/>
                <w:sz w:val="24"/>
                <w:szCs w:val="24"/>
              </w:rPr>
              <w:t xml:space="preserve"> </w:t>
            </w:r>
            <w:r w:rsidR="00DC7741" w:rsidRPr="00F95AFC">
              <w:rPr>
                <w:rFonts w:ascii="Times New Roman" w:hAnsi="Times New Roman"/>
                <w:b/>
                <w:sz w:val="24"/>
                <w:szCs w:val="24"/>
              </w:rPr>
              <w:t>01/01/202</w:t>
            </w:r>
            <w:r w:rsidR="00460D17" w:rsidRPr="00F95AFC">
              <w:rPr>
                <w:rFonts w:ascii="Times New Roman" w:hAnsi="Times New Roman"/>
                <w:b/>
                <w:sz w:val="24"/>
                <w:szCs w:val="24"/>
              </w:rPr>
              <w:t>3</w:t>
            </w:r>
            <w:r w:rsidRPr="00F95AFC">
              <w:rPr>
                <w:rFonts w:ascii="Times New Roman" w:hAnsi="Times New Roman"/>
                <w:b/>
                <w:sz w:val="24"/>
                <w:szCs w:val="24"/>
              </w:rPr>
              <w:t xml:space="preserve"> – 30/06/20</w:t>
            </w:r>
            <w:r w:rsidR="00DC7741" w:rsidRPr="00F95AFC">
              <w:rPr>
                <w:rFonts w:ascii="Times New Roman" w:hAnsi="Times New Roman"/>
                <w:b/>
                <w:sz w:val="24"/>
                <w:szCs w:val="24"/>
              </w:rPr>
              <w:t>2</w:t>
            </w:r>
            <w:r w:rsidR="00460D17" w:rsidRPr="00F95AFC">
              <w:rPr>
                <w:rFonts w:ascii="Times New Roman" w:hAnsi="Times New Roman"/>
                <w:b/>
                <w:sz w:val="24"/>
                <w:szCs w:val="24"/>
              </w:rPr>
              <w:t>3</w:t>
            </w:r>
          </w:p>
        </w:tc>
        <w:tc>
          <w:tcPr>
            <w:tcW w:w="1751" w:type="dxa"/>
            <w:tcBorders>
              <w:bottom w:val="single" w:sz="4" w:space="0" w:color="auto"/>
            </w:tcBorders>
            <w:shd w:val="clear" w:color="auto" w:fill="B8CCE4" w:themeFill="accent1" w:themeFillTint="66"/>
            <w:vAlign w:val="center"/>
          </w:tcPr>
          <w:p w14:paraId="4DE56721" w14:textId="3947EAD4" w:rsidR="00BA51D4" w:rsidRPr="00F95AFC" w:rsidRDefault="00782E2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Tỷ</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lệ</w:t>
            </w:r>
            <w:proofErr w:type="spellEnd"/>
            <w:r w:rsidRPr="00F95AFC">
              <w:rPr>
                <w:rFonts w:ascii="Times New Roman" w:hAnsi="Times New Roman"/>
                <w:b/>
                <w:sz w:val="24"/>
                <w:szCs w:val="24"/>
              </w:rPr>
              <w:t xml:space="preserve"> so </w:t>
            </w:r>
            <w:proofErr w:type="spellStart"/>
            <w:r w:rsidRPr="00F95AFC">
              <w:rPr>
                <w:rFonts w:ascii="Times New Roman" w:hAnsi="Times New Roman"/>
                <w:b/>
                <w:sz w:val="24"/>
                <w:szCs w:val="24"/>
              </w:rPr>
              <w:t>với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lợi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nhuận</w:t>
            </w:r>
            <w:proofErr w:type="spellEnd"/>
          </w:p>
        </w:tc>
        <w:tc>
          <w:tcPr>
            <w:tcW w:w="1907" w:type="dxa"/>
            <w:tcBorders>
              <w:bottom w:val="single" w:sz="4" w:space="0" w:color="auto"/>
            </w:tcBorders>
            <w:shd w:val="clear" w:color="auto" w:fill="B8CCE4" w:themeFill="accent1" w:themeFillTint="66"/>
            <w:vAlign w:val="center"/>
            <w:hideMark/>
          </w:tcPr>
          <w:p w14:paraId="0E53BE89" w14:textId="7C7FCCEC" w:rsidR="00BA51D4" w:rsidRPr="00F95AFC" w:rsidRDefault="00BA51D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Tỷ</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lệ</w:t>
            </w:r>
            <w:proofErr w:type="spellEnd"/>
            <w:r w:rsidRPr="00F95AFC">
              <w:rPr>
                <w:rFonts w:ascii="Times New Roman" w:hAnsi="Times New Roman"/>
                <w:b/>
                <w:sz w:val="24"/>
                <w:szCs w:val="24"/>
              </w:rPr>
              <w:t xml:space="preserve"> so </w:t>
            </w:r>
            <w:proofErr w:type="spellStart"/>
            <w:r w:rsidRPr="00F95AFC">
              <w:rPr>
                <w:rFonts w:ascii="Times New Roman" w:hAnsi="Times New Roman"/>
                <w:b/>
                <w:sz w:val="24"/>
                <w:szCs w:val="24"/>
              </w:rPr>
              <w:t>với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p>
        </w:tc>
      </w:tr>
      <w:tr w:rsidR="006A51DD" w:rsidRPr="00F95AFC" w14:paraId="0F630620" w14:textId="77777777" w:rsidTr="00A72CC7">
        <w:trPr>
          <w:trHeight w:val="437"/>
        </w:trPr>
        <w:tc>
          <w:tcPr>
            <w:tcW w:w="3870" w:type="dxa"/>
            <w:shd w:val="clear" w:color="auto" w:fill="auto"/>
            <w:vAlign w:val="center"/>
          </w:tcPr>
          <w:p w14:paraId="1635BFEE" w14:textId="16EBC100" w:rsidR="006A51DD" w:rsidRPr="00F95AFC" w:rsidRDefault="006A51DD" w:rsidP="00F95AFC">
            <w:pPr>
              <w:spacing w:line="360" w:lineRule="auto"/>
              <w:rPr>
                <w:rFonts w:ascii="Times New Roman" w:hAnsi="Times New Roman"/>
                <w:color w:val="000000"/>
                <w:sz w:val="24"/>
                <w:szCs w:val="24"/>
              </w:rPr>
            </w:pPr>
            <w:r w:rsidRPr="00F95AFC">
              <w:rPr>
                <w:rFonts w:ascii="Times New Roman" w:hAnsi="Times New Roman"/>
                <w:color w:val="000000"/>
                <w:sz w:val="24"/>
                <w:szCs w:val="24"/>
              </w:rPr>
              <w:t xml:space="preserve">1 </w:t>
            </w:r>
            <w:proofErr w:type="spellStart"/>
            <w:r w:rsidRPr="00F95AFC">
              <w:rPr>
                <w:rFonts w:ascii="Times New Roman" w:hAnsi="Times New Roman"/>
                <w:color w:val="000000"/>
                <w:sz w:val="24"/>
                <w:szCs w:val="24"/>
              </w:rPr>
              <w:t>Phí</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dịch</w:t>
            </w:r>
            <w:proofErr w:type="spellEnd"/>
            <w:r w:rsidRPr="00F95AFC">
              <w:rPr>
                <w:rFonts w:ascii="Times New Roman" w:hAnsi="Times New Roman"/>
                <w:color w:val="000000"/>
                <w:sz w:val="24"/>
                <w:szCs w:val="24"/>
              </w:rPr>
              <w:t xml:space="preserve"> vụ </w:t>
            </w:r>
            <w:proofErr w:type="spellStart"/>
            <w:r w:rsidRPr="00F95AFC">
              <w:rPr>
                <w:rFonts w:ascii="Times New Roman" w:hAnsi="Times New Roman"/>
                <w:color w:val="000000"/>
                <w:sz w:val="24"/>
                <w:szCs w:val="24"/>
              </w:rPr>
              <w:t>quản</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trị</w:t>
            </w:r>
            <w:proofErr w:type="spellEnd"/>
            <w:r w:rsidRPr="00F95AFC">
              <w:rPr>
                <w:rFonts w:ascii="Times New Roman" w:hAnsi="Times New Roman"/>
                <w:color w:val="000000"/>
                <w:sz w:val="24"/>
                <w:szCs w:val="24"/>
              </w:rPr>
              <w:t xml:space="preserve"> Quỹ </w:t>
            </w:r>
            <w:proofErr w:type="spellStart"/>
            <w:r w:rsidRPr="00F95AFC">
              <w:rPr>
                <w:rFonts w:ascii="Times New Roman" w:hAnsi="Times New Roman"/>
                <w:color w:val="000000"/>
                <w:sz w:val="24"/>
                <w:szCs w:val="24"/>
              </w:rPr>
              <w:t>mở</w:t>
            </w:r>
            <w:proofErr w:type="spellEnd"/>
          </w:p>
        </w:tc>
        <w:tc>
          <w:tcPr>
            <w:tcW w:w="2197" w:type="dxa"/>
            <w:shd w:val="clear" w:color="000000" w:fill="auto"/>
            <w:vAlign w:val="center"/>
          </w:tcPr>
          <w:p w14:paraId="2710BDA4" w14:textId="03047E43"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213.675.000</w:t>
            </w:r>
          </w:p>
        </w:tc>
        <w:tc>
          <w:tcPr>
            <w:tcW w:w="1751" w:type="dxa"/>
            <w:shd w:val="clear" w:color="000000" w:fill="auto"/>
          </w:tcPr>
          <w:p w14:paraId="1B859437" w14:textId="287E743A"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6,05%</w:t>
            </w:r>
          </w:p>
        </w:tc>
        <w:tc>
          <w:tcPr>
            <w:tcW w:w="1907" w:type="dxa"/>
            <w:shd w:val="clear" w:color="000000" w:fill="auto"/>
          </w:tcPr>
          <w:p w14:paraId="48480E8D" w14:textId="52CBA799"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18,32%</w:t>
            </w:r>
          </w:p>
        </w:tc>
      </w:tr>
      <w:tr w:rsidR="006A51DD" w:rsidRPr="00F95AFC" w14:paraId="79E1F190" w14:textId="77777777" w:rsidTr="00A72CC7">
        <w:trPr>
          <w:trHeight w:val="437"/>
        </w:trPr>
        <w:tc>
          <w:tcPr>
            <w:tcW w:w="3870" w:type="dxa"/>
            <w:shd w:val="clear" w:color="auto" w:fill="auto"/>
            <w:vAlign w:val="center"/>
          </w:tcPr>
          <w:p w14:paraId="6AC992DB" w14:textId="5CF40958" w:rsidR="006A51DD" w:rsidRPr="00F95AFC" w:rsidRDefault="006A51DD" w:rsidP="00F95AFC">
            <w:pPr>
              <w:spacing w:line="360" w:lineRule="auto"/>
              <w:rPr>
                <w:rFonts w:ascii="Times New Roman" w:hAnsi="Times New Roman"/>
                <w:color w:val="000000"/>
                <w:sz w:val="24"/>
                <w:szCs w:val="24"/>
              </w:rPr>
            </w:pPr>
            <w:r w:rsidRPr="00F95AFC">
              <w:rPr>
                <w:rFonts w:ascii="Times New Roman" w:hAnsi="Times New Roman"/>
                <w:color w:val="000000"/>
                <w:sz w:val="24"/>
                <w:szCs w:val="24"/>
              </w:rPr>
              <w:t xml:space="preserve">2. </w:t>
            </w:r>
            <w:proofErr w:type="spellStart"/>
            <w:r w:rsidRPr="00F95AFC">
              <w:rPr>
                <w:rFonts w:ascii="Times New Roman" w:hAnsi="Times New Roman"/>
                <w:color w:val="000000"/>
                <w:sz w:val="24"/>
                <w:szCs w:val="24"/>
              </w:rPr>
              <w:t>Phí</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dịch</w:t>
            </w:r>
            <w:proofErr w:type="spellEnd"/>
            <w:r w:rsidRPr="00F95AFC">
              <w:rPr>
                <w:rFonts w:ascii="Times New Roman" w:hAnsi="Times New Roman"/>
                <w:color w:val="000000"/>
                <w:sz w:val="24"/>
                <w:szCs w:val="24"/>
              </w:rPr>
              <w:t xml:space="preserve"> vụ </w:t>
            </w:r>
            <w:proofErr w:type="spellStart"/>
            <w:r w:rsidRPr="00F95AFC">
              <w:rPr>
                <w:rFonts w:ascii="Times New Roman" w:hAnsi="Times New Roman"/>
                <w:color w:val="000000"/>
                <w:sz w:val="24"/>
                <w:szCs w:val="24"/>
              </w:rPr>
              <w:t>đại</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lý</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chuyển</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nhượng</w:t>
            </w:r>
            <w:proofErr w:type="spellEnd"/>
          </w:p>
        </w:tc>
        <w:tc>
          <w:tcPr>
            <w:tcW w:w="2197" w:type="dxa"/>
            <w:shd w:val="clear" w:color="000000" w:fill="auto"/>
            <w:vAlign w:val="center"/>
          </w:tcPr>
          <w:p w14:paraId="5213BDB7" w14:textId="45793035"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66.000.000</w:t>
            </w:r>
          </w:p>
        </w:tc>
        <w:tc>
          <w:tcPr>
            <w:tcW w:w="1751" w:type="dxa"/>
            <w:shd w:val="clear" w:color="000000" w:fill="auto"/>
          </w:tcPr>
          <w:p w14:paraId="3307024A" w14:textId="3D419A9D"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1,87%</w:t>
            </w:r>
          </w:p>
        </w:tc>
        <w:tc>
          <w:tcPr>
            <w:tcW w:w="1907" w:type="dxa"/>
            <w:shd w:val="clear" w:color="000000" w:fill="auto"/>
          </w:tcPr>
          <w:p w14:paraId="5A61ED85" w14:textId="47B45142"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5,66%</w:t>
            </w:r>
          </w:p>
        </w:tc>
      </w:tr>
    </w:tbl>
    <w:p w14:paraId="10759105" w14:textId="1E7C3873"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lastRenderedPageBreak/>
        <w:t xml:space="preserve">b)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000A08C1" w:rsidRPr="00F95AFC">
        <w:rPr>
          <w:rFonts w:ascii="Times New Roman" w:hAnsi="Times New Roman"/>
          <w:sz w:val="24"/>
          <w:szCs w:val="24"/>
        </w:rPr>
        <w:t>này</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không</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ảnh</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hưởng</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tới</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lợi</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nhuận</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và</w:t>
      </w:r>
      <w:proofErr w:type="spellEnd"/>
      <w:r w:rsidR="000A08C1"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rủi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0085228D" w:rsidRPr="00F95AFC">
        <w:rPr>
          <w:rFonts w:ascii="Times New Roman" w:hAnsi="Times New Roman"/>
          <w:sz w:val="24"/>
          <w:szCs w:val="24"/>
        </w:rPr>
        <w:t>quỹ</w:t>
      </w:r>
    </w:p>
    <w:p w14:paraId="09491475"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cung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dịch</w:t>
      </w:r>
      <w:proofErr w:type="spellEnd"/>
      <w:r w:rsidRPr="00F95AFC">
        <w:rPr>
          <w:rFonts w:ascii="Times New Roman" w:hAnsi="Times New Roman"/>
          <w:sz w:val="24"/>
          <w:szCs w:val="24"/>
        </w:rPr>
        <w:t xml:space="preserve"> vụ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0085228D" w:rsidRPr="00F95AFC">
        <w:rPr>
          <w:rFonts w:ascii="Times New Roman" w:hAnsi="Times New Roman"/>
          <w:sz w:val="24"/>
          <w:szCs w:val="24"/>
        </w:rPr>
        <w:t>lý</w:t>
      </w:r>
      <w:proofErr w:type="spellEnd"/>
      <w:r w:rsidR="0085228D" w:rsidRPr="00F95AFC">
        <w:rPr>
          <w:rFonts w:ascii="Times New Roman" w:hAnsi="Times New Roman"/>
          <w:sz w:val="24"/>
          <w:szCs w:val="24"/>
        </w:rPr>
        <w:t xml:space="preserve"> quỹ): </w:t>
      </w:r>
    </w:p>
    <w:p w14:paraId="53A2835A" w14:textId="60B1539A" w:rsidR="0085228D" w:rsidRPr="00F95AFC" w:rsidRDefault="009902E2" w:rsidP="00F95AFC">
      <w:pPr>
        <w:spacing w:line="360" w:lineRule="auto"/>
        <w:jc w:val="both"/>
        <w:rPr>
          <w:rFonts w:ascii="Times New Roman" w:hAnsi="Times New Roman"/>
          <w:sz w:val="24"/>
          <w:szCs w:val="24"/>
        </w:rPr>
      </w:pP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0085228D" w:rsidRPr="00F95AFC">
        <w:rPr>
          <w:rFonts w:ascii="Times New Roman" w:hAnsi="Times New Roman"/>
          <w:sz w:val="24"/>
          <w:szCs w:val="24"/>
        </w:rPr>
        <w:t xml:space="preserve"> Ngân </w:t>
      </w:r>
      <w:proofErr w:type="spellStart"/>
      <w:r w:rsidR="0085228D" w:rsidRPr="00F95AFC">
        <w:rPr>
          <w:rFonts w:ascii="Times New Roman" w:hAnsi="Times New Roman"/>
          <w:sz w:val="24"/>
          <w:szCs w:val="24"/>
        </w:rPr>
        <w:t>hàng</w:t>
      </w:r>
      <w:proofErr w:type="spellEnd"/>
      <w:r w:rsidR="0085228D" w:rsidRPr="00F95AFC">
        <w:rPr>
          <w:rFonts w:ascii="Times New Roman" w:hAnsi="Times New Roman"/>
          <w:sz w:val="24"/>
          <w:szCs w:val="24"/>
        </w:rPr>
        <w:t xml:space="preserve"> TNHH </w:t>
      </w:r>
      <w:proofErr w:type="spellStart"/>
      <w:r w:rsidR="0085228D" w:rsidRPr="00F95AFC">
        <w:rPr>
          <w:rFonts w:ascii="Times New Roman" w:hAnsi="Times New Roman"/>
          <w:sz w:val="24"/>
          <w:szCs w:val="24"/>
        </w:rPr>
        <w:t>một</w:t>
      </w:r>
      <w:proofErr w:type="spellEnd"/>
      <w:r w:rsidR="0085228D" w:rsidRPr="00F95AFC">
        <w:rPr>
          <w:rFonts w:ascii="Times New Roman" w:hAnsi="Times New Roman"/>
          <w:sz w:val="24"/>
          <w:szCs w:val="24"/>
        </w:rPr>
        <w:t xml:space="preserve"> </w:t>
      </w:r>
      <w:proofErr w:type="spellStart"/>
      <w:r w:rsidR="0085228D" w:rsidRPr="00F95AFC">
        <w:rPr>
          <w:rFonts w:ascii="Times New Roman" w:hAnsi="Times New Roman"/>
          <w:sz w:val="24"/>
          <w:szCs w:val="24"/>
        </w:rPr>
        <w:t>thành</w:t>
      </w:r>
      <w:proofErr w:type="spellEnd"/>
      <w:r w:rsidR="0085228D" w:rsidRPr="00F95AFC">
        <w:rPr>
          <w:rFonts w:ascii="Times New Roman" w:hAnsi="Times New Roman"/>
          <w:sz w:val="24"/>
          <w:szCs w:val="24"/>
        </w:rPr>
        <w:t xml:space="preserve"> </w:t>
      </w:r>
      <w:proofErr w:type="spellStart"/>
      <w:r w:rsidR="0085228D" w:rsidRPr="00F95AFC">
        <w:rPr>
          <w:rFonts w:ascii="Times New Roman" w:hAnsi="Times New Roman"/>
          <w:sz w:val="24"/>
          <w:szCs w:val="24"/>
        </w:rPr>
        <w:t>viên</w:t>
      </w:r>
      <w:proofErr w:type="spellEnd"/>
      <w:r w:rsidR="0085228D" w:rsidRPr="00F95AFC">
        <w:rPr>
          <w:rFonts w:ascii="Times New Roman" w:hAnsi="Times New Roman"/>
          <w:sz w:val="24"/>
          <w:szCs w:val="24"/>
        </w:rPr>
        <w:t xml:space="preserve"> Standard Chartered (Việt Nam) </w:t>
      </w:r>
      <w:proofErr w:type="spellStart"/>
      <w:r w:rsidR="001335C5" w:rsidRPr="00F95AFC">
        <w:rPr>
          <w:rFonts w:ascii="Times New Roman" w:hAnsi="Times New Roman"/>
          <w:sz w:val="24"/>
          <w:szCs w:val="24"/>
        </w:rPr>
        <w:t>và</w:t>
      </w:r>
      <w:proofErr w:type="spellEnd"/>
      <w:r w:rsidR="001335C5" w:rsidRPr="00F95AFC">
        <w:rPr>
          <w:rFonts w:ascii="Times New Roman" w:hAnsi="Times New Roman"/>
          <w:sz w:val="24"/>
          <w:szCs w:val="24"/>
        </w:rPr>
        <w:t xml:space="preserve"> Trung tâm </w:t>
      </w:r>
      <w:proofErr w:type="spellStart"/>
      <w:r w:rsidR="001335C5" w:rsidRPr="00F95AFC">
        <w:rPr>
          <w:rFonts w:ascii="Times New Roman" w:hAnsi="Times New Roman"/>
          <w:sz w:val="24"/>
          <w:szCs w:val="24"/>
        </w:rPr>
        <w:t>lưu</w:t>
      </w:r>
      <w:proofErr w:type="spellEnd"/>
      <w:r w:rsidR="001335C5" w:rsidRPr="00F95AFC">
        <w:rPr>
          <w:rFonts w:ascii="Times New Roman" w:hAnsi="Times New Roman"/>
          <w:sz w:val="24"/>
          <w:szCs w:val="24"/>
        </w:rPr>
        <w:t xml:space="preserve"> ký </w:t>
      </w:r>
      <w:proofErr w:type="spellStart"/>
      <w:r w:rsidR="001335C5" w:rsidRPr="00F95AFC">
        <w:rPr>
          <w:rFonts w:ascii="Times New Roman" w:hAnsi="Times New Roman"/>
          <w:sz w:val="24"/>
          <w:szCs w:val="24"/>
        </w:rPr>
        <w:t>chứng</w:t>
      </w:r>
      <w:proofErr w:type="spellEnd"/>
      <w:r w:rsidR="001335C5" w:rsidRPr="00F95AFC">
        <w:rPr>
          <w:rFonts w:ascii="Times New Roman" w:hAnsi="Times New Roman"/>
          <w:sz w:val="24"/>
          <w:szCs w:val="24"/>
        </w:rPr>
        <w:t xml:space="preserve"> khoán Việt </w:t>
      </w:r>
      <w:proofErr w:type="spellStart"/>
      <w:r w:rsidR="001335C5" w:rsidRPr="00F95AFC">
        <w:rPr>
          <w:rFonts w:ascii="Times New Roman" w:hAnsi="Times New Roman"/>
          <w:sz w:val="24"/>
          <w:szCs w:val="24"/>
        </w:rPr>
        <w:t>nam</w:t>
      </w:r>
      <w:proofErr w:type="spellEnd"/>
      <w:r w:rsidR="001335C5" w:rsidRPr="00F95AFC">
        <w:rPr>
          <w:rFonts w:ascii="Times New Roman" w:hAnsi="Times New Roman"/>
          <w:sz w:val="24"/>
          <w:szCs w:val="24"/>
        </w:rPr>
        <w:t xml:space="preserve"> (VSD)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dịch</w:t>
      </w:r>
      <w:proofErr w:type="spellEnd"/>
      <w:r w:rsidRPr="00F95AFC">
        <w:rPr>
          <w:rFonts w:ascii="Times New Roman" w:hAnsi="Times New Roman"/>
          <w:sz w:val="24"/>
          <w:szCs w:val="24"/>
        </w:rPr>
        <w:t xml:space="preserve"> vụ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là</w:t>
      </w:r>
      <w:proofErr w:type="spellEnd"/>
      <w:r w:rsidR="0085228D" w:rsidRPr="00F95AFC">
        <w:rPr>
          <w:rFonts w:ascii="Times New Roman" w:hAnsi="Times New Roman"/>
          <w:sz w:val="24"/>
          <w:szCs w:val="24"/>
        </w:rPr>
        <w:t>:</w:t>
      </w:r>
      <w:r w:rsidRPr="00F95AFC">
        <w:rPr>
          <w:rFonts w:ascii="Times New Roman" w:hAnsi="Times New Roman"/>
          <w:sz w:val="24"/>
          <w:szCs w:val="24"/>
        </w:rPr>
        <w:t xml:space="preserve"> </w:t>
      </w:r>
      <w:r w:rsidR="002349E3" w:rsidRPr="00F95AFC">
        <w:rPr>
          <w:rFonts w:ascii="Times New Roman" w:hAnsi="Times New Roman"/>
          <w:color w:val="000000"/>
          <w:sz w:val="24"/>
          <w:szCs w:val="24"/>
          <w:lang w:val="en-SG" w:eastAsia="en-SG"/>
        </w:rPr>
        <w:t xml:space="preserve"> </w:t>
      </w:r>
      <w:r w:rsidR="006A51DD" w:rsidRPr="00F95AFC">
        <w:rPr>
          <w:rFonts w:ascii="Times New Roman" w:hAnsi="Times New Roman"/>
          <w:color w:val="000000"/>
          <w:sz w:val="24"/>
          <w:szCs w:val="24"/>
          <w:lang w:val="en-SG" w:eastAsia="en-SG"/>
        </w:rPr>
        <w:t xml:space="preserve">279.675.000 </w:t>
      </w:r>
      <w:r w:rsidRPr="00F95AFC">
        <w:rPr>
          <w:rFonts w:ascii="Times New Roman" w:hAnsi="Times New Roman"/>
          <w:sz w:val="24"/>
          <w:szCs w:val="24"/>
        </w:rPr>
        <w:t>VNĐ</w:t>
      </w:r>
    </w:p>
    <w:tbl>
      <w:tblPr>
        <w:tblW w:w="9900" w:type="dxa"/>
        <w:jc w:val="center"/>
        <w:tblCellMar>
          <w:left w:w="0" w:type="dxa"/>
          <w:right w:w="0" w:type="dxa"/>
        </w:tblCellMar>
        <w:tblLook w:val="04A0" w:firstRow="1" w:lastRow="0" w:firstColumn="1" w:lastColumn="0" w:noHBand="0" w:noVBand="1"/>
      </w:tblPr>
      <w:tblGrid>
        <w:gridCol w:w="6731"/>
        <w:gridCol w:w="3169"/>
      </w:tblGrid>
      <w:tr w:rsidR="0085228D" w:rsidRPr="00F95AFC" w14:paraId="78A2A338" w14:textId="77777777" w:rsidTr="00FF72F7">
        <w:trPr>
          <w:trHeight w:val="575"/>
          <w:jc w:val="center"/>
        </w:trPr>
        <w:tc>
          <w:tcPr>
            <w:tcW w:w="67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Bên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nhận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ủy</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quyền</w:t>
            </w:r>
            <w:proofErr w:type="spellEnd"/>
          </w:p>
        </w:tc>
        <w:tc>
          <w:tcPr>
            <w:tcW w:w="316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Số</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tiền</w:t>
            </w:r>
            <w:proofErr w:type="spellEnd"/>
          </w:p>
        </w:tc>
      </w:tr>
      <w:tr w:rsidR="006A51DD" w:rsidRPr="00F95AFC" w14:paraId="42B8E313" w14:textId="77777777" w:rsidTr="00304D98">
        <w:trPr>
          <w:trHeight w:val="326"/>
          <w:jc w:val="center"/>
        </w:trPr>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F625C01" w:rsidR="006A51DD" w:rsidRPr="00F95AFC" w:rsidRDefault="006A51DD"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Ngân </w:t>
            </w:r>
            <w:proofErr w:type="spellStart"/>
            <w:r w:rsidRPr="00F95AFC">
              <w:rPr>
                <w:rFonts w:ascii="Times New Roman" w:hAnsi="Times New Roman"/>
                <w:sz w:val="24"/>
                <w:szCs w:val="24"/>
              </w:rPr>
              <w:t>hàng</w:t>
            </w:r>
            <w:proofErr w:type="spellEnd"/>
            <w:r w:rsidRPr="00F95AFC">
              <w:rPr>
                <w:rFonts w:ascii="Times New Roman" w:hAnsi="Times New Roman"/>
                <w:sz w:val="24"/>
                <w:szCs w:val="24"/>
              </w:rPr>
              <w:t xml:space="preserve"> TNHH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thành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viên</w:t>
            </w:r>
            <w:proofErr w:type="spellEnd"/>
            <w:r w:rsidRPr="00F95AFC">
              <w:rPr>
                <w:rFonts w:ascii="Times New Roman" w:hAnsi="Times New Roman"/>
                <w:sz w:val="24"/>
                <w:szCs w:val="24"/>
              </w:rPr>
              <w:t xml:space="preserve"> Standard Chartered (Việt Nam)</w:t>
            </w:r>
          </w:p>
        </w:tc>
        <w:tc>
          <w:tcPr>
            <w:tcW w:w="3169" w:type="dxa"/>
            <w:tcBorders>
              <w:top w:val="single" w:sz="4" w:space="0" w:color="auto"/>
              <w:left w:val="nil"/>
              <w:bottom w:val="single" w:sz="4" w:space="0" w:color="auto"/>
              <w:right w:val="single" w:sz="4" w:space="0" w:color="auto"/>
            </w:tcBorders>
            <w:shd w:val="clear" w:color="000000" w:fill="auto"/>
          </w:tcPr>
          <w:p w14:paraId="1026FCB2" w14:textId="7E472D54" w:rsidR="006A51DD" w:rsidRPr="00F95AFC" w:rsidRDefault="006A51DD" w:rsidP="00F95AFC">
            <w:pPr>
              <w:spacing w:before="120" w:line="360" w:lineRule="auto"/>
              <w:jc w:val="center"/>
              <w:rPr>
                <w:rFonts w:ascii="Times New Roman" w:hAnsi="Times New Roman"/>
                <w:sz w:val="24"/>
                <w:szCs w:val="24"/>
              </w:rPr>
            </w:pPr>
            <w:r w:rsidRPr="00F95AFC">
              <w:rPr>
                <w:rFonts w:ascii="Times New Roman" w:hAnsi="Times New Roman"/>
                <w:sz w:val="24"/>
                <w:szCs w:val="24"/>
              </w:rPr>
              <w:t xml:space="preserve"> 213.675.000 </w:t>
            </w:r>
          </w:p>
        </w:tc>
      </w:tr>
      <w:tr w:rsidR="006A51DD" w:rsidRPr="00F95AFC" w14:paraId="3E076768" w14:textId="77777777" w:rsidTr="00304D98">
        <w:trPr>
          <w:trHeight w:val="326"/>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125C872B" w14:textId="5801830C" w:rsidR="006A51DD" w:rsidRPr="00F95AFC" w:rsidRDefault="006A51DD"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Trung tâm </w:t>
            </w:r>
            <w:proofErr w:type="spellStart"/>
            <w:r w:rsidRPr="00F95AFC">
              <w:rPr>
                <w:rFonts w:ascii="Times New Roman" w:hAnsi="Times New Roman"/>
                <w:sz w:val="24"/>
                <w:szCs w:val="24"/>
              </w:rPr>
              <w:t>lưu</w:t>
            </w:r>
            <w:proofErr w:type="spellEnd"/>
            <w:r w:rsidRPr="00F95AFC">
              <w:rPr>
                <w:rFonts w:ascii="Times New Roman" w:hAnsi="Times New Roman"/>
                <w:sz w:val="24"/>
                <w:szCs w:val="24"/>
              </w:rPr>
              <w:t xml:space="preserve"> ký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Việt </w:t>
            </w:r>
            <w:proofErr w:type="spellStart"/>
            <w:r w:rsidRPr="00F95AFC">
              <w:rPr>
                <w:rFonts w:ascii="Times New Roman" w:hAnsi="Times New Roman"/>
                <w:sz w:val="24"/>
                <w:szCs w:val="24"/>
              </w:rPr>
              <w:t>nam</w:t>
            </w:r>
            <w:proofErr w:type="spellEnd"/>
            <w:r w:rsidRPr="00F95AFC">
              <w:rPr>
                <w:rFonts w:ascii="Times New Roman" w:hAnsi="Times New Roman"/>
                <w:sz w:val="24"/>
                <w:szCs w:val="24"/>
              </w:rPr>
              <w:t xml:space="preserve"> (VSD)</w:t>
            </w:r>
          </w:p>
        </w:tc>
        <w:tc>
          <w:tcPr>
            <w:tcW w:w="3169" w:type="dxa"/>
            <w:tcBorders>
              <w:top w:val="single" w:sz="4" w:space="0" w:color="auto"/>
              <w:left w:val="nil"/>
              <w:bottom w:val="single" w:sz="4" w:space="0" w:color="auto"/>
              <w:right w:val="single" w:sz="4" w:space="0" w:color="auto"/>
            </w:tcBorders>
            <w:shd w:val="clear" w:color="000000" w:fill="auto"/>
          </w:tcPr>
          <w:p w14:paraId="02BA3EC9" w14:textId="040FC063" w:rsidR="006A51DD" w:rsidRPr="00F95AFC" w:rsidRDefault="006A51DD" w:rsidP="00F95AFC">
            <w:pPr>
              <w:spacing w:before="120" w:line="360" w:lineRule="auto"/>
              <w:jc w:val="center"/>
              <w:rPr>
                <w:rFonts w:ascii="Times New Roman" w:hAnsi="Times New Roman"/>
                <w:sz w:val="24"/>
                <w:szCs w:val="24"/>
              </w:rPr>
            </w:pPr>
            <w:r w:rsidRPr="00F95AFC">
              <w:rPr>
                <w:rFonts w:ascii="Times New Roman" w:hAnsi="Times New Roman"/>
                <w:sz w:val="24"/>
                <w:szCs w:val="24"/>
              </w:rPr>
              <w:t xml:space="preserve"> 66.000.000 </w:t>
            </w:r>
          </w:p>
        </w:tc>
      </w:tr>
      <w:tr w:rsidR="0003387A" w:rsidRPr="00F95AFC" w14:paraId="41E6FEBA" w14:textId="77777777" w:rsidTr="00304D98">
        <w:trPr>
          <w:trHeight w:val="230"/>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r w:rsidRPr="00F95AFC">
              <w:rPr>
                <w:rFonts w:ascii="Times New Roman" w:hAnsi="Times New Roman"/>
                <w:b/>
                <w:sz w:val="24"/>
                <w:szCs w:val="24"/>
              </w:rPr>
              <w:t xml:space="preserve"> (VND)</w:t>
            </w:r>
          </w:p>
        </w:tc>
        <w:tc>
          <w:tcPr>
            <w:tcW w:w="3169" w:type="dxa"/>
            <w:tcBorders>
              <w:top w:val="single" w:sz="4" w:space="0" w:color="auto"/>
              <w:left w:val="nil"/>
              <w:bottom w:val="single" w:sz="4" w:space="0" w:color="auto"/>
              <w:right w:val="single" w:sz="4" w:space="0" w:color="auto"/>
            </w:tcBorders>
            <w:shd w:val="clear" w:color="000000" w:fill="auto"/>
          </w:tcPr>
          <w:p w14:paraId="306C32D6" w14:textId="4F115395" w:rsidR="0003387A" w:rsidRPr="00F95AFC" w:rsidRDefault="006A51DD" w:rsidP="00F95AFC">
            <w:pPr>
              <w:spacing w:before="120" w:line="360" w:lineRule="auto"/>
              <w:jc w:val="center"/>
              <w:rPr>
                <w:rFonts w:ascii="Times New Roman" w:hAnsi="Times New Roman"/>
                <w:b/>
                <w:sz w:val="24"/>
                <w:szCs w:val="24"/>
              </w:rPr>
            </w:pPr>
            <w:r w:rsidRPr="00F95AFC">
              <w:rPr>
                <w:rFonts w:ascii="Times New Roman" w:hAnsi="Times New Roman"/>
                <w:b/>
                <w:color w:val="000000"/>
                <w:sz w:val="24"/>
                <w:szCs w:val="24"/>
                <w:lang w:val="en-SG" w:eastAsia="en-SG"/>
              </w:rPr>
              <w:t>279.675.000</w:t>
            </w:r>
          </w:p>
        </w:tc>
      </w:tr>
    </w:tbl>
    <w:p w14:paraId="55C70E3E" w14:textId="77777777" w:rsidR="0085228D" w:rsidRPr="00F95AFC" w:rsidRDefault="0085228D" w:rsidP="00F95AFC">
      <w:pPr>
        <w:spacing w:before="120" w:line="360" w:lineRule="auto"/>
        <w:jc w:val="both"/>
        <w:rPr>
          <w:rFonts w:ascii="Times New Roman" w:hAnsi="Times New Roman"/>
          <w:sz w:val="24"/>
          <w:szCs w:val="24"/>
        </w:rPr>
      </w:pPr>
    </w:p>
    <w:p w14:paraId="2D608BDC" w14:textId="77777777" w:rsidR="000A08C1"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duy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trì</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soát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rủi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tầng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kỹ</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nóng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họa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thông </w:t>
      </w:r>
      <w:proofErr w:type="spellStart"/>
      <w:r w:rsidRPr="00F95AFC">
        <w:rPr>
          <w:rFonts w:ascii="Times New Roman" w:hAnsi="Times New Roman"/>
          <w:sz w:val="24"/>
          <w:szCs w:val="24"/>
        </w:rPr>
        <w:t>suốt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gây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ảnh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00FE3294" w:rsidRPr="00F95AFC">
        <w:rPr>
          <w:rFonts w:ascii="Times New Roman" w:hAnsi="Times New Roman"/>
          <w:sz w:val="24"/>
          <w:szCs w:val="24"/>
        </w:rPr>
        <w:t>tư</w:t>
      </w:r>
      <w:proofErr w:type="spellEnd"/>
      <w:r w:rsidR="00FE3294" w:rsidRPr="00F95AFC">
        <w:rPr>
          <w:rFonts w:ascii="Times New Roman" w:hAnsi="Times New Roman"/>
          <w:sz w:val="24"/>
          <w:szCs w:val="24"/>
        </w:rPr>
        <w:t>:</w:t>
      </w:r>
    </w:p>
    <w:p w14:paraId="507A5736" w14:textId="7566E9B4" w:rsidR="003F0046" w:rsidRPr="00F95AFC" w:rsidRDefault="000A08C1"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Theo </w:t>
      </w:r>
      <w:proofErr w:type="spellStart"/>
      <w:r w:rsidRPr="00F95AFC">
        <w:rPr>
          <w:rFonts w:ascii="Times New Roman" w:hAnsi="Times New Roman"/>
          <w:sz w:val="24"/>
          <w:szCs w:val="24"/>
        </w:rPr>
        <w:t>ghi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C</w:t>
      </w:r>
      <w:r w:rsidR="000549F2" w:rsidRPr="00F95AFC">
        <w:rPr>
          <w:rFonts w:ascii="Times New Roman" w:hAnsi="Times New Roman"/>
          <w:sz w:val="24"/>
          <w:szCs w:val="24"/>
        </w:rPr>
        <w:t>ô</w:t>
      </w:r>
      <w:r w:rsidRPr="00F95AFC">
        <w:rPr>
          <w:rFonts w:ascii="Times New Roman" w:hAnsi="Times New Roman"/>
          <w:sz w:val="24"/>
          <w:szCs w:val="24"/>
        </w:rPr>
        <w:t xml:space="preserve">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đáp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ứng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yêu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duy</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trì</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kiểm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soát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nội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bộ</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quản</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trị</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rủi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ro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tính</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bảo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mật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hạ</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tầng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cơ</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sở</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vật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chất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kỹ</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thuật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dự</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phòng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nóng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dư</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phòng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thảm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họa</w:t>
      </w:r>
      <w:proofErr w:type="spellEnd"/>
      <w:r w:rsidR="000549F2" w:rsidRPr="00F95AFC">
        <w:rPr>
          <w:rFonts w:ascii="Times New Roman" w:hAnsi="Times New Roman"/>
          <w:sz w:val="24"/>
          <w:szCs w:val="24"/>
        </w:rPr>
        <w:t>...</w:t>
      </w:r>
      <w:proofErr w:type="spellStart"/>
      <w:r w:rsidR="000549F2" w:rsidRPr="00F95AFC">
        <w:rPr>
          <w:rFonts w:ascii="Times New Roman" w:hAnsi="Times New Roman"/>
          <w:sz w:val="24"/>
          <w:szCs w:val="24"/>
        </w:rPr>
        <w:t>bảo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đảm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hoạt</w:t>
      </w:r>
      <w:proofErr w:type="spellEnd"/>
      <w:r w:rsidR="000549F2" w:rsidRPr="00F95AFC">
        <w:rPr>
          <w:rFonts w:ascii="Times New Roman" w:hAnsi="Times New Roman"/>
          <w:sz w:val="24"/>
          <w:szCs w:val="24"/>
        </w:rPr>
        <w:t xml:space="preserve"> </w:t>
      </w:r>
      <w:proofErr w:type="spellStart"/>
      <w:r w:rsidR="00BC4063" w:rsidRPr="00F95AFC">
        <w:rPr>
          <w:rFonts w:ascii="Times New Roman" w:hAnsi="Times New Roman"/>
          <w:sz w:val="24"/>
          <w:szCs w:val="24"/>
        </w:rPr>
        <w:t>động</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ủy</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quyền</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được</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thực</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hiện</w:t>
      </w:r>
      <w:proofErr w:type="spellEnd"/>
      <w:r w:rsidR="00BC4063" w:rsidRPr="00F95AFC">
        <w:rPr>
          <w:rFonts w:ascii="Times New Roman" w:hAnsi="Times New Roman"/>
          <w:sz w:val="24"/>
          <w:szCs w:val="24"/>
        </w:rPr>
        <w:t xml:space="preserve"> thô</w:t>
      </w:r>
      <w:r w:rsidR="000549F2" w:rsidRPr="00F95AFC">
        <w:rPr>
          <w:rFonts w:ascii="Times New Roman" w:hAnsi="Times New Roman"/>
          <w:sz w:val="24"/>
          <w:szCs w:val="24"/>
        </w:rPr>
        <w:t xml:space="preserve">ng </w:t>
      </w:r>
      <w:proofErr w:type="spellStart"/>
      <w:r w:rsidR="000549F2" w:rsidRPr="00F95AFC">
        <w:rPr>
          <w:rFonts w:ascii="Times New Roman" w:hAnsi="Times New Roman"/>
          <w:sz w:val="24"/>
          <w:szCs w:val="24"/>
        </w:rPr>
        <w:t>suốt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không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gây</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ảnh</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hưởng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tới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hoạt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động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đầu</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tư</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của</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Nhà</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đầu</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tư</w:t>
      </w:r>
      <w:proofErr w:type="spellEnd"/>
      <w:r w:rsidR="000549F2" w:rsidRPr="00F95AFC">
        <w:rPr>
          <w:rFonts w:ascii="Times New Roman" w:hAnsi="Times New Roman"/>
          <w:sz w:val="24"/>
          <w:szCs w:val="24"/>
        </w:rPr>
        <w:t>.</w:t>
      </w:r>
    </w:p>
    <w:p w14:paraId="56417867" w14:textId="77777777" w:rsidR="000A08C1" w:rsidRPr="00F95AFC" w:rsidRDefault="000A08C1" w:rsidP="00F95AFC">
      <w:pPr>
        <w:spacing w:before="120" w:line="360" w:lineRule="auto"/>
        <w:jc w:val="both"/>
        <w:rPr>
          <w:rFonts w:ascii="Times New Roman" w:hAnsi="Times New Roman"/>
          <w:sz w:val="24"/>
          <w:szCs w:val="24"/>
        </w:rPr>
      </w:pPr>
    </w:p>
    <w:tbl>
      <w:tblPr>
        <w:tblW w:w="0" w:type="auto"/>
        <w:tblLook w:val="01E0" w:firstRow="1" w:lastRow="1" w:firstColumn="1" w:lastColumn="1" w:noHBand="0" w:noVBand="0"/>
      </w:tblPr>
      <w:tblGrid>
        <w:gridCol w:w="4895"/>
        <w:gridCol w:w="4915"/>
      </w:tblGrid>
      <w:tr w:rsidR="003F0046" w:rsidRPr="00F95AFC" w14:paraId="7E6BADD5" w14:textId="77777777" w:rsidTr="0097011E">
        <w:tc>
          <w:tcPr>
            <w:tcW w:w="4988" w:type="dxa"/>
          </w:tcPr>
          <w:p w14:paraId="2B9D504D" w14:textId="77777777" w:rsidR="003F0046" w:rsidRPr="00F95AFC" w:rsidRDefault="003F0046" w:rsidP="00F95AFC">
            <w:pPr>
              <w:spacing w:before="120" w:line="360" w:lineRule="auto"/>
              <w:rPr>
                <w:rFonts w:ascii="Times New Roman" w:hAnsi="Times New Roman"/>
                <w:sz w:val="24"/>
                <w:szCs w:val="24"/>
              </w:rPr>
            </w:pPr>
          </w:p>
        </w:tc>
        <w:tc>
          <w:tcPr>
            <w:tcW w:w="4988" w:type="dxa"/>
          </w:tcPr>
          <w:p w14:paraId="65BF0CD3" w14:textId="33BE4744" w:rsidR="00A770A8" w:rsidRPr="00F95AFC" w:rsidRDefault="00A770A8" w:rsidP="00F95AFC">
            <w:pPr>
              <w:spacing w:before="120" w:line="360" w:lineRule="auto"/>
              <w:jc w:val="center"/>
              <w:rPr>
                <w:rFonts w:ascii="Times New Roman" w:hAnsi="Times New Roman"/>
                <w:b/>
                <w:sz w:val="24"/>
                <w:szCs w:val="24"/>
              </w:rPr>
            </w:pPr>
            <w:r w:rsidRPr="00F95AFC">
              <w:rPr>
                <w:rFonts w:ascii="Times New Roman" w:hAnsi="Times New Roman"/>
                <w:b/>
                <w:sz w:val="24"/>
                <w:szCs w:val="24"/>
              </w:rPr>
              <w:t xml:space="preserve">TP.HCM,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w:t>
            </w:r>
            <w:r w:rsidR="006F0FA5">
              <w:rPr>
                <w:rFonts w:ascii="Times New Roman" w:hAnsi="Times New Roman"/>
                <w:b/>
                <w:sz w:val="24"/>
                <w:szCs w:val="24"/>
              </w:rPr>
              <w:t>14</w:t>
            </w:r>
            <w:r w:rsidRPr="00F95AFC">
              <w:rPr>
                <w:rFonts w:ascii="Times New Roman" w:hAnsi="Times New Roman"/>
                <w:b/>
                <w:sz w:val="24"/>
                <w:szCs w:val="24"/>
              </w:rPr>
              <w:t xml:space="preserve"> </w:t>
            </w:r>
            <w:proofErr w:type="spellStart"/>
            <w:r w:rsidRPr="00F95AFC">
              <w:rPr>
                <w:rFonts w:ascii="Times New Roman" w:hAnsi="Times New Roman"/>
                <w:b/>
                <w:sz w:val="24"/>
                <w:szCs w:val="24"/>
              </w:rPr>
              <w:t>tháng</w:t>
            </w:r>
            <w:proofErr w:type="spellEnd"/>
            <w:r w:rsidRPr="00F95AFC">
              <w:rPr>
                <w:rFonts w:ascii="Times New Roman" w:hAnsi="Times New Roman"/>
                <w:b/>
                <w:sz w:val="24"/>
                <w:szCs w:val="24"/>
              </w:rPr>
              <w:t xml:space="preserve"> </w:t>
            </w:r>
            <w:r w:rsidR="00A27C8E" w:rsidRPr="00F95AFC">
              <w:rPr>
                <w:rFonts w:ascii="Times New Roman" w:hAnsi="Times New Roman"/>
                <w:b/>
                <w:sz w:val="24"/>
                <w:szCs w:val="24"/>
              </w:rPr>
              <w:t>0</w:t>
            </w:r>
            <w:r w:rsidR="00E7351C" w:rsidRPr="00F95AFC">
              <w:rPr>
                <w:rFonts w:ascii="Times New Roman" w:hAnsi="Times New Roman"/>
                <w:b/>
                <w:sz w:val="24"/>
                <w:szCs w:val="24"/>
              </w:rPr>
              <w:t>8</w:t>
            </w:r>
            <w:r w:rsidRPr="00F95AFC">
              <w:rPr>
                <w:rFonts w:ascii="Times New Roman" w:hAnsi="Times New Roman"/>
                <w:b/>
                <w:sz w:val="24"/>
                <w:szCs w:val="24"/>
              </w:rPr>
              <w:t xml:space="preserve"> </w:t>
            </w:r>
            <w:proofErr w:type="spellStart"/>
            <w:r w:rsidRPr="00F95AFC">
              <w:rPr>
                <w:rFonts w:ascii="Times New Roman" w:hAnsi="Times New Roman"/>
                <w:b/>
                <w:sz w:val="24"/>
                <w:szCs w:val="24"/>
              </w:rPr>
              <w:t>năm</w:t>
            </w:r>
            <w:proofErr w:type="spellEnd"/>
            <w:r w:rsidRPr="00F95AFC">
              <w:rPr>
                <w:rFonts w:ascii="Times New Roman" w:hAnsi="Times New Roman"/>
                <w:b/>
                <w:sz w:val="24"/>
                <w:szCs w:val="24"/>
              </w:rPr>
              <w:t xml:space="preserve"> 20</w:t>
            </w:r>
            <w:r w:rsidR="00117747" w:rsidRPr="00F95AFC">
              <w:rPr>
                <w:rFonts w:ascii="Times New Roman" w:hAnsi="Times New Roman"/>
                <w:b/>
                <w:sz w:val="24"/>
                <w:szCs w:val="24"/>
              </w:rPr>
              <w:t>2</w:t>
            </w:r>
            <w:r w:rsidR="006A51DD" w:rsidRPr="00F95AFC">
              <w:rPr>
                <w:rFonts w:ascii="Times New Roman" w:hAnsi="Times New Roman"/>
                <w:b/>
                <w:sz w:val="24"/>
                <w:szCs w:val="24"/>
              </w:rPr>
              <w:t>3</w:t>
            </w:r>
          </w:p>
          <w:p w14:paraId="4D1E7409" w14:textId="640BB863" w:rsidR="003F0046" w:rsidRPr="00F95AFC" w:rsidRDefault="00123727"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Ch</w:t>
            </w:r>
            <w:r w:rsidR="00E7351C" w:rsidRPr="00F95AFC">
              <w:rPr>
                <w:rFonts w:ascii="Times New Roman" w:hAnsi="Times New Roman"/>
                <w:b/>
                <w:sz w:val="24"/>
                <w:szCs w:val="24"/>
              </w:rPr>
              <w:t>ủ</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tịch</w:t>
            </w:r>
            <w:proofErr w:type="spellEnd"/>
            <w:r w:rsidR="003F0046" w:rsidRPr="00F95AFC">
              <w:rPr>
                <w:rFonts w:ascii="Times New Roman" w:hAnsi="Times New Roman"/>
                <w:b/>
                <w:sz w:val="24"/>
                <w:szCs w:val="24"/>
              </w:rPr>
              <w:t xml:space="preserve"> Công ty </w:t>
            </w:r>
            <w:proofErr w:type="spellStart"/>
            <w:r w:rsidR="003F0046" w:rsidRPr="00F95AFC">
              <w:rPr>
                <w:rFonts w:ascii="Times New Roman" w:hAnsi="Times New Roman"/>
                <w:b/>
                <w:sz w:val="24"/>
                <w:szCs w:val="24"/>
              </w:rPr>
              <w:t>quản</w:t>
            </w:r>
            <w:proofErr w:type="spellEnd"/>
            <w:r w:rsidR="003F0046" w:rsidRPr="00F95AFC">
              <w:rPr>
                <w:rFonts w:ascii="Times New Roman" w:hAnsi="Times New Roman"/>
                <w:b/>
                <w:sz w:val="24"/>
                <w:szCs w:val="24"/>
              </w:rPr>
              <w:t xml:space="preserve"> </w:t>
            </w:r>
            <w:proofErr w:type="spellStart"/>
            <w:r w:rsidR="003F0046" w:rsidRPr="00F95AFC">
              <w:rPr>
                <w:rFonts w:ascii="Times New Roman" w:hAnsi="Times New Roman"/>
                <w:b/>
                <w:sz w:val="24"/>
                <w:szCs w:val="24"/>
              </w:rPr>
              <w:t>lý</w:t>
            </w:r>
            <w:proofErr w:type="spellEnd"/>
            <w:r w:rsidR="003F0046" w:rsidRPr="00F95AFC">
              <w:rPr>
                <w:rFonts w:ascii="Times New Roman" w:hAnsi="Times New Roman"/>
                <w:b/>
                <w:sz w:val="24"/>
                <w:szCs w:val="24"/>
              </w:rPr>
              <w:t xml:space="preserve"> quỹ</w:t>
            </w:r>
          </w:p>
          <w:p w14:paraId="79F8D13A" w14:textId="597FA790" w:rsidR="00F95AFC" w:rsidRDefault="00F95AFC" w:rsidP="00B21D4F">
            <w:pPr>
              <w:spacing w:before="120" w:line="360" w:lineRule="auto"/>
              <w:rPr>
                <w:rFonts w:ascii="Times New Roman" w:hAnsi="Times New Roman"/>
                <w:b/>
                <w:i/>
                <w:sz w:val="24"/>
                <w:szCs w:val="24"/>
              </w:rPr>
            </w:pPr>
          </w:p>
          <w:p w14:paraId="114C2525" w14:textId="3B30F6E2" w:rsidR="00F95AFC" w:rsidRDefault="00F95AFC" w:rsidP="00F95AFC">
            <w:pPr>
              <w:spacing w:before="120" w:line="360" w:lineRule="auto"/>
              <w:jc w:val="center"/>
              <w:rPr>
                <w:rFonts w:ascii="Times New Roman" w:hAnsi="Times New Roman"/>
                <w:b/>
                <w:i/>
                <w:sz w:val="24"/>
                <w:szCs w:val="24"/>
              </w:rPr>
            </w:pPr>
          </w:p>
          <w:p w14:paraId="607C145E" w14:textId="77777777" w:rsidR="00B21D4F" w:rsidRPr="00F95AFC" w:rsidRDefault="00B21D4F" w:rsidP="00F95AFC">
            <w:pPr>
              <w:spacing w:before="120" w:line="360" w:lineRule="auto"/>
              <w:jc w:val="center"/>
              <w:rPr>
                <w:rFonts w:ascii="Times New Roman" w:hAnsi="Times New Roman"/>
                <w:b/>
                <w:i/>
                <w:sz w:val="24"/>
                <w:szCs w:val="24"/>
              </w:rPr>
            </w:pPr>
          </w:p>
          <w:p w14:paraId="5C4FDA04" w14:textId="461E5D0D" w:rsidR="00B4531A" w:rsidRPr="00B21D4F" w:rsidRDefault="00123727" w:rsidP="00B21D4F">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Bùi</w:t>
            </w:r>
            <w:proofErr w:type="spellEnd"/>
            <w:r w:rsidRPr="00F95AFC">
              <w:rPr>
                <w:rFonts w:ascii="Times New Roman" w:hAnsi="Times New Roman"/>
                <w:b/>
                <w:sz w:val="24"/>
                <w:szCs w:val="24"/>
              </w:rPr>
              <w:t xml:space="preserve"> Thanh </w:t>
            </w:r>
            <w:proofErr w:type="spellStart"/>
            <w:r w:rsidRPr="00F95AFC">
              <w:rPr>
                <w:rFonts w:ascii="Times New Roman" w:hAnsi="Times New Roman"/>
                <w:b/>
                <w:sz w:val="24"/>
                <w:szCs w:val="24"/>
              </w:rPr>
              <w:t>Hiệp</w:t>
            </w:r>
            <w:proofErr w:type="spellEnd"/>
          </w:p>
        </w:tc>
      </w:tr>
    </w:tbl>
    <w:p w14:paraId="03F8B12E" w14:textId="77777777" w:rsidR="006F7518" w:rsidRPr="00F95AFC" w:rsidRDefault="006560DE" w:rsidP="00F95AFC">
      <w:pPr>
        <w:spacing w:line="360" w:lineRule="auto"/>
        <w:rPr>
          <w:rFonts w:ascii="Times New Roman" w:hAnsi="Times New Roman"/>
          <w:sz w:val="24"/>
          <w:szCs w:val="24"/>
        </w:rPr>
      </w:pPr>
    </w:p>
    <w:sectPr w:rsidR="006F7518" w:rsidRPr="00F95AFC" w:rsidSect="00F95AFC">
      <w:pgSz w:w="12240" w:h="15840"/>
      <w:pgMar w:top="99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ubb Publico Text VN Roman">
    <w:charset w:val="00"/>
    <w:family w:val="roman"/>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6338"/>
    <w:multiLevelType w:val="hybridMultilevel"/>
    <w:tmpl w:val="F024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324B2"/>
    <w:multiLevelType w:val="hybridMultilevel"/>
    <w:tmpl w:val="87FAE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928"/>
    <w:multiLevelType w:val="hybridMultilevel"/>
    <w:tmpl w:val="B7B89ED8"/>
    <w:lvl w:ilvl="0" w:tplc="04090005">
      <w:start w:val="1"/>
      <w:numFmt w:val="bullet"/>
      <w:lvlText w:val=""/>
      <w:lvlJc w:val="left"/>
      <w:pPr>
        <w:ind w:left="3414" w:hanging="360"/>
      </w:pPr>
      <w:rPr>
        <w:rFonts w:ascii="Wingdings" w:hAnsi="Wingdings"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4" w15:restartNumberingAfterBreak="0">
    <w:nsid w:val="0D1E5B37"/>
    <w:multiLevelType w:val="hybridMultilevel"/>
    <w:tmpl w:val="16A05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12D46"/>
    <w:multiLevelType w:val="hybridMultilevel"/>
    <w:tmpl w:val="254AF6D4"/>
    <w:lvl w:ilvl="0" w:tplc="3DAA14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A1646"/>
    <w:multiLevelType w:val="hybridMultilevel"/>
    <w:tmpl w:val="4D58929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1517"/>
    <w:multiLevelType w:val="hybridMultilevel"/>
    <w:tmpl w:val="A002D2F8"/>
    <w:lvl w:ilvl="0" w:tplc="39B8D4AE">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22DB6"/>
    <w:multiLevelType w:val="hybridMultilevel"/>
    <w:tmpl w:val="C792A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87BD8"/>
    <w:multiLevelType w:val="hybridMultilevel"/>
    <w:tmpl w:val="B492C5A8"/>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5546D"/>
    <w:multiLevelType w:val="hybridMultilevel"/>
    <w:tmpl w:val="23B2D7FA"/>
    <w:lvl w:ilvl="0" w:tplc="48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13" w15:restartNumberingAfterBreak="0">
    <w:nsid w:val="26D72F64"/>
    <w:multiLevelType w:val="hybridMultilevel"/>
    <w:tmpl w:val="8FE02E02"/>
    <w:lvl w:ilvl="0" w:tplc="ED7AE8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52B9D"/>
    <w:multiLevelType w:val="hybridMultilevel"/>
    <w:tmpl w:val="06A64720"/>
    <w:lvl w:ilvl="0" w:tplc="4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2125BB"/>
    <w:multiLevelType w:val="multilevel"/>
    <w:tmpl w:val="3DA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93E9D"/>
    <w:multiLevelType w:val="hybridMultilevel"/>
    <w:tmpl w:val="877E6824"/>
    <w:lvl w:ilvl="0" w:tplc="B944E78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B66683"/>
    <w:multiLevelType w:val="hybridMultilevel"/>
    <w:tmpl w:val="F8A439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15D55C1"/>
    <w:multiLevelType w:val="hybridMultilevel"/>
    <w:tmpl w:val="177A2AEC"/>
    <w:lvl w:ilvl="0" w:tplc="4C18B7C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A585360"/>
    <w:multiLevelType w:val="hybridMultilevel"/>
    <w:tmpl w:val="97A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26596"/>
    <w:multiLevelType w:val="hybridMultilevel"/>
    <w:tmpl w:val="ADD2CFCE"/>
    <w:lvl w:ilvl="0" w:tplc="48090017">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18933B9"/>
    <w:multiLevelType w:val="hybridMultilevel"/>
    <w:tmpl w:val="0D1C5678"/>
    <w:lvl w:ilvl="0" w:tplc="C8920A6C">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46F7578"/>
    <w:multiLevelType w:val="hybridMultilevel"/>
    <w:tmpl w:val="792E7EC6"/>
    <w:lvl w:ilvl="0" w:tplc="E696A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02648"/>
    <w:multiLevelType w:val="hybridMultilevel"/>
    <w:tmpl w:val="534AD4F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C2C59AC"/>
    <w:multiLevelType w:val="hybridMultilevel"/>
    <w:tmpl w:val="A664DDF8"/>
    <w:lvl w:ilvl="0" w:tplc="30E4080A">
      <w:start w:val="1"/>
      <w:numFmt w:val="decimal"/>
      <w:lvlText w:val="%1."/>
      <w:lvlJc w:val="left"/>
      <w:pPr>
        <w:ind w:left="3060" w:hanging="360"/>
      </w:pPr>
      <w:rPr>
        <w:rFonts w:ascii="Times New Roman" w:hAnsi="Times New Roman" w:cs="Times New Roman" w:hint="default"/>
        <w:b w:val="0"/>
        <w:bCs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25" w15:restartNumberingAfterBreak="0">
    <w:nsid w:val="5EB87A5F"/>
    <w:multiLevelType w:val="hybridMultilevel"/>
    <w:tmpl w:val="EF5E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E4BAC"/>
    <w:multiLevelType w:val="hybridMultilevel"/>
    <w:tmpl w:val="AFA28EBC"/>
    <w:lvl w:ilvl="0" w:tplc="CDEED1D6">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27" w15:restartNumberingAfterBreak="0">
    <w:nsid w:val="634F173B"/>
    <w:multiLevelType w:val="hybridMultilevel"/>
    <w:tmpl w:val="D52C806C"/>
    <w:lvl w:ilvl="0" w:tplc="0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7864DC3"/>
    <w:multiLevelType w:val="hybridMultilevel"/>
    <w:tmpl w:val="F0E63D92"/>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8042303"/>
    <w:multiLevelType w:val="hybridMultilevel"/>
    <w:tmpl w:val="A7FE4E04"/>
    <w:lvl w:ilvl="0" w:tplc="3DAA14D0">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81FE6"/>
    <w:multiLevelType w:val="hybridMultilevel"/>
    <w:tmpl w:val="082E463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D645254"/>
    <w:multiLevelType w:val="hybridMultilevel"/>
    <w:tmpl w:val="37D41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359AF"/>
    <w:multiLevelType w:val="hybridMultilevel"/>
    <w:tmpl w:val="39D63A9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1437117"/>
    <w:multiLevelType w:val="hybridMultilevel"/>
    <w:tmpl w:val="97A6430C"/>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1CA1D37"/>
    <w:multiLevelType w:val="hybridMultilevel"/>
    <w:tmpl w:val="2FD430C0"/>
    <w:lvl w:ilvl="0" w:tplc="C0446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90116"/>
    <w:multiLevelType w:val="hybridMultilevel"/>
    <w:tmpl w:val="0C04318E"/>
    <w:lvl w:ilvl="0" w:tplc="8EAE4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B846EF"/>
    <w:multiLevelType w:val="hybridMultilevel"/>
    <w:tmpl w:val="C56684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D50330B"/>
    <w:multiLevelType w:val="hybridMultilevel"/>
    <w:tmpl w:val="DBB8C0A8"/>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E5A062B"/>
    <w:multiLevelType w:val="hybridMultilevel"/>
    <w:tmpl w:val="509A9C52"/>
    <w:lvl w:ilvl="0" w:tplc="2C5079CE">
      <w:start w:val="7"/>
      <w:numFmt w:val="bullet"/>
      <w:lvlText w:val="-"/>
      <w:lvlJc w:val="left"/>
      <w:pPr>
        <w:ind w:left="1440" w:hanging="360"/>
      </w:pPr>
      <w:rPr>
        <w:rFonts w:ascii="Chubb Publico Text VN Roman" w:eastAsia="Times New Roman" w:hAnsi="Chubb Publico Text VN Roman" w:cs="Times New Roman" w:hint="default"/>
        <w:b/>
        <w:i w:val="0"/>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F53149"/>
    <w:multiLevelType w:val="hybridMultilevel"/>
    <w:tmpl w:val="1312EF5E"/>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648632241">
    <w:abstractNumId w:val="9"/>
  </w:num>
  <w:num w:numId="2" w16cid:durableId="1768961832">
    <w:abstractNumId w:val="8"/>
  </w:num>
  <w:num w:numId="3" w16cid:durableId="340476327">
    <w:abstractNumId w:val="25"/>
  </w:num>
  <w:num w:numId="4" w16cid:durableId="2001226439">
    <w:abstractNumId w:val="11"/>
  </w:num>
  <w:num w:numId="5" w16cid:durableId="1722483144">
    <w:abstractNumId w:val="34"/>
  </w:num>
  <w:num w:numId="6" w16cid:durableId="1850220908">
    <w:abstractNumId w:val="22"/>
  </w:num>
  <w:num w:numId="7" w16cid:durableId="569191516">
    <w:abstractNumId w:val="0"/>
  </w:num>
  <w:num w:numId="8" w16cid:durableId="1925215341">
    <w:abstractNumId w:val="15"/>
  </w:num>
  <w:num w:numId="9" w16cid:durableId="1907760664">
    <w:abstractNumId w:val="14"/>
  </w:num>
  <w:num w:numId="10" w16cid:durableId="911550372">
    <w:abstractNumId w:val="17"/>
  </w:num>
  <w:num w:numId="11" w16cid:durableId="1645699822">
    <w:abstractNumId w:val="3"/>
  </w:num>
  <w:num w:numId="12" w16cid:durableId="2097702095">
    <w:abstractNumId w:val="1"/>
  </w:num>
  <w:num w:numId="13" w16cid:durableId="1506163164">
    <w:abstractNumId w:val="26"/>
  </w:num>
  <w:num w:numId="14" w16cid:durableId="1774130495">
    <w:abstractNumId w:val="23"/>
  </w:num>
  <w:num w:numId="15" w16cid:durableId="1297373281">
    <w:abstractNumId w:val="36"/>
  </w:num>
  <w:num w:numId="16" w16cid:durableId="1901165400">
    <w:abstractNumId w:val="21"/>
  </w:num>
  <w:num w:numId="17" w16cid:durableId="347103536">
    <w:abstractNumId w:val="12"/>
  </w:num>
  <w:num w:numId="18" w16cid:durableId="1447700041">
    <w:abstractNumId w:val="38"/>
  </w:num>
  <w:num w:numId="19" w16cid:durableId="902377473">
    <w:abstractNumId w:val="37"/>
  </w:num>
  <w:num w:numId="20" w16cid:durableId="750855603">
    <w:abstractNumId w:val="33"/>
  </w:num>
  <w:num w:numId="21" w16cid:durableId="1790005276">
    <w:abstractNumId w:val="40"/>
  </w:num>
  <w:num w:numId="22" w16cid:durableId="713892757">
    <w:abstractNumId w:val="18"/>
  </w:num>
  <w:num w:numId="23" w16cid:durableId="1041706850">
    <w:abstractNumId w:val="13"/>
  </w:num>
  <w:num w:numId="24" w16cid:durableId="1158499357">
    <w:abstractNumId w:val="29"/>
  </w:num>
  <w:num w:numId="25" w16cid:durableId="39138896">
    <w:abstractNumId w:val="5"/>
  </w:num>
  <w:num w:numId="26" w16cid:durableId="892350120">
    <w:abstractNumId w:val="30"/>
  </w:num>
  <w:num w:numId="27" w16cid:durableId="1050808486">
    <w:abstractNumId w:val="24"/>
  </w:num>
  <w:num w:numId="28" w16cid:durableId="146290800">
    <w:abstractNumId w:val="7"/>
  </w:num>
  <w:num w:numId="29" w16cid:durableId="561671332">
    <w:abstractNumId w:val="32"/>
  </w:num>
  <w:num w:numId="30" w16cid:durableId="676346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7052799">
    <w:abstractNumId w:val="10"/>
  </w:num>
  <w:num w:numId="32" w16cid:durableId="1579049349">
    <w:abstractNumId w:val="2"/>
  </w:num>
  <w:num w:numId="33" w16cid:durableId="14840033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9827203">
    <w:abstractNumId w:val="19"/>
  </w:num>
  <w:num w:numId="35" w16cid:durableId="1744373149">
    <w:abstractNumId w:val="16"/>
  </w:num>
  <w:num w:numId="36" w16cid:durableId="1934436808">
    <w:abstractNumId w:val="4"/>
  </w:num>
  <w:num w:numId="37" w16cid:durableId="509952898">
    <w:abstractNumId w:val="35"/>
  </w:num>
  <w:num w:numId="38" w16cid:durableId="1979451689">
    <w:abstractNumId w:val="6"/>
  </w:num>
  <w:num w:numId="39" w16cid:durableId="1169833927">
    <w:abstractNumId w:val="28"/>
  </w:num>
  <w:num w:numId="40" w16cid:durableId="1899364997">
    <w:abstractNumId w:val="31"/>
  </w:num>
  <w:num w:numId="41" w16cid:durableId="1064110803">
    <w:abstractNumId w:val="27"/>
  </w:num>
  <w:num w:numId="42" w16cid:durableId="922106725">
    <w:abstractNumId w:val="20"/>
  </w:num>
  <w:num w:numId="43" w16cid:durableId="14657379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8061C"/>
    <w:rsid w:val="000A08C1"/>
    <w:rsid w:val="000A4D7F"/>
    <w:rsid w:val="000B050B"/>
    <w:rsid w:val="000B6982"/>
    <w:rsid w:val="000D23BF"/>
    <w:rsid w:val="000D44D7"/>
    <w:rsid w:val="000E1480"/>
    <w:rsid w:val="000E27FD"/>
    <w:rsid w:val="000E2C49"/>
    <w:rsid w:val="000E39E3"/>
    <w:rsid w:val="000E7B44"/>
    <w:rsid w:val="000F5616"/>
    <w:rsid w:val="00100E1C"/>
    <w:rsid w:val="00104734"/>
    <w:rsid w:val="00106186"/>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97348"/>
    <w:rsid w:val="001A57E0"/>
    <w:rsid w:val="001C0637"/>
    <w:rsid w:val="001C509D"/>
    <w:rsid w:val="001E0847"/>
    <w:rsid w:val="001E3198"/>
    <w:rsid w:val="001E4AA0"/>
    <w:rsid w:val="001F1A7A"/>
    <w:rsid w:val="001F6725"/>
    <w:rsid w:val="001F675C"/>
    <w:rsid w:val="00206F88"/>
    <w:rsid w:val="002169AC"/>
    <w:rsid w:val="00217BF3"/>
    <w:rsid w:val="0022266E"/>
    <w:rsid w:val="00224B0F"/>
    <w:rsid w:val="00224C9E"/>
    <w:rsid w:val="00224DDB"/>
    <w:rsid w:val="0022661D"/>
    <w:rsid w:val="002349E3"/>
    <w:rsid w:val="00241F70"/>
    <w:rsid w:val="002534DA"/>
    <w:rsid w:val="00253729"/>
    <w:rsid w:val="00266279"/>
    <w:rsid w:val="0027361D"/>
    <w:rsid w:val="00283732"/>
    <w:rsid w:val="002902F2"/>
    <w:rsid w:val="002A157D"/>
    <w:rsid w:val="002A64D6"/>
    <w:rsid w:val="002B70C4"/>
    <w:rsid w:val="002C18B1"/>
    <w:rsid w:val="002C2611"/>
    <w:rsid w:val="002C62AC"/>
    <w:rsid w:val="002D6830"/>
    <w:rsid w:val="002E0BCE"/>
    <w:rsid w:val="002E3F2B"/>
    <w:rsid w:val="002E7115"/>
    <w:rsid w:val="002F23E0"/>
    <w:rsid w:val="002F2DE9"/>
    <w:rsid w:val="00303275"/>
    <w:rsid w:val="00303F0D"/>
    <w:rsid w:val="00304D08"/>
    <w:rsid w:val="00304D98"/>
    <w:rsid w:val="0031547D"/>
    <w:rsid w:val="0031567D"/>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38E5"/>
    <w:rsid w:val="00385D4B"/>
    <w:rsid w:val="003967DB"/>
    <w:rsid w:val="003A28E7"/>
    <w:rsid w:val="003C16FD"/>
    <w:rsid w:val="003D5665"/>
    <w:rsid w:val="003E3A6C"/>
    <w:rsid w:val="003F0046"/>
    <w:rsid w:val="003F339E"/>
    <w:rsid w:val="00402789"/>
    <w:rsid w:val="004038DA"/>
    <w:rsid w:val="00416AB1"/>
    <w:rsid w:val="00443AB9"/>
    <w:rsid w:val="0045347D"/>
    <w:rsid w:val="00460248"/>
    <w:rsid w:val="00460BDC"/>
    <w:rsid w:val="00460D17"/>
    <w:rsid w:val="00462285"/>
    <w:rsid w:val="004634BE"/>
    <w:rsid w:val="00466151"/>
    <w:rsid w:val="004718CA"/>
    <w:rsid w:val="00486A59"/>
    <w:rsid w:val="00495D48"/>
    <w:rsid w:val="004A586E"/>
    <w:rsid w:val="004A72DE"/>
    <w:rsid w:val="004B281E"/>
    <w:rsid w:val="004C5125"/>
    <w:rsid w:val="004D1DE6"/>
    <w:rsid w:val="004E6146"/>
    <w:rsid w:val="004F1FFB"/>
    <w:rsid w:val="0050731F"/>
    <w:rsid w:val="0051753A"/>
    <w:rsid w:val="005264FE"/>
    <w:rsid w:val="00532C1E"/>
    <w:rsid w:val="00541E29"/>
    <w:rsid w:val="00545B49"/>
    <w:rsid w:val="005558A1"/>
    <w:rsid w:val="00557F09"/>
    <w:rsid w:val="00576849"/>
    <w:rsid w:val="00585FC9"/>
    <w:rsid w:val="005B02AD"/>
    <w:rsid w:val="005B6283"/>
    <w:rsid w:val="005C0AA3"/>
    <w:rsid w:val="005D30C3"/>
    <w:rsid w:val="005F375C"/>
    <w:rsid w:val="005F51A6"/>
    <w:rsid w:val="005F76A2"/>
    <w:rsid w:val="006027ED"/>
    <w:rsid w:val="00612BC7"/>
    <w:rsid w:val="00620377"/>
    <w:rsid w:val="00627079"/>
    <w:rsid w:val="00634601"/>
    <w:rsid w:val="00637E1F"/>
    <w:rsid w:val="006560DE"/>
    <w:rsid w:val="00656B57"/>
    <w:rsid w:val="006641CC"/>
    <w:rsid w:val="00666DE0"/>
    <w:rsid w:val="00670669"/>
    <w:rsid w:val="006712E4"/>
    <w:rsid w:val="006808C4"/>
    <w:rsid w:val="00684A23"/>
    <w:rsid w:val="0069610C"/>
    <w:rsid w:val="006A51DD"/>
    <w:rsid w:val="006B2355"/>
    <w:rsid w:val="006B7006"/>
    <w:rsid w:val="006B7A58"/>
    <w:rsid w:val="006C4F21"/>
    <w:rsid w:val="006D222F"/>
    <w:rsid w:val="006D5D37"/>
    <w:rsid w:val="006F0FA5"/>
    <w:rsid w:val="006F1C95"/>
    <w:rsid w:val="006F1F19"/>
    <w:rsid w:val="00702B6C"/>
    <w:rsid w:val="007033ED"/>
    <w:rsid w:val="007119E0"/>
    <w:rsid w:val="00714D66"/>
    <w:rsid w:val="0072245F"/>
    <w:rsid w:val="007242F3"/>
    <w:rsid w:val="00731BB3"/>
    <w:rsid w:val="00732084"/>
    <w:rsid w:val="00732305"/>
    <w:rsid w:val="0073279F"/>
    <w:rsid w:val="00746747"/>
    <w:rsid w:val="00747F3A"/>
    <w:rsid w:val="00750327"/>
    <w:rsid w:val="0075251F"/>
    <w:rsid w:val="00754C66"/>
    <w:rsid w:val="00761A58"/>
    <w:rsid w:val="007625CC"/>
    <w:rsid w:val="00782E24"/>
    <w:rsid w:val="00785690"/>
    <w:rsid w:val="0079394E"/>
    <w:rsid w:val="007A3A70"/>
    <w:rsid w:val="007A3DAD"/>
    <w:rsid w:val="007B7E03"/>
    <w:rsid w:val="007C4314"/>
    <w:rsid w:val="007C7FC8"/>
    <w:rsid w:val="007D3813"/>
    <w:rsid w:val="00800184"/>
    <w:rsid w:val="008055B6"/>
    <w:rsid w:val="008113E9"/>
    <w:rsid w:val="00812F6A"/>
    <w:rsid w:val="00814E5E"/>
    <w:rsid w:val="00824440"/>
    <w:rsid w:val="00825E64"/>
    <w:rsid w:val="008326C8"/>
    <w:rsid w:val="00833D2A"/>
    <w:rsid w:val="0084287E"/>
    <w:rsid w:val="008463F5"/>
    <w:rsid w:val="0085228D"/>
    <w:rsid w:val="00857810"/>
    <w:rsid w:val="008753A6"/>
    <w:rsid w:val="008755A3"/>
    <w:rsid w:val="0087744D"/>
    <w:rsid w:val="00884C7C"/>
    <w:rsid w:val="00885BD3"/>
    <w:rsid w:val="008964B6"/>
    <w:rsid w:val="008A0538"/>
    <w:rsid w:val="008B07E5"/>
    <w:rsid w:val="008B27C8"/>
    <w:rsid w:val="008B5780"/>
    <w:rsid w:val="008B58ED"/>
    <w:rsid w:val="008C0943"/>
    <w:rsid w:val="008D5A9F"/>
    <w:rsid w:val="008F0802"/>
    <w:rsid w:val="008F4856"/>
    <w:rsid w:val="008F56FA"/>
    <w:rsid w:val="00905CFF"/>
    <w:rsid w:val="00920A63"/>
    <w:rsid w:val="009241B2"/>
    <w:rsid w:val="00931277"/>
    <w:rsid w:val="009325E0"/>
    <w:rsid w:val="00946758"/>
    <w:rsid w:val="009503F1"/>
    <w:rsid w:val="009534CF"/>
    <w:rsid w:val="00956312"/>
    <w:rsid w:val="0096255A"/>
    <w:rsid w:val="009710C5"/>
    <w:rsid w:val="00971FDD"/>
    <w:rsid w:val="009902E2"/>
    <w:rsid w:val="009903E6"/>
    <w:rsid w:val="009A159D"/>
    <w:rsid w:val="009A3BB9"/>
    <w:rsid w:val="009B4184"/>
    <w:rsid w:val="009B6ACA"/>
    <w:rsid w:val="009C0F9E"/>
    <w:rsid w:val="009C1BA6"/>
    <w:rsid w:val="009C409E"/>
    <w:rsid w:val="009C6890"/>
    <w:rsid w:val="009D00F1"/>
    <w:rsid w:val="009D2757"/>
    <w:rsid w:val="009D6DBC"/>
    <w:rsid w:val="009D7870"/>
    <w:rsid w:val="009E526B"/>
    <w:rsid w:val="009F7150"/>
    <w:rsid w:val="009F7198"/>
    <w:rsid w:val="00A059D8"/>
    <w:rsid w:val="00A06C3E"/>
    <w:rsid w:val="00A1636E"/>
    <w:rsid w:val="00A21AAB"/>
    <w:rsid w:val="00A27C8E"/>
    <w:rsid w:val="00A364E6"/>
    <w:rsid w:val="00A4293C"/>
    <w:rsid w:val="00A501CD"/>
    <w:rsid w:val="00A5797B"/>
    <w:rsid w:val="00A60343"/>
    <w:rsid w:val="00A634B2"/>
    <w:rsid w:val="00A6562E"/>
    <w:rsid w:val="00A7236E"/>
    <w:rsid w:val="00A770A8"/>
    <w:rsid w:val="00A77A15"/>
    <w:rsid w:val="00A87439"/>
    <w:rsid w:val="00AA74A9"/>
    <w:rsid w:val="00AB0F98"/>
    <w:rsid w:val="00AB3DBC"/>
    <w:rsid w:val="00AB776A"/>
    <w:rsid w:val="00AC22BF"/>
    <w:rsid w:val="00AE447B"/>
    <w:rsid w:val="00AE7489"/>
    <w:rsid w:val="00B05AA2"/>
    <w:rsid w:val="00B13212"/>
    <w:rsid w:val="00B21D4F"/>
    <w:rsid w:val="00B27D1F"/>
    <w:rsid w:val="00B315CE"/>
    <w:rsid w:val="00B34784"/>
    <w:rsid w:val="00B35751"/>
    <w:rsid w:val="00B370E8"/>
    <w:rsid w:val="00B4286B"/>
    <w:rsid w:val="00B4531A"/>
    <w:rsid w:val="00B51875"/>
    <w:rsid w:val="00B62781"/>
    <w:rsid w:val="00B62BE0"/>
    <w:rsid w:val="00B64BDA"/>
    <w:rsid w:val="00B779BF"/>
    <w:rsid w:val="00B87AD8"/>
    <w:rsid w:val="00B9195F"/>
    <w:rsid w:val="00B948CB"/>
    <w:rsid w:val="00BA03F7"/>
    <w:rsid w:val="00BA0865"/>
    <w:rsid w:val="00BA51D4"/>
    <w:rsid w:val="00BA6809"/>
    <w:rsid w:val="00BC13F0"/>
    <w:rsid w:val="00BC4063"/>
    <w:rsid w:val="00BC56E3"/>
    <w:rsid w:val="00BD0547"/>
    <w:rsid w:val="00BE2096"/>
    <w:rsid w:val="00BE67B2"/>
    <w:rsid w:val="00BF2E66"/>
    <w:rsid w:val="00C05D28"/>
    <w:rsid w:val="00C22292"/>
    <w:rsid w:val="00C30B89"/>
    <w:rsid w:val="00C315AB"/>
    <w:rsid w:val="00C4302B"/>
    <w:rsid w:val="00C45D8F"/>
    <w:rsid w:val="00C67A49"/>
    <w:rsid w:val="00C83325"/>
    <w:rsid w:val="00C842D7"/>
    <w:rsid w:val="00C8649D"/>
    <w:rsid w:val="00C86E3F"/>
    <w:rsid w:val="00C91CCA"/>
    <w:rsid w:val="00C94304"/>
    <w:rsid w:val="00C9770A"/>
    <w:rsid w:val="00CC5C82"/>
    <w:rsid w:val="00CC66B0"/>
    <w:rsid w:val="00CD728C"/>
    <w:rsid w:val="00CE092F"/>
    <w:rsid w:val="00CE79FB"/>
    <w:rsid w:val="00CF6718"/>
    <w:rsid w:val="00D023C6"/>
    <w:rsid w:val="00D073A1"/>
    <w:rsid w:val="00D145A0"/>
    <w:rsid w:val="00D24287"/>
    <w:rsid w:val="00D3517B"/>
    <w:rsid w:val="00D3707E"/>
    <w:rsid w:val="00D4176A"/>
    <w:rsid w:val="00D53AFC"/>
    <w:rsid w:val="00D53D82"/>
    <w:rsid w:val="00D650E2"/>
    <w:rsid w:val="00D65F75"/>
    <w:rsid w:val="00D820A1"/>
    <w:rsid w:val="00D8443E"/>
    <w:rsid w:val="00D84EFB"/>
    <w:rsid w:val="00D8531E"/>
    <w:rsid w:val="00D8779A"/>
    <w:rsid w:val="00D95205"/>
    <w:rsid w:val="00DA558C"/>
    <w:rsid w:val="00DA6D74"/>
    <w:rsid w:val="00DB5D2B"/>
    <w:rsid w:val="00DB6CB3"/>
    <w:rsid w:val="00DC10DB"/>
    <w:rsid w:val="00DC4198"/>
    <w:rsid w:val="00DC6CFF"/>
    <w:rsid w:val="00DC7741"/>
    <w:rsid w:val="00DD7B7D"/>
    <w:rsid w:val="00E10422"/>
    <w:rsid w:val="00E26C0A"/>
    <w:rsid w:val="00E336A9"/>
    <w:rsid w:val="00E4512B"/>
    <w:rsid w:val="00E52C80"/>
    <w:rsid w:val="00E579E8"/>
    <w:rsid w:val="00E62BFD"/>
    <w:rsid w:val="00E64078"/>
    <w:rsid w:val="00E65E77"/>
    <w:rsid w:val="00E7351C"/>
    <w:rsid w:val="00E77A50"/>
    <w:rsid w:val="00E83978"/>
    <w:rsid w:val="00E85F49"/>
    <w:rsid w:val="00E906EB"/>
    <w:rsid w:val="00E92618"/>
    <w:rsid w:val="00EA1149"/>
    <w:rsid w:val="00EA78E1"/>
    <w:rsid w:val="00EB6DA8"/>
    <w:rsid w:val="00EC0461"/>
    <w:rsid w:val="00EE09C9"/>
    <w:rsid w:val="00EF7BDA"/>
    <w:rsid w:val="00F05C43"/>
    <w:rsid w:val="00F13B7E"/>
    <w:rsid w:val="00F152ED"/>
    <w:rsid w:val="00F2290E"/>
    <w:rsid w:val="00F27150"/>
    <w:rsid w:val="00F32A3D"/>
    <w:rsid w:val="00F5320A"/>
    <w:rsid w:val="00F533E7"/>
    <w:rsid w:val="00F54CF7"/>
    <w:rsid w:val="00F55574"/>
    <w:rsid w:val="00F734BB"/>
    <w:rsid w:val="00F80777"/>
    <w:rsid w:val="00F8343C"/>
    <w:rsid w:val="00F845D6"/>
    <w:rsid w:val="00F85702"/>
    <w:rsid w:val="00F9466E"/>
    <w:rsid w:val="00F95AFC"/>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97298128">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667709120">
      <w:bodyDiv w:val="1"/>
      <w:marLeft w:val="0"/>
      <w:marRight w:val="0"/>
      <w:marTop w:val="0"/>
      <w:marBottom w:val="0"/>
      <w:divBdr>
        <w:top w:val="none" w:sz="0" w:space="0" w:color="auto"/>
        <w:left w:val="none" w:sz="0" w:space="0" w:color="auto"/>
        <w:bottom w:val="none" w:sz="0" w:space="0" w:color="auto"/>
        <w:right w:val="none" w:sz="0" w:space="0" w:color="auto"/>
      </w:divBdr>
    </w:div>
    <w:div w:id="1685086491">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3\Database%20PL25%20CBPF%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80859482116975"/>
          <c:y val="2.8558137549879434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CCQ'!$J$2:$J$3</c:f>
              <c:numCache>
                <c:formatCode>0.00%</c:formatCode>
                <c:ptCount val="2"/>
                <c:pt idx="0">
                  <c:v>5.3994986854710714E-2</c:v>
                </c:pt>
                <c:pt idx="1">
                  <c:v>5.0323551874450256E-2</c:v>
                </c:pt>
              </c:numCache>
            </c:numRef>
          </c:val>
          <c:extLst>
            <c:ext xmlns:c16="http://schemas.microsoft.com/office/drawing/2014/chart" uri="{C3380CC4-5D6E-409C-BE32-E72D297353CC}">
              <c16:uniqueId val="{00000000-E929-4E9D-A8F6-D6A02C115E87}"/>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8DfxwltNJKFB0LK7Luu5VKonHHA=</DigestValue>
    </Reference>
    <Reference Type="http://www.w3.org/2000/09/xmldsig#Object" URI="#idOfficeObject">
      <DigestMethod Algorithm="http://www.w3.org/2000/09/xmldsig#sha1"/>
      <DigestValue>GXuBeVu8UM5OfTZBTlSfWAcGPqA=</DigestValue>
    </Reference>
    <Reference Type="http://uri.etsi.org/01903#SignedProperties" URI="#idSignedProperties">
      <Transforms>
        <Transform Algorithm="http://www.w3.org/TR/2001/REC-xml-c14n-20010315"/>
      </Transforms>
      <DigestMethod Algorithm="http://www.w3.org/2000/09/xmldsig#sha1"/>
      <DigestValue>CzZCUKIOkYO7mS5tqts//Bcgljw=</DigestValue>
    </Reference>
  </SignedInfo>
  <SignatureValue>u0qXiL3I7aBSKbKh22icuY58h6zBDQKDwrRK0rL/+Ju1UuzLCBbUfX/ErWTyw8lUbuRzQYfoM1kQ
va3oO3XLLms1/jpVB35JabjLPsLc15gfzHe49sT+Fk89Z4hojQFX5zl8aN+Ogl4TJutc54yIjy+1
TARj2OLJ7u9VZuynx00=</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gc3tGmZYjIQMunTTmhG6IE8dTbU=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7Nmci+7VnnB/EpSOH4ZE3qBC1OU=</DigestValue>
      </Reference>
      <Reference URI="/word/charts/chart1.xml?ContentType=application/vnd.openxmlformats-officedocument.drawingml.chart+xml">
        <DigestMethod Algorithm="http://www.w3.org/2000/09/xmldsig#sha1"/>
        <DigestValue>NN19ESGrKTXnWt7/Lc9D16LnkrY=</DigestValue>
      </Reference>
      <Reference URI="/word/charts/colors1.xml?ContentType=application/vnd.ms-office.chartcolorstyle+xml">
        <DigestMethod Algorithm="http://www.w3.org/2000/09/xmldsig#sha1"/>
        <DigestValue>nx37Y3Feo/hiRdh2hRApoDeoGz0=</DigestValue>
      </Reference>
      <Reference URI="/word/charts/style1.xml?ContentType=application/vnd.ms-office.chartstyle+xml">
        <DigestMethod Algorithm="http://www.w3.org/2000/09/xmldsig#sha1"/>
        <DigestValue>71ypo9NxdzF1PxDAbBl49t9sOwA=</DigestValue>
      </Reference>
      <Reference URI="/word/document.xml?ContentType=application/vnd.openxmlformats-officedocument.wordprocessingml.document.main+xml">
        <DigestMethod Algorithm="http://www.w3.org/2000/09/xmldsig#sha1"/>
        <DigestValue>stqlJHF1xkzH42C7tAnkN0YA/CA=</DigestValue>
      </Reference>
      <Reference URI="/word/endnotes.xml?ContentType=application/vnd.openxmlformats-officedocument.wordprocessingml.endnotes+xml">
        <DigestMethod Algorithm="http://www.w3.org/2000/09/xmldsig#sha1"/>
        <DigestValue>wD144iki26TT29vI+QJVE1J8qCE=</DigestValue>
      </Reference>
      <Reference URI="/word/fontTable.xml?ContentType=application/vnd.openxmlformats-officedocument.wordprocessingml.fontTable+xml">
        <DigestMethod Algorithm="http://www.w3.org/2000/09/xmldsig#sha1"/>
        <DigestValue>G4Ll1tYNHIn3UhS+BEWCljcsJ5M=</DigestValue>
      </Reference>
      <Reference URI="/word/footnotes.xml?ContentType=application/vnd.openxmlformats-officedocument.wordprocessingml.footnotes+xml">
        <DigestMethod Algorithm="http://www.w3.org/2000/09/xmldsig#sha1"/>
        <DigestValue>RNn4QDkZ24sQMTteO/oBfvAoHKM=</DigestValue>
      </Reference>
      <Reference URI="/word/media/image1.png?ContentType=image/png">
        <DigestMethod Algorithm="http://www.w3.org/2000/09/xmldsig#sha1"/>
        <DigestValue>BRuGUJE2W9hdZLMSXPu+cseBHPw=</DigestValue>
      </Reference>
      <Reference URI="/word/media/image2.png?ContentType=image/png">
        <DigestMethod Algorithm="http://www.w3.org/2000/09/xmldsig#sha1"/>
        <DigestValue>idksMJbaZDGGuphkzmCXtzxK13o=</DigestValue>
      </Reference>
      <Reference URI="/word/media/image3.png?ContentType=image/png">
        <DigestMethod Algorithm="http://www.w3.org/2000/09/xmldsig#sha1"/>
        <DigestValue>fs542ZnLQMV8+pEqquU5MMKr4rI=</DigestValue>
      </Reference>
      <Reference URI="/word/numbering.xml?ContentType=application/vnd.openxmlformats-officedocument.wordprocessingml.numbering+xml">
        <DigestMethod Algorithm="http://www.w3.org/2000/09/xmldsig#sha1"/>
        <DigestValue>oyO/zXUSG9BK9kkn2OgVIvVwEis=</DigestValue>
      </Reference>
      <Reference URI="/word/settings.xml?ContentType=application/vnd.openxmlformats-officedocument.wordprocessingml.settings+xml">
        <DigestMethod Algorithm="http://www.w3.org/2000/09/xmldsig#sha1"/>
        <DigestValue>Gycffh9xpPUDAeaTqie/PiRMXcE=</DigestValue>
      </Reference>
      <Reference URI="/word/styles.xml?ContentType=application/vnd.openxmlformats-officedocument.wordprocessingml.styles+xml">
        <DigestMethod Algorithm="http://www.w3.org/2000/09/xmldsig#sha1"/>
        <DigestValue>PZe5fS/9YEStTY4xiRl3cTMJ7aI=</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1k4QOElsavIlx8uCwyclr8UTRN8=</DigestValue>
      </Reference>
    </Manifest>
    <SignatureProperties>
      <SignatureProperty Id="idSignatureTime" Target="#idPackageSignature">
        <mdssi:SignatureTime xmlns:mdssi="http://schemas.openxmlformats.org/package/2006/digital-signature">
          <mdssi:Format>YYYY-MM-DDThh:mm:ssTZD</mdssi:Format>
          <mdssi:Value>2023-08-11T04:12:07Z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2023-08-11T04:12:07Z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AFMC Vietnam</dc:creator>
  <cp:lastModifiedBy>Nguyen, Thi Bich Ngoc - CFMC Vietnam</cp:lastModifiedBy>
  <cp:revision>75</cp:revision>
  <dcterms:created xsi:type="dcterms:W3CDTF">2020-07-28T07:10:00Z</dcterms:created>
  <dcterms:modified xsi:type="dcterms:W3CDTF">2023-08-11T04:11:00Z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