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084B0" w14:textId="77777777" w:rsidR="001C4468" w:rsidRPr="001B0DD1" w:rsidRDefault="001C4468" w:rsidP="00FF0C62">
      <w:pPr>
        <w:shd w:val="clear" w:color="auto" w:fill="FFFFFF"/>
        <w:tabs>
          <w:tab w:val="left" w:pos="540"/>
        </w:tabs>
        <w:spacing w:before="120" w:after="0" w:line="240" w:lineRule="auto"/>
        <w:jc w:val="center"/>
        <w:rPr>
          <w:rFonts w:ascii="Arial" w:hAnsi="Arial" w:cs="Arial"/>
          <w:b/>
          <w:sz w:val="36"/>
          <w:szCs w:val="36"/>
          <w:lang w:val="nl-NL"/>
        </w:rPr>
      </w:pPr>
      <w:r w:rsidRPr="001B0DD1">
        <w:rPr>
          <w:rFonts w:ascii="Arial" w:hAnsi="Arial" w:cs="Arial"/>
          <w:b/>
          <w:sz w:val="36"/>
          <w:szCs w:val="36"/>
          <w:lang w:val="nl-NL"/>
        </w:rPr>
        <w:t>BÁO CÁO CỦA CÔNG TY QUẢN LÝ QUỸ</w:t>
      </w:r>
    </w:p>
    <w:p w14:paraId="20DF30ED" w14:textId="77777777" w:rsidR="00C17D8E" w:rsidRPr="0018050F" w:rsidRDefault="00C17D8E" w:rsidP="00FF0C62">
      <w:pPr>
        <w:shd w:val="clear" w:color="auto" w:fill="FFFFFF"/>
        <w:tabs>
          <w:tab w:val="left" w:pos="540"/>
        </w:tabs>
        <w:spacing w:before="120" w:after="0" w:line="240" w:lineRule="auto"/>
        <w:jc w:val="center"/>
        <w:rPr>
          <w:rFonts w:ascii="Arial" w:hAnsi="Arial" w:cs="Arial"/>
          <w:b/>
          <w:sz w:val="20"/>
          <w:szCs w:val="26"/>
          <w:lang w:val="nl-NL"/>
        </w:rPr>
      </w:pPr>
      <w:r w:rsidRPr="0018050F">
        <w:rPr>
          <w:rFonts w:ascii="Arial" w:hAnsi="Arial" w:cs="Arial"/>
          <w:b/>
          <w:sz w:val="20"/>
          <w:szCs w:val="26"/>
          <w:lang w:val="nl-NL"/>
        </w:rPr>
        <w:t>(</w:t>
      </w:r>
      <w:r w:rsidRPr="001B0DD1">
        <w:rPr>
          <w:rFonts w:ascii="Arial" w:hAnsi="Arial" w:cs="Arial"/>
          <w:b/>
          <w:i/>
          <w:sz w:val="20"/>
          <w:szCs w:val="26"/>
          <w:lang w:val="nl-NL"/>
        </w:rPr>
        <w:t>Ban hành kèm theo Thông tư số 181/2015/TT-BTC ngày 13 tháng 11 năm 2015 của Bộ Tài chính)</w:t>
      </w:r>
    </w:p>
    <w:p w14:paraId="2D64B789" w14:textId="77777777" w:rsidR="00C17D8E" w:rsidRPr="001B0DD1" w:rsidRDefault="00C17D8E" w:rsidP="00FF0C62">
      <w:pPr>
        <w:shd w:val="clear" w:color="auto" w:fill="FFFFFF"/>
        <w:tabs>
          <w:tab w:val="left" w:pos="540"/>
        </w:tabs>
        <w:spacing w:before="120" w:after="0" w:line="240" w:lineRule="auto"/>
        <w:jc w:val="center"/>
        <w:rPr>
          <w:rFonts w:ascii="Arial" w:hAnsi="Arial" w:cs="Arial"/>
          <w:b/>
          <w:sz w:val="24"/>
          <w:szCs w:val="24"/>
          <w:lang w:val="nl-NL"/>
        </w:rPr>
      </w:pPr>
      <w:r w:rsidRPr="001B0DD1">
        <w:rPr>
          <w:rFonts w:ascii="Arial" w:hAnsi="Arial" w:cs="Arial"/>
          <w:b/>
          <w:sz w:val="24"/>
          <w:szCs w:val="24"/>
          <w:lang w:val="nl-NL"/>
        </w:rPr>
        <w:t>BÁO CÁO CỦA CÔNG TY TNHH MTV QUẢN LÝ QUỸ CHUBB LIFE</w:t>
      </w:r>
    </w:p>
    <w:p w14:paraId="6FD6C100" w14:textId="70FEDE5A" w:rsidR="00C17D8E" w:rsidRPr="00173960" w:rsidRDefault="00C17D8E" w:rsidP="00173960">
      <w:pPr>
        <w:shd w:val="clear" w:color="auto" w:fill="FFFFFF"/>
        <w:tabs>
          <w:tab w:val="left" w:pos="540"/>
        </w:tabs>
        <w:spacing w:before="120" w:after="240" w:line="240" w:lineRule="auto"/>
        <w:jc w:val="center"/>
        <w:rPr>
          <w:rFonts w:ascii="Arial" w:hAnsi="Arial" w:cs="Arial"/>
          <w:b/>
          <w:i/>
          <w:sz w:val="20"/>
          <w:szCs w:val="26"/>
          <w:lang w:val="nl-NL"/>
        </w:rPr>
      </w:pPr>
      <w:r w:rsidRPr="001B0DD1">
        <w:rPr>
          <w:rFonts w:ascii="Arial" w:hAnsi="Arial" w:cs="Arial"/>
          <w:b/>
          <w:i/>
          <w:sz w:val="20"/>
          <w:szCs w:val="26"/>
          <w:lang w:val="nl-NL"/>
        </w:rPr>
        <w:t>(</w:t>
      </w:r>
      <w:r w:rsidR="00C86129">
        <w:rPr>
          <w:rFonts w:ascii="Arial" w:hAnsi="Arial" w:cs="Arial"/>
          <w:b/>
          <w:i/>
          <w:sz w:val="20"/>
          <w:szCs w:val="26"/>
          <w:lang w:val="nl-NL"/>
        </w:rPr>
        <w:t>Năm</w:t>
      </w:r>
      <w:r w:rsidR="00D76221">
        <w:rPr>
          <w:rFonts w:ascii="Arial" w:hAnsi="Arial" w:cs="Arial"/>
          <w:b/>
          <w:i/>
          <w:sz w:val="20"/>
          <w:szCs w:val="26"/>
          <w:lang w:val="nl-NL"/>
        </w:rPr>
        <w:t xml:space="preserve"> 20</w:t>
      </w:r>
      <w:r w:rsidR="008B57D9">
        <w:rPr>
          <w:rFonts w:ascii="Arial" w:hAnsi="Arial" w:cs="Arial"/>
          <w:b/>
          <w:i/>
          <w:sz w:val="20"/>
          <w:szCs w:val="26"/>
          <w:lang w:val="nl-NL"/>
        </w:rPr>
        <w:t>2</w:t>
      </w:r>
      <w:r w:rsidR="00DD6707">
        <w:rPr>
          <w:rFonts w:ascii="Arial" w:hAnsi="Arial" w:cs="Arial"/>
          <w:b/>
          <w:i/>
          <w:sz w:val="20"/>
          <w:szCs w:val="26"/>
          <w:lang w:val="nl-NL"/>
        </w:rPr>
        <w:t>1</w:t>
      </w:r>
      <w:r w:rsidRPr="001B0DD1">
        <w:rPr>
          <w:rFonts w:ascii="Arial" w:hAnsi="Arial" w:cs="Arial"/>
          <w:b/>
          <w:i/>
          <w:sz w:val="20"/>
          <w:szCs w:val="26"/>
          <w:lang w:val="nl-NL"/>
        </w:rPr>
        <w:t>)</w:t>
      </w:r>
    </w:p>
    <w:p w14:paraId="1CB714AA" w14:textId="77777777" w:rsidR="001C4468" w:rsidRPr="00F2683A"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F2683A">
        <w:rPr>
          <w:rFonts w:ascii="Times New Roman" w:hAnsi="Times New Roman"/>
          <w:b/>
          <w:sz w:val="24"/>
          <w:szCs w:val="24"/>
          <w:lang w:val="nl-NL"/>
        </w:rPr>
        <w:t>T</w:t>
      </w:r>
      <w:r w:rsidR="00D86A2D">
        <w:rPr>
          <w:rFonts w:ascii="Times New Roman" w:hAnsi="Times New Roman"/>
          <w:b/>
          <w:sz w:val="24"/>
          <w:szCs w:val="24"/>
          <w:lang w:val="nl-NL"/>
        </w:rPr>
        <w:t>HÔNG TIN CHUNG VỀ QUỸ</w:t>
      </w:r>
    </w:p>
    <w:p w14:paraId="36A07462" w14:textId="77777777" w:rsidR="00C17D8E" w:rsidRPr="003E47A2"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3E47A2">
        <w:rPr>
          <w:rFonts w:ascii="Times New Roman" w:eastAsia="Times New Roman" w:hAnsi="Times New Roman"/>
          <w:bCs/>
          <w:color w:val="000000"/>
          <w:sz w:val="24"/>
          <w:szCs w:val="24"/>
          <w:lang w:val="nl-NL" w:eastAsia="en-SG"/>
        </w:rPr>
        <w:t>Tên quỹ: Quỹ Đầu tư Trái phiếu Mở rộng Chubb</w:t>
      </w:r>
    </w:p>
    <w:p w14:paraId="449D9709" w14:textId="77777777" w:rsidR="00C17D8E" w:rsidRPr="00F2683A"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3E47A2">
        <w:rPr>
          <w:rFonts w:ascii="Times New Roman" w:eastAsia="Times New Roman" w:hAnsi="Times New Roman"/>
          <w:bCs/>
          <w:color w:val="000000"/>
          <w:sz w:val="24"/>
          <w:szCs w:val="24"/>
          <w:lang w:val="nl-NL" w:eastAsia="en-SG"/>
        </w:rPr>
        <w:t xml:space="preserve"> </w:t>
      </w:r>
      <w:r w:rsidR="00C17D8E" w:rsidRPr="003E47A2">
        <w:rPr>
          <w:rFonts w:ascii="Times New Roman" w:eastAsia="Times New Roman" w:hAnsi="Times New Roman"/>
          <w:bCs/>
          <w:color w:val="000000"/>
          <w:sz w:val="24"/>
          <w:szCs w:val="24"/>
          <w:lang w:val="nl-NL" w:eastAsia="en-SG"/>
        </w:rPr>
        <w:t>Loại hình quỹ: Quỹ mở</w:t>
      </w:r>
    </w:p>
    <w:p w14:paraId="6CB82063" w14:textId="77777777" w:rsidR="001C4468" w:rsidRPr="00D86A2D"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D86A2D">
        <w:rPr>
          <w:rFonts w:ascii="Times New Roman" w:hAnsi="Times New Roman"/>
          <w:b/>
          <w:sz w:val="24"/>
          <w:szCs w:val="24"/>
          <w:lang w:val="nl-NL"/>
        </w:rPr>
        <w:t>Mục tiêu của Quỹ:</w:t>
      </w:r>
    </w:p>
    <w:p w14:paraId="6EBF7A49" w14:textId="77777777" w:rsidR="00C17D8E" w:rsidRPr="00F2683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Pr="00F2683A">
        <w:rPr>
          <w:rFonts w:ascii="Times New Roman" w:hAnsi="Times New Roman"/>
          <w:sz w:val="24"/>
          <w:szCs w:val="24"/>
          <w:lang w:val="nl-NL"/>
        </w:rPr>
        <w:t xml:space="preserve"> </w:t>
      </w:r>
    </w:p>
    <w:p w14:paraId="42C33A54" w14:textId="77777777"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Hiệu quả hoạt động của Quỹ:</w:t>
      </w:r>
    </w:p>
    <w:tbl>
      <w:tblPr>
        <w:tblW w:w="7830" w:type="dxa"/>
        <w:jc w:val="center"/>
        <w:tblLook w:val="04A0" w:firstRow="1" w:lastRow="0" w:firstColumn="1" w:lastColumn="0" w:noHBand="0" w:noVBand="1"/>
      </w:tblPr>
      <w:tblGrid>
        <w:gridCol w:w="3780"/>
        <w:gridCol w:w="4050"/>
      </w:tblGrid>
      <w:tr w:rsidR="009777A8" w:rsidRPr="00F2683A" w14:paraId="577C6465" w14:textId="77777777" w:rsidTr="00D86A2D">
        <w:trPr>
          <w:trHeight w:val="545"/>
          <w:jc w:val="center"/>
        </w:trPr>
        <w:tc>
          <w:tcPr>
            <w:tcW w:w="37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6A19370" w14:textId="11F43478" w:rsidR="009777A8" w:rsidRPr="00045DF3" w:rsidRDefault="009777A8" w:rsidP="009777A8">
            <w:pPr>
              <w:spacing w:after="0" w:line="240" w:lineRule="auto"/>
              <w:jc w:val="center"/>
              <w:rPr>
                <w:rFonts w:ascii="Times New Roman" w:eastAsia="Times New Roman" w:hAnsi="Times New Roman"/>
                <w:bCs/>
                <w:color w:val="000000"/>
                <w:sz w:val="24"/>
                <w:szCs w:val="24"/>
                <w:lang w:val="en-SG" w:eastAsia="en-SG"/>
              </w:rPr>
            </w:pPr>
            <w:r w:rsidRPr="00045DF3">
              <w:rPr>
                <w:rFonts w:ascii="Times New Roman" w:eastAsia="Times New Roman" w:hAnsi="Times New Roman"/>
                <w:bCs/>
                <w:color w:val="000000"/>
                <w:sz w:val="24"/>
                <w:szCs w:val="24"/>
                <w:lang w:val="en-SG" w:eastAsia="en-SG"/>
              </w:rPr>
              <w:t xml:space="preserve">NAV </w:t>
            </w:r>
            <w:proofErr w:type="spellStart"/>
            <w:r w:rsidRPr="00045DF3">
              <w:rPr>
                <w:rFonts w:ascii="Times New Roman" w:eastAsia="Times New Roman" w:hAnsi="Times New Roman"/>
                <w:bCs/>
                <w:color w:val="000000"/>
                <w:sz w:val="24"/>
                <w:szCs w:val="24"/>
                <w:lang w:val="en-SG" w:eastAsia="en-SG"/>
              </w:rPr>
              <w:t>ngày</w:t>
            </w:r>
            <w:proofErr w:type="spellEnd"/>
            <w:r w:rsidRPr="00045DF3">
              <w:rPr>
                <w:rFonts w:ascii="Times New Roman" w:eastAsia="Times New Roman" w:hAnsi="Times New Roman"/>
                <w:bCs/>
                <w:color w:val="000000"/>
                <w:sz w:val="24"/>
                <w:szCs w:val="24"/>
                <w:lang w:val="en-SG" w:eastAsia="en-SG"/>
              </w:rPr>
              <w:t xml:space="preserve"> </w:t>
            </w:r>
            <w:r>
              <w:rPr>
                <w:rFonts w:ascii="Times New Roman" w:eastAsia="Times New Roman" w:hAnsi="Times New Roman"/>
                <w:bCs/>
                <w:color w:val="000000"/>
                <w:sz w:val="24"/>
                <w:szCs w:val="24"/>
                <w:lang w:val="en-SG" w:eastAsia="en-SG"/>
              </w:rPr>
              <w:t>31/12</w:t>
            </w:r>
            <w:r w:rsidRPr="00045DF3">
              <w:rPr>
                <w:rFonts w:ascii="Times New Roman" w:eastAsia="Times New Roman" w:hAnsi="Times New Roman"/>
                <w:bCs/>
                <w:color w:val="000000"/>
                <w:sz w:val="24"/>
                <w:szCs w:val="24"/>
                <w:lang w:val="en-SG" w:eastAsia="en-SG"/>
              </w:rPr>
              <w:t>/20</w:t>
            </w:r>
            <w:r w:rsidR="00DD6707">
              <w:rPr>
                <w:rFonts w:ascii="Times New Roman" w:eastAsia="Times New Roman" w:hAnsi="Times New Roman"/>
                <w:bCs/>
                <w:color w:val="000000"/>
                <w:sz w:val="24"/>
                <w:szCs w:val="24"/>
                <w:lang w:val="en-SG" w:eastAsia="en-SG"/>
              </w:rPr>
              <w:t>20</w:t>
            </w:r>
            <w:r>
              <w:rPr>
                <w:rFonts w:ascii="Times New Roman" w:eastAsia="Times New Roman" w:hAnsi="Times New Roman"/>
                <w:bCs/>
                <w:color w:val="000000"/>
                <w:sz w:val="24"/>
                <w:szCs w:val="24"/>
                <w:lang w:val="en-SG" w:eastAsia="en-SG"/>
              </w:rPr>
              <w:t xml:space="preserve"> (VNĐ)</w:t>
            </w:r>
          </w:p>
        </w:tc>
        <w:tc>
          <w:tcPr>
            <w:tcW w:w="4050" w:type="dxa"/>
            <w:tcBorders>
              <w:top w:val="single" w:sz="4" w:space="0" w:color="auto"/>
              <w:left w:val="nil"/>
              <w:bottom w:val="single" w:sz="4" w:space="0" w:color="auto"/>
              <w:right w:val="single" w:sz="4" w:space="0" w:color="auto"/>
            </w:tcBorders>
            <w:shd w:val="clear" w:color="000000" w:fill="DCE6F1"/>
            <w:vAlign w:val="center"/>
            <w:hideMark/>
          </w:tcPr>
          <w:p w14:paraId="0FA2113F" w14:textId="35E4E1F5" w:rsidR="009777A8" w:rsidRPr="00045DF3" w:rsidRDefault="009777A8" w:rsidP="009777A8">
            <w:pPr>
              <w:spacing w:after="0" w:line="240" w:lineRule="auto"/>
              <w:jc w:val="center"/>
              <w:rPr>
                <w:rFonts w:ascii="Times New Roman" w:eastAsia="Times New Roman" w:hAnsi="Times New Roman"/>
                <w:bCs/>
                <w:color w:val="000000"/>
                <w:sz w:val="24"/>
                <w:szCs w:val="24"/>
                <w:lang w:val="en-SG" w:eastAsia="en-SG"/>
              </w:rPr>
            </w:pPr>
            <w:r w:rsidRPr="00045DF3">
              <w:rPr>
                <w:rFonts w:ascii="Times New Roman" w:eastAsia="Times New Roman" w:hAnsi="Times New Roman"/>
                <w:bCs/>
                <w:color w:val="000000"/>
                <w:sz w:val="24"/>
                <w:szCs w:val="24"/>
                <w:lang w:val="en-SG" w:eastAsia="en-SG"/>
              </w:rPr>
              <w:t xml:space="preserve">NAV </w:t>
            </w:r>
            <w:proofErr w:type="spellStart"/>
            <w:r w:rsidRPr="00045DF3">
              <w:rPr>
                <w:rFonts w:ascii="Times New Roman" w:eastAsia="Times New Roman" w:hAnsi="Times New Roman"/>
                <w:bCs/>
                <w:color w:val="000000"/>
                <w:sz w:val="24"/>
                <w:szCs w:val="24"/>
                <w:lang w:val="en-SG" w:eastAsia="en-SG"/>
              </w:rPr>
              <w:t>ngày</w:t>
            </w:r>
            <w:proofErr w:type="spellEnd"/>
            <w:r w:rsidRPr="00045DF3">
              <w:rPr>
                <w:rFonts w:ascii="Times New Roman" w:eastAsia="Times New Roman" w:hAnsi="Times New Roman"/>
                <w:bCs/>
                <w:color w:val="000000"/>
                <w:sz w:val="24"/>
                <w:szCs w:val="24"/>
                <w:lang w:val="en-SG" w:eastAsia="en-SG"/>
              </w:rPr>
              <w:t xml:space="preserve"> </w:t>
            </w:r>
            <w:r>
              <w:rPr>
                <w:rFonts w:ascii="Times New Roman" w:eastAsia="Times New Roman" w:hAnsi="Times New Roman"/>
                <w:bCs/>
                <w:color w:val="000000"/>
                <w:sz w:val="24"/>
                <w:szCs w:val="24"/>
                <w:lang w:val="en-SG" w:eastAsia="en-SG"/>
              </w:rPr>
              <w:t>31/12/202</w:t>
            </w:r>
            <w:r w:rsidR="00DD6707">
              <w:rPr>
                <w:rFonts w:ascii="Times New Roman" w:eastAsia="Times New Roman" w:hAnsi="Times New Roman"/>
                <w:bCs/>
                <w:color w:val="000000"/>
                <w:sz w:val="24"/>
                <w:szCs w:val="24"/>
                <w:lang w:val="en-SG" w:eastAsia="en-SG"/>
              </w:rPr>
              <w:t>1</w:t>
            </w:r>
            <w:r>
              <w:rPr>
                <w:rFonts w:ascii="Times New Roman" w:eastAsia="Times New Roman" w:hAnsi="Times New Roman"/>
                <w:bCs/>
                <w:color w:val="000000"/>
                <w:sz w:val="24"/>
                <w:szCs w:val="24"/>
                <w:lang w:val="en-SG" w:eastAsia="en-SG"/>
              </w:rPr>
              <w:t xml:space="preserve"> (VNĐ)</w:t>
            </w:r>
          </w:p>
        </w:tc>
      </w:tr>
      <w:tr w:rsidR="009777A8" w:rsidRPr="00492605" w14:paraId="66DFF656" w14:textId="77777777" w:rsidTr="00D86A2D">
        <w:trPr>
          <w:trHeight w:val="545"/>
          <w:jc w:val="center"/>
        </w:trPr>
        <w:tc>
          <w:tcPr>
            <w:tcW w:w="3780" w:type="dxa"/>
            <w:tcBorders>
              <w:top w:val="nil"/>
              <w:left w:val="single" w:sz="4" w:space="0" w:color="auto"/>
              <w:bottom w:val="single" w:sz="4" w:space="0" w:color="auto"/>
              <w:right w:val="single" w:sz="4" w:space="0" w:color="auto"/>
            </w:tcBorders>
            <w:shd w:val="clear" w:color="000000" w:fill="DCE6F1"/>
            <w:noWrap/>
            <w:vAlign w:val="center"/>
            <w:hideMark/>
          </w:tcPr>
          <w:p w14:paraId="5A244D9B" w14:textId="46051A49" w:rsidR="009777A8" w:rsidRPr="00045DF3" w:rsidRDefault="00DD6707" w:rsidP="00DD6707">
            <w:pPr>
              <w:spacing w:after="0" w:line="240" w:lineRule="auto"/>
              <w:jc w:val="center"/>
              <w:rPr>
                <w:rFonts w:ascii="Times New Roman" w:eastAsia="Times New Roman" w:hAnsi="Times New Roman"/>
                <w:color w:val="000000"/>
                <w:sz w:val="24"/>
                <w:szCs w:val="24"/>
                <w:lang w:val="en-SG" w:eastAsia="en-SG"/>
              </w:rPr>
            </w:pPr>
            <w:r w:rsidRPr="00492605">
              <w:rPr>
                <w:rFonts w:ascii="Times New Roman" w:eastAsia="Times New Roman" w:hAnsi="Times New Roman"/>
                <w:color w:val="000000"/>
                <w:sz w:val="24"/>
                <w:szCs w:val="24"/>
                <w:lang w:val="en-SG" w:eastAsia="en-SG"/>
              </w:rPr>
              <w:t xml:space="preserve">  </w:t>
            </w:r>
            <w:r>
              <w:rPr>
                <w:rFonts w:ascii="Times New Roman" w:eastAsia="Times New Roman" w:hAnsi="Times New Roman"/>
                <w:color w:val="000000"/>
                <w:sz w:val="24"/>
                <w:szCs w:val="24"/>
                <w:lang w:val="en-SG" w:eastAsia="en-SG"/>
              </w:rPr>
              <w:t>108.382.997.578</w:t>
            </w:r>
          </w:p>
        </w:tc>
        <w:tc>
          <w:tcPr>
            <w:tcW w:w="4050" w:type="dxa"/>
            <w:tcBorders>
              <w:top w:val="nil"/>
              <w:left w:val="nil"/>
              <w:bottom w:val="single" w:sz="4" w:space="0" w:color="auto"/>
              <w:right w:val="single" w:sz="4" w:space="0" w:color="auto"/>
            </w:tcBorders>
            <w:shd w:val="clear" w:color="000000" w:fill="DCE6F1"/>
            <w:noWrap/>
            <w:vAlign w:val="center"/>
            <w:hideMark/>
          </w:tcPr>
          <w:p w14:paraId="3744D659" w14:textId="24A9684A" w:rsidR="009777A8" w:rsidRPr="00045DF3" w:rsidRDefault="009777A8" w:rsidP="00DD6707">
            <w:pPr>
              <w:spacing w:after="0" w:line="240" w:lineRule="auto"/>
              <w:jc w:val="center"/>
              <w:rPr>
                <w:rFonts w:ascii="Times New Roman" w:eastAsia="Times New Roman" w:hAnsi="Times New Roman"/>
                <w:color w:val="000000"/>
                <w:sz w:val="24"/>
                <w:szCs w:val="24"/>
                <w:lang w:val="en-SG" w:eastAsia="en-SG"/>
              </w:rPr>
            </w:pPr>
            <w:r w:rsidRPr="00492605">
              <w:rPr>
                <w:rFonts w:ascii="Times New Roman" w:eastAsia="Times New Roman" w:hAnsi="Times New Roman"/>
                <w:color w:val="000000"/>
                <w:sz w:val="24"/>
                <w:szCs w:val="24"/>
                <w:lang w:val="en-SG" w:eastAsia="en-SG"/>
              </w:rPr>
              <w:t xml:space="preserve">       </w:t>
            </w:r>
            <w:r w:rsidR="00DD6707" w:rsidRPr="00ED7937">
              <w:rPr>
                <w:rFonts w:ascii="Times New Roman" w:eastAsia="Times New Roman" w:hAnsi="Times New Roman"/>
                <w:bCs/>
                <w:color w:val="000000"/>
                <w:sz w:val="24"/>
                <w:szCs w:val="24"/>
                <w:lang w:val="en-SG" w:eastAsia="en-SG"/>
              </w:rPr>
              <w:t>112.298.730.193</w:t>
            </w:r>
          </w:p>
        </w:tc>
      </w:tr>
    </w:tbl>
    <w:p w14:paraId="38FA318F" w14:textId="1FFDFEB8" w:rsidR="00C17D8E" w:rsidRPr="00F2683A" w:rsidRDefault="00DD6707"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Tính đến kỳ báo cáo, giá trị tài sản ròng (NAV) của Quỹ tăng 3,</w:t>
      </w:r>
      <w:r>
        <w:rPr>
          <w:rFonts w:ascii="Times New Roman" w:hAnsi="Times New Roman"/>
          <w:sz w:val="24"/>
          <w:szCs w:val="24"/>
          <w:lang w:val="nl-NL"/>
        </w:rPr>
        <w:t>61</w:t>
      </w:r>
      <w:r w:rsidRPr="00237688">
        <w:rPr>
          <w:rFonts w:ascii="Times New Roman" w:hAnsi="Times New Roman"/>
          <w:sz w:val="24"/>
          <w:szCs w:val="24"/>
          <w:lang w:val="nl-NL"/>
        </w:rPr>
        <w:t>% so với giá trị tài sản ròng (NAV) của Quỹ cùng kỳ năm trước</w:t>
      </w:r>
      <w:r w:rsidR="00C17D8E" w:rsidRPr="00045DF3">
        <w:rPr>
          <w:rFonts w:ascii="Times New Roman" w:hAnsi="Times New Roman"/>
          <w:sz w:val="24"/>
          <w:szCs w:val="24"/>
          <w:lang w:val="nl-NL"/>
        </w:rPr>
        <w:t>.</w:t>
      </w:r>
    </w:p>
    <w:p w14:paraId="714C1F80"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và chiến lược đầu tư của Quỹ:</w:t>
      </w:r>
    </w:p>
    <w:p w14:paraId="348079A6" w14:textId="77777777" w:rsidR="00DD6707" w:rsidRPr="00DD6707" w:rsidRDefault="00DD6707" w:rsidP="00DD6707">
      <w:pPr>
        <w:widowControl w:val="0"/>
        <w:spacing w:before="120" w:after="120"/>
        <w:jc w:val="both"/>
        <w:rPr>
          <w:rFonts w:ascii="Times New Roman" w:hAnsi="Times New Roman"/>
          <w:sz w:val="24"/>
          <w:szCs w:val="24"/>
          <w:lang w:val="nl-NL"/>
        </w:rPr>
      </w:pPr>
      <w:r w:rsidRPr="00DD6707">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03F527EB" w14:textId="3FC7990A" w:rsidR="00C17D8E" w:rsidRPr="00DD6707" w:rsidRDefault="00DD6707" w:rsidP="00DD6707">
      <w:pPr>
        <w:shd w:val="clear" w:color="auto" w:fill="FFFFFF"/>
        <w:tabs>
          <w:tab w:val="left" w:pos="540"/>
        </w:tabs>
        <w:spacing w:before="120" w:after="0" w:line="240" w:lineRule="auto"/>
        <w:jc w:val="both"/>
        <w:rPr>
          <w:rFonts w:ascii="Times New Roman" w:hAnsi="Times New Roman"/>
          <w:sz w:val="24"/>
          <w:szCs w:val="24"/>
          <w:lang w:val="nl-NL"/>
        </w:rPr>
      </w:pPr>
      <w:r w:rsidRPr="00DD6707">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C17D8E" w:rsidRPr="00DD6707">
        <w:rPr>
          <w:rFonts w:ascii="Times New Roman" w:hAnsi="Times New Roman"/>
          <w:sz w:val="24"/>
          <w:szCs w:val="24"/>
          <w:lang w:val="nl-NL"/>
        </w:rPr>
        <w:t xml:space="preserve">. </w:t>
      </w:r>
    </w:p>
    <w:p w14:paraId="6F092069"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Phân loại Quỹ:</w:t>
      </w:r>
    </w:p>
    <w:p w14:paraId="4C2D4545" w14:textId="77777777" w:rsidR="00C17D8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7FC73BE8"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lastRenderedPageBreak/>
        <w:t>Thời gian khuyến cáo đầu tư của Quỹ:</w:t>
      </w:r>
    </w:p>
    <w:p w14:paraId="19523D4D" w14:textId="77777777"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không bị giới hạn về thời hạn hoạt động.</w:t>
      </w:r>
    </w:p>
    <w:p w14:paraId="03067CEE"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Mức độ rủi ro ngắn hạn (thấp, trung bình, cao):</w:t>
      </w:r>
    </w:p>
    <w:p w14:paraId="2AF374A7" w14:textId="77777777"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có mức độ rủi ro ngắn hạn t</w:t>
      </w:r>
      <w:r w:rsidR="00D506DC">
        <w:rPr>
          <w:rFonts w:ascii="Times New Roman" w:hAnsi="Times New Roman"/>
          <w:sz w:val="24"/>
          <w:szCs w:val="24"/>
          <w:lang w:val="nl-NL"/>
        </w:rPr>
        <w:t>hấp</w:t>
      </w:r>
      <w:r w:rsidRPr="00045DF3">
        <w:rPr>
          <w:rFonts w:ascii="Times New Roman" w:hAnsi="Times New Roman"/>
          <w:sz w:val="24"/>
          <w:szCs w:val="24"/>
          <w:lang w:val="nl-NL"/>
        </w:rPr>
        <w:t>.</w:t>
      </w:r>
    </w:p>
    <w:p w14:paraId="58CEFB5E"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Thời điểm bắt đầu hoạt động của Quỹ:</w:t>
      </w:r>
    </w:p>
    <w:p w14:paraId="178E27AF" w14:textId="77777777"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bắt đầu hoạt động từ ngày 03/04/2019.</w:t>
      </w:r>
    </w:p>
    <w:p w14:paraId="43951295" w14:textId="77777777"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EC62B9" w14:paraId="20D4FD0E"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8F6A5D6" w14:textId="77777777"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3944D610" w14:textId="3F745731" w:rsidR="009C5C88" w:rsidRPr="00045DF3" w:rsidRDefault="00C20DA6" w:rsidP="00EC62B9">
            <w:pPr>
              <w:spacing w:after="0" w:line="240" w:lineRule="auto"/>
              <w:jc w:val="center"/>
              <w:rPr>
                <w:rFonts w:ascii="Times New Roman" w:hAnsi="Times New Roman"/>
                <w:sz w:val="24"/>
                <w:szCs w:val="24"/>
                <w:lang w:val="nl-NL"/>
              </w:rPr>
            </w:pPr>
            <w:r w:rsidRPr="00237688">
              <w:rPr>
                <w:rFonts w:ascii="Times New Roman" w:hAnsi="Times New Roman"/>
                <w:sz w:val="24"/>
                <w:szCs w:val="24"/>
                <w:lang w:val="nl-NL"/>
              </w:rPr>
              <w:t>100.061.272.100</w:t>
            </w:r>
          </w:p>
        </w:tc>
      </w:tr>
      <w:tr w:rsidR="009C5C88" w:rsidRPr="00EC62B9" w14:paraId="2AC3263E"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25FCC260" w14:textId="77777777"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6CB9B0DE" w14:textId="4A19F92E" w:rsidR="009C5C88" w:rsidRPr="00045DF3" w:rsidRDefault="00C20DA6" w:rsidP="00EC62B9">
            <w:pPr>
              <w:spacing w:after="0" w:line="240" w:lineRule="auto"/>
              <w:jc w:val="center"/>
              <w:rPr>
                <w:rFonts w:ascii="Times New Roman" w:hAnsi="Times New Roman"/>
                <w:sz w:val="24"/>
                <w:szCs w:val="24"/>
                <w:lang w:val="nl-NL"/>
              </w:rPr>
            </w:pPr>
            <w:r w:rsidRPr="00237688">
              <w:rPr>
                <w:rFonts w:ascii="Times New Roman" w:hAnsi="Times New Roman"/>
                <w:sz w:val="24"/>
                <w:szCs w:val="24"/>
                <w:lang w:val="nl-NL"/>
              </w:rPr>
              <w:t>10.006.127,21</w:t>
            </w:r>
          </w:p>
        </w:tc>
      </w:tr>
    </w:tbl>
    <w:p w14:paraId="1B9EDA17" w14:textId="7024D6B5" w:rsidR="004D4AB0" w:rsidRPr="00F2683A" w:rsidRDefault="00C20DA6"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Tại ngày 3</w:t>
      </w:r>
      <w:r>
        <w:rPr>
          <w:rFonts w:ascii="Times New Roman" w:hAnsi="Times New Roman"/>
          <w:sz w:val="24"/>
          <w:szCs w:val="24"/>
          <w:lang w:val="nl-NL"/>
        </w:rPr>
        <w:t>1 t</w:t>
      </w:r>
      <w:r w:rsidRPr="00237688">
        <w:rPr>
          <w:rFonts w:ascii="Times New Roman" w:hAnsi="Times New Roman"/>
          <w:sz w:val="24"/>
          <w:szCs w:val="24"/>
          <w:lang w:val="nl-NL"/>
        </w:rPr>
        <w:t xml:space="preserve">háng </w:t>
      </w:r>
      <w:r>
        <w:rPr>
          <w:rFonts w:ascii="Times New Roman" w:hAnsi="Times New Roman"/>
          <w:sz w:val="24"/>
          <w:szCs w:val="24"/>
          <w:lang w:val="nl-NL"/>
        </w:rPr>
        <w:t>12</w:t>
      </w:r>
      <w:r w:rsidRPr="00237688">
        <w:rPr>
          <w:rFonts w:ascii="Times New Roman" w:hAnsi="Times New Roman"/>
          <w:sz w:val="24"/>
          <w:szCs w:val="24"/>
          <w:lang w:val="nl-NL"/>
        </w:rPr>
        <w:t xml:space="preserve"> năm 2021, số lượng Chứng chỉ quỹ (“CCQ”) đang lưu hành của Quỹ là 10.006.127,21CCQ, tương đương với quy mô vốn của Quỹ theo mệnh giá là 100.061.272.100 VNĐ</w:t>
      </w:r>
      <w:r w:rsidR="009C5C88" w:rsidRPr="00685F5A">
        <w:rPr>
          <w:rFonts w:ascii="Times New Roman" w:hAnsi="Times New Roman"/>
          <w:sz w:val="24"/>
          <w:szCs w:val="24"/>
          <w:lang w:val="nl-NL"/>
        </w:rPr>
        <w:t>.</w:t>
      </w:r>
    </w:p>
    <w:p w14:paraId="3821555C"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Chỉ số tham chiếu của Quỹ:</w:t>
      </w:r>
    </w:p>
    <w:p w14:paraId="71D47C51" w14:textId="77777777" w:rsidR="000E3955" w:rsidRPr="00685F5A"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C</w:t>
      </w:r>
      <w:r w:rsidRPr="000769A6">
        <w:rPr>
          <w:rFonts w:ascii="Times New Roman" w:hAnsi="Times New Roman"/>
          <w:sz w:val="24"/>
          <w:szCs w:val="24"/>
          <w:lang w:val="nl-NL"/>
        </w:rPr>
        <w:t>hỉ số Trái phiếu Chính phủ năm (05) năm của HNX</w:t>
      </w:r>
      <w:r w:rsidR="000E3955" w:rsidRPr="00685F5A">
        <w:rPr>
          <w:rFonts w:ascii="Times New Roman" w:hAnsi="Times New Roman"/>
          <w:sz w:val="24"/>
          <w:szCs w:val="24"/>
          <w:lang w:val="nl-NL"/>
        </w:rPr>
        <w:t>.</w:t>
      </w:r>
    </w:p>
    <w:p w14:paraId="7FB21DB7"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phân phối lợi nhuận của Quỹ:</w:t>
      </w:r>
    </w:p>
    <w:p w14:paraId="6F2B0411" w14:textId="77777777" w:rsidR="00287AF8" w:rsidRPr="00685F5A"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6047F37D"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F2683A">
        <w:rPr>
          <w:rFonts w:ascii="Times New Roman" w:hAnsi="Times New Roman"/>
          <w:b/>
          <w:sz w:val="24"/>
          <w:szCs w:val="24"/>
          <w:lang w:val="nl-NL"/>
        </w:rPr>
        <w:t>Lợi nhuận thuần thực tế phân phối trên một đơn vị Chứng chỉ quỹ Quỹ</w:t>
      </w:r>
      <w:r w:rsidRPr="00F2683A">
        <w:rPr>
          <w:rFonts w:ascii="Times New Roman" w:hAnsi="Times New Roman"/>
          <w:sz w:val="24"/>
          <w:szCs w:val="24"/>
          <w:lang w:val="nl-NL"/>
        </w:rPr>
        <w:t>:</w:t>
      </w:r>
    </w:p>
    <w:p w14:paraId="4354F13B" w14:textId="1731B4B9" w:rsidR="00C272AB"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 xml:space="preserve">Tại ngày </w:t>
      </w:r>
      <w:r w:rsidR="007E57B0">
        <w:rPr>
          <w:rFonts w:ascii="Times New Roman" w:hAnsi="Times New Roman"/>
          <w:sz w:val="24"/>
          <w:szCs w:val="24"/>
          <w:lang w:val="nl-NL"/>
        </w:rPr>
        <w:t>31</w:t>
      </w:r>
      <w:r w:rsidRPr="00685F5A">
        <w:rPr>
          <w:rFonts w:ascii="Times New Roman" w:hAnsi="Times New Roman"/>
          <w:sz w:val="24"/>
          <w:szCs w:val="24"/>
          <w:lang w:val="nl-NL"/>
        </w:rPr>
        <w:t xml:space="preserve"> tháng </w:t>
      </w:r>
      <w:r w:rsidR="007E57B0">
        <w:rPr>
          <w:rFonts w:ascii="Times New Roman" w:hAnsi="Times New Roman"/>
          <w:sz w:val="24"/>
          <w:szCs w:val="24"/>
          <w:lang w:val="nl-NL"/>
        </w:rPr>
        <w:t>12</w:t>
      </w:r>
      <w:r w:rsidRPr="00685F5A">
        <w:rPr>
          <w:rFonts w:ascii="Times New Roman" w:hAnsi="Times New Roman"/>
          <w:sz w:val="24"/>
          <w:szCs w:val="24"/>
          <w:lang w:val="nl-NL"/>
        </w:rPr>
        <w:t xml:space="preserve"> năm 20</w:t>
      </w:r>
      <w:r w:rsidR="00E9742F">
        <w:rPr>
          <w:rFonts w:ascii="Times New Roman" w:hAnsi="Times New Roman"/>
          <w:sz w:val="24"/>
          <w:szCs w:val="24"/>
          <w:lang w:val="nl-NL"/>
        </w:rPr>
        <w:t>2</w:t>
      </w:r>
      <w:r w:rsidR="00F13479">
        <w:rPr>
          <w:rFonts w:ascii="Times New Roman" w:hAnsi="Times New Roman"/>
          <w:sz w:val="24"/>
          <w:szCs w:val="24"/>
          <w:lang w:val="nl-NL"/>
        </w:rPr>
        <w:t>1</w:t>
      </w:r>
      <w:r w:rsidRPr="00685F5A">
        <w:rPr>
          <w:rFonts w:ascii="Times New Roman" w:hAnsi="Times New Roman"/>
          <w:sz w:val="24"/>
          <w:szCs w:val="24"/>
          <w:lang w:val="nl-NL"/>
        </w:rPr>
        <w:t>, lợi nhuận thuần thực tế phân phối trên một đơn vị CCQ là 0 VNĐ</w:t>
      </w:r>
      <w:r w:rsidR="00685F5A">
        <w:rPr>
          <w:rFonts w:ascii="Times New Roman" w:hAnsi="Times New Roman"/>
          <w:sz w:val="24"/>
          <w:szCs w:val="24"/>
          <w:lang w:val="nl-NL"/>
        </w:rPr>
        <w:t>.</w:t>
      </w:r>
    </w:p>
    <w:p w14:paraId="2CB730B6" w14:textId="77777777" w:rsidR="001C4468" w:rsidRPr="00F2683A"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685F5A">
        <w:rPr>
          <w:rFonts w:ascii="Times New Roman" w:hAnsi="Times New Roman"/>
          <w:b/>
          <w:sz w:val="24"/>
          <w:szCs w:val="24"/>
          <w:lang w:val="nl-NL"/>
        </w:rPr>
        <w:t xml:space="preserve">II. </w:t>
      </w:r>
      <w:r w:rsidR="00685F5A">
        <w:rPr>
          <w:rFonts w:ascii="Times New Roman" w:hAnsi="Times New Roman"/>
          <w:b/>
          <w:sz w:val="24"/>
          <w:szCs w:val="24"/>
          <w:lang w:val="nl-NL"/>
        </w:rPr>
        <w:tab/>
      </w:r>
      <w:r w:rsidRPr="00685F5A">
        <w:rPr>
          <w:rFonts w:ascii="Times New Roman" w:hAnsi="Times New Roman"/>
          <w:b/>
          <w:sz w:val="24"/>
          <w:szCs w:val="24"/>
          <w:lang w:val="nl-NL"/>
        </w:rPr>
        <w:t>S</w:t>
      </w:r>
      <w:r w:rsidR="008321C8">
        <w:rPr>
          <w:rFonts w:ascii="Times New Roman" w:hAnsi="Times New Roman"/>
          <w:b/>
          <w:sz w:val="24"/>
          <w:szCs w:val="24"/>
          <w:lang w:val="nl-NL"/>
        </w:rPr>
        <w:t>Ố LIỆU HOẠT ĐỘNG</w:t>
      </w:r>
    </w:p>
    <w:p w14:paraId="0AD48C83" w14:textId="128E3474" w:rsidR="001C4468"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685"/>
        <w:gridCol w:w="1888"/>
        <w:gridCol w:w="1628"/>
        <w:gridCol w:w="1714"/>
      </w:tblGrid>
      <w:tr w:rsidR="00F13479" w:rsidRPr="00237688" w14:paraId="2161C30E" w14:textId="77777777" w:rsidTr="00BC7FC4">
        <w:trPr>
          <w:trHeight w:val="988"/>
        </w:trPr>
        <w:tc>
          <w:tcPr>
            <w:tcW w:w="4685" w:type="dxa"/>
            <w:vAlign w:val="center"/>
          </w:tcPr>
          <w:p w14:paraId="2AC585D3" w14:textId="77777777" w:rsidR="00F13479" w:rsidRPr="00237688" w:rsidRDefault="00F13479" w:rsidP="00BC7FC4">
            <w:pPr>
              <w:spacing w:before="120" w:line="276" w:lineRule="auto"/>
              <w:jc w:val="both"/>
              <w:rPr>
                <w:rFonts w:ascii="Times New Roman" w:hAnsi="Times New Roman"/>
                <w:b/>
                <w:sz w:val="24"/>
                <w:szCs w:val="24"/>
                <w:lang w:val="nl-NL"/>
              </w:rPr>
            </w:pPr>
            <w:r w:rsidRPr="00237688">
              <w:rPr>
                <w:rFonts w:ascii="Times New Roman" w:eastAsia="Times New Roman" w:hAnsi="Times New Roman"/>
                <w:b/>
                <w:sz w:val="24"/>
                <w:szCs w:val="24"/>
                <w:lang w:val="nl-NL"/>
              </w:rPr>
              <w:t>Cơ cấu tài sản quỹ</w:t>
            </w:r>
          </w:p>
        </w:tc>
        <w:tc>
          <w:tcPr>
            <w:tcW w:w="1888" w:type="dxa"/>
          </w:tcPr>
          <w:p w14:paraId="76ABC8E4" w14:textId="77777777" w:rsidR="00F13479" w:rsidRPr="00237688" w:rsidRDefault="00F13479" w:rsidP="00BC7FC4">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w:t>
            </w:r>
            <w:r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/2021</w:t>
            </w:r>
          </w:p>
          <w:p w14:paraId="3746B97B" w14:textId="77777777" w:rsidR="00F13479" w:rsidRPr="00237688" w:rsidRDefault="00F13479" w:rsidP="00BC7FC4">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c>
          <w:tcPr>
            <w:tcW w:w="1628" w:type="dxa"/>
          </w:tcPr>
          <w:p w14:paraId="2F4677D4" w14:textId="77777777" w:rsidR="00F13479" w:rsidRPr="00237688" w:rsidRDefault="00F13479" w:rsidP="00BC7FC4">
            <w:pPr>
              <w:tabs>
                <w:tab w:val="left" w:pos="540"/>
              </w:tabs>
              <w:spacing w:before="120" w:line="276" w:lineRule="auto"/>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/2020</w:t>
            </w:r>
          </w:p>
          <w:p w14:paraId="3D6FD92E" w14:textId="77777777" w:rsidR="00F13479" w:rsidRPr="00237688" w:rsidRDefault="00F13479" w:rsidP="00BC7FC4">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c>
          <w:tcPr>
            <w:tcW w:w="1714" w:type="dxa"/>
          </w:tcPr>
          <w:p w14:paraId="06EB9966" w14:textId="77777777" w:rsidR="00F13479" w:rsidRPr="00237688" w:rsidRDefault="00F13479" w:rsidP="00BC7FC4">
            <w:pPr>
              <w:spacing w:before="120" w:line="276" w:lineRule="auto"/>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/2019</w:t>
            </w:r>
          </w:p>
          <w:p w14:paraId="17688FCF" w14:textId="77777777" w:rsidR="00F13479" w:rsidRPr="00237688" w:rsidRDefault="00F13479" w:rsidP="00BC7FC4">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r>
      <w:tr w:rsidR="00F13479" w:rsidRPr="00237688" w14:paraId="58127B0C" w14:textId="77777777" w:rsidTr="00BC7FC4">
        <w:trPr>
          <w:trHeight w:val="557"/>
        </w:trPr>
        <w:tc>
          <w:tcPr>
            <w:tcW w:w="4685" w:type="dxa"/>
            <w:vAlign w:val="center"/>
          </w:tcPr>
          <w:p w14:paraId="3E84B52C" w14:textId="77777777" w:rsidR="00F13479" w:rsidRPr="005878EA" w:rsidRDefault="00F13479" w:rsidP="00F13479">
            <w:pPr>
              <w:pStyle w:val="ListParagraph"/>
              <w:numPr>
                <w:ilvl w:val="0"/>
                <w:numId w:val="9"/>
              </w:numPr>
              <w:spacing w:before="120"/>
              <w:jc w:val="both"/>
              <w:rPr>
                <w:rFonts w:ascii="Times New Roman" w:eastAsia="Times New Roman" w:hAnsi="Times New Roman"/>
                <w:bCs/>
                <w:sz w:val="24"/>
                <w:szCs w:val="24"/>
                <w:lang w:val="nl-NL"/>
              </w:rPr>
            </w:pPr>
            <w:r w:rsidRPr="005878EA">
              <w:rPr>
                <w:rFonts w:ascii="Times New Roman" w:eastAsia="Times New Roman" w:hAnsi="Times New Roman"/>
                <w:bCs/>
                <w:sz w:val="24"/>
                <w:szCs w:val="24"/>
                <w:lang w:val="nl-NL"/>
              </w:rPr>
              <w:t>Trái phiếu chưa niêm yết</w:t>
            </w:r>
          </w:p>
        </w:tc>
        <w:tc>
          <w:tcPr>
            <w:tcW w:w="1888" w:type="dxa"/>
          </w:tcPr>
          <w:p w14:paraId="04271E99" w14:textId="77777777" w:rsidR="00F13479" w:rsidRPr="005878EA" w:rsidRDefault="00F13479" w:rsidP="00BC7FC4">
            <w:pPr>
              <w:tabs>
                <w:tab w:val="left" w:pos="540"/>
              </w:tabs>
              <w:spacing w:before="120"/>
              <w:jc w:val="center"/>
              <w:rPr>
                <w:rFonts w:ascii="Times New Roman" w:eastAsia="Times New Roman" w:hAnsi="Times New Roman"/>
                <w:bCs/>
                <w:sz w:val="24"/>
                <w:szCs w:val="24"/>
                <w:lang w:val="nl-NL"/>
              </w:rPr>
            </w:pPr>
            <w:r w:rsidRPr="005878EA">
              <w:rPr>
                <w:rFonts w:ascii="Times New Roman" w:eastAsia="Times New Roman" w:hAnsi="Times New Roman"/>
                <w:bCs/>
                <w:sz w:val="24"/>
                <w:szCs w:val="24"/>
                <w:lang w:val="nl-NL"/>
              </w:rPr>
              <w:t>8,89</w:t>
            </w:r>
          </w:p>
        </w:tc>
        <w:tc>
          <w:tcPr>
            <w:tcW w:w="1628" w:type="dxa"/>
          </w:tcPr>
          <w:p w14:paraId="6BCD7D3D" w14:textId="77777777" w:rsidR="00F13479" w:rsidRPr="00237688" w:rsidRDefault="00F13479" w:rsidP="00BC7FC4">
            <w:pPr>
              <w:tabs>
                <w:tab w:val="left" w:pos="540"/>
              </w:tabs>
              <w:spacing w:before="120"/>
              <w:jc w:val="center"/>
              <w:rPr>
                <w:rFonts w:ascii="Times New Roman" w:eastAsia="Times New Roman" w:hAnsi="Times New Roman"/>
                <w:b/>
                <w:sz w:val="24"/>
                <w:szCs w:val="24"/>
                <w:lang w:val="nl-NL"/>
              </w:rPr>
            </w:pPr>
          </w:p>
        </w:tc>
        <w:tc>
          <w:tcPr>
            <w:tcW w:w="1714" w:type="dxa"/>
          </w:tcPr>
          <w:p w14:paraId="454A8D10" w14:textId="77777777" w:rsidR="00F13479" w:rsidRPr="00237688" w:rsidRDefault="00F13479" w:rsidP="00BC7FC4">
            <w:pPr>
              <w:spacing w:before="120"/>
              <w:jc w:val="center"/>
              <w:rPr>
                <w:rFonts w:ascii="Times New Roman" w:eastAsia="Times New Roman" w:hAnsi="Times New Roman"/>
                <w:b/>
                <w:sz w:val="24"/>
                <w:szCs w:val="24"/>
                <w:lang w:val="nl-NL"/>
              </w:rPr>
            </w:pPr>
          </w:p>
        </w:tc>
      </w:tr>
      <w:tr w:rsidR="00F13479" w:rsidRPr="00237688" w14:paraId="6C5AA89D" w14:textId="77777777" w:rsidTr="00BC7FC4">
        <w:trPr>
          <w:trHeight w:val="494"/>
        </w:trPr>
        <w:tc>
          <w:tcPr>
            <w:tcW w:w="4685" w:type="dxa"/>
            <w:vAlign w:val="center"/>
          </w:tcPr>
          <w:p w14:paraId="58076C33" w14:textId="77777777" w:rsidR="00F13479" w:rsidRPr="005878EA" w:rsidRDefault="00F13479" w:rsidP="00F13479">
            <w:pPr>
              <w:pStyle w:val="ListParagraph"/>
              <w:numPr>
                <w:ilvl w:val="0"/>
                <w:numId w:val="9"/>
              </w:numPr>
              <w:spacing w:before="120"/>
              <w:jc w:val="both"/>
              <w:rPr>
                <w:rFonts w:ascii="Times New Roman" w:eastAsia="Times New Roman" w:hAnsi="Times New Roman"/>
                <w:sz w:val="24"/>
                <w:szCs w:val="24"/>
                <w:lang w:val="nl-NL"/>
              </w:rPr>
            </w:pPr>
            <w:r w:rsidRPr="005878EA">
              <w:rPr>
                <w:rFonts w:ascii="Times New Roman" w:eastAsia="Times New Roman" w:hAnsi="Times New Roman"/>
                <w:sz w:val="24"/>
                <w:szCs w:val="24"/>
                <w:lang w:val="nl-NL"/>
              </w:rPr>
              <w:t>Tiền gửi ngân hàng</w:t>
            </w:r>
          </w:p>
        </w:tc>
        <w:tc>
          <w:tcPr>
            <w:tcW w:w="1888" w:type="dxa"/>
            <w:vAlign w:val="center"/>
          </w:tcPr>
          <w:p w14:paraId="2FCECF7F" w14:textId="77777777" w:rsidR="00F13479" w:rsidRPr="005878EA" w:rsidRDefault="00F13479" w:rsidP="00BC7FC4">
            <w:pPr>
              <w:tabs>
                <w:tab w:val="left" w:pos="540"/>
              </w:tabs>
              <w:spacing w:before="120"/>
              <w:jc w:val="center"/>
              <w:rPr>
                <w:rFonts w:ascii="Times New Roman" w:eastAsia="Times New Roman" w:hAnsi="Times New Roman"/>
                <w:bCs/>
                <w:sz w:val="24"/>
                <w:szCs w:val="24"/>
                <w:lang w:val="nl-NL"/>
              </w:rPr>
            </w:pPr>
            <w:r w:rsidRPr="005878EA">
              <w:rPr>
                <w:rFonts w:ascii="Times New Roman" w:eastAsia="Times New Roman" w:hAnsi="Times New Roman"/>
                <w:bCs/>
                <w:sz w:val="24"/>
                <w:szCs w:val="24"/>
                <w:lang w:val="nl-NL"/>
              </w:rPr>
              <w:t>0,99</w:t>
            </w:r>
          </w:p>
        </w:tc>
        <w:tc>
          <w:tcPr>
            <w:tcW w:w="1628" w:type="dxa"/>
            <w:vAlign w:val="center"/>
          </w:tcPr>
          <w:p w14:paraId="2BFB155A" w14:textId="77777777" w:rsidR="00F13479" w:rsidRPr="00237688" w:rsidRDefault="00F13479" w:rsidP="00BC7FC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2,07</w:t>
            </w:r>
          </w:p>
        </w:tc>
        <w:tc>
          <w:tcPr>
            <w:tcW w:w="1714" w:type="dxa"/>
            <w:vAlign w:val="center"/>
          </w:tcPr>
          <w:p w14:paraId="5A6EEBD8" w14:textId="77777777" w:rsidR="00F13479" w:rsidRPr="00237688" w:rsidRDefault="00F13479" w:rsidP="00BC7FC4">
            <w:pPr>
              <w:spacing w:before="120" w:line="276"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2,28</w:t>
            </w:r>
          </w:p>
        </w:tc>
      </w:tr>
      <w:tr w:rsidR="00F13479" w:rsidRPr="00237688" w14:paraId="60E3269F" w14:textId="77777777" w:rsidTr="00BC7FC4">
        <w:trPr>
          <w:trHeight w:val="443"/>
        </w:trPr>
        <w:tc>
          <w:tcPr>
            <w:tcW w:w="4685" w:type="dxa"/>
            <w:vAlign w:val="center"/>
          </w:tcPr>
          <w:p w14:paraId="6D03857F" w14:textId="77777777" w:rsidR="00F13479" w:rsidRPr="00237688" w:rsidRDefault="00F13479" w:rsidP="00F13479">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Các khoản tương đương tiền</w:t>
            </w:r>
          </w:p>
        </w:tc>
        <w:tc>
          <w:tcPr>
            <w:tcW w:w="1888" w:type="dxa"/>
            <w:vAlign w:val="center"/>
          </w:tcPr>
          <w:p w14:paraId="3B2539B8" w14:textId="09B60834" w:rsidR="00F13479" w:rsidRPr="005878EA" w:rsidRDefault="00F13479" w:rsidP="00BC7FC4">
            <w:pPr>
              <w:spacing w:before="120"/>
              <w:jc w:val="center"/>
              <w:rPr>
                <w:rFonts w:ascii="Times New Roman" w:hAnsi="Times New Roman"/>
                <w:bCs/>
                <w:sz w:val="24"/>
                <w:szCs w:val="24"/>
                <w:lang w:val="nl-NL"/>
              </w:rPr>
            </w:pPr>
            <w:r w:rsidRPr="005878EA">
              <w:rPr>
                <w:rFonts w:ascii="Times New Roman" w:hAnsi="Times New Roman"/>
                <w:bCs/>
                <w:sz w:val="24"/>
                <w:szCs w:val="24"/>
                <w:lang w:val="nl-NL"/>
              </w:rPr>
              <w:t>0</w:t>
            </w:r>
            <w:r w:rsidR="00173960">
              <w:rPr>
                <w:rFonts w:ascii="Times New Roman" w:hAnsi="Times New Roman"/>
                <w:bCs/>
                <w:sz w:val="24"/>
                <w:szCs w:val="24"/>
                <w:lang w:val="nl-NL"/>
              </w:rPr>
              <w:t>,00</w:t>
            </w:r>
          </w:p>
        </w:tc>
        <w:tc>
          <w:tcPr>
            <w:tcW w:w="1628" w:type="dxa"/>
            <w:vAlign w:val="center"/>
          </w:tcPr>
          <w:p w14:paraId="1E2426EE" w14:textId="77777777" w:rsidR="00F13479" w:rsidRPr="00237688" w:rsidRDefault="00F13479" w:rsidP="00BC7FC4">
            <w:pPr>
              <w:spacing w:before="120"/>
              <w:jc w:val="center"/>
              <w:rPr>
                <w:rFonts w:ascii="Times New Roman" w:hAnsi="Times New Roman"/>
                <w:sz w:val="24"/>
                <w:szCs w:val="24"/>
                <w:lang w:val="nl-NL"/>
              </w:rPr>
            </w:pPr>
            <w:r>
              <w:rPr>
                <w:rFonts w:ascii="Times New Roman" w:hAnsi="Times New Roman"/>
                <w:sz w:val="24"/>
                <w:szCs w:val="24"/>
                <w:lang w:val="nl-NL"/>
              </w:rPr>
              <w:t>0</w:t>
            </w:r>
          </w:p>
        </w:tc>
        <w:tc>
          <w:tcPr>
            <w:tcW w:w="1714" w:type="dxa"/>
            <w:vAlign w:val="center"/>
          </w:tcPr>
          <w:p w14:paraId="6BF63F31" w14:textId="77777777" w:rsidR="00F13479" w:rsidRPr="00237688" w:rsidRDefault="00F13479" w:rsidP="00BC7FC4">
            <w:pPr>
              <w:spacing w:before="120"/>
              <w:jc w:val="center"/>
              <w:rPr>
                <w:rFonts w:ascii="Times New Roman" w:hAnsi="Times New Roman"/>
                <w:sz w:val="24"/>
                <w:szCs w:val="24"/>
                <w:lang w:val="nl-NL"/>
              </w:rPr>
            </w:pPr>
            <w:r>
              <w:rPr>
                <w:rFonts w:ascii="Times New Roman" w:hAnsi="Times New Roman"/>
                <w:sz w:val="24"/>
                <w:szCs w:val="24"/>
                <w:lang w:val="nl-NL"/>
              </w:rPr>
              <w:t>0</w:t>
            </w:r>
          </w:p>
        </w:tc>
      </w:tr>
      <w:tr w:rsidR="00F13479" w:rsidRPr="00237688" w14:paraId="64B611BF" w14:textId="77777777" w:rsidTr="00BC7FC4">
        <w:trPr>
          <w:trHeight w:val="494"/>
        </w:trPr>
        <w:tc>
          <w:tcPr>
            <w:tcW w:w="4685" w:type="dxa"/>
            <w:vAlign w:val="center"/>
          </w:tcPr>
          <w:p w14:paraId="054D8A4A" w14:textId="77777777" w:rsidR="00F13479" w:rsidRPr="00237688" w:rsidRDefault="00F13479" w:rsidP="00F13479">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Tiền gửi kỳ hạn trên 3 tháng</w:t>
            </w:r>
          </w:p>
        </w:tc>
        <w:tc>
          <w:tcPr>
            <w:tcW w:w="1888" w:type="dxa"/>
            <w:vAlign w:val="center"/>
          </w:tcPr>
          <w:p w14:paraId="0ABEFB46" w14:textId="77777777" w:rsidR="00F13479" w:rsidRPr="005878EA" w:rsidRDefault="00F13479" w:rsidP="00BC7FC4">
            <w:pPr>
              <w:spacing w:before="120" w:line="276" w:lineRule="auto"/>
              <w:jc w:val="center"/>
              <w:rPr>
                <w:rFonts w:ascii="Times New Roman" w:hAnsi="Times New Roman"/>
                <w:bCs/>
                <w:sz w:val="24"/>
                <w:szCs w:val="24"/>
                <w:lang w:val="nl-NL"/>
              </w:rPr>
            </w:pPr>
            <w:r w:rsidRPr="005878EA">
              <w:rPr>
                <w:rFonts w:ascii="Times New Roman" w:hAnsi="Times New Roman"/>
                <w:bCs/>
                <w:sz w:val="24"/>
                <w:szCs w:val="24"/>
                <w:lang w:val="nl-NL"/>
              </w:rPr>
              <w:t>74,46</w:t>
            </w:r>
          </w:p>
        </w:tc>
        <w:tc>
          <w:tcPr>
            <w:tcW w:w="1628" w:type="dxa"/>
            <w:vAlign w:val="center"/>
          </w:tcPr>
          <w:p w14:paraId="5BBA5D5B" w14:textId="77777777" w:rsidR="00F13479" w:rsidRPr="00237688" w:rsidRDefault="00F13479" w:rsidP="00BC7FC4">
            <w:pPr>
              <w:spacing w:before="120" w:line="276" w:lineRule="auto"/>
              <w:jc w:val="center"/>
              <w:rPr>
                <w:rFonts w:ascii="Times New Roman" w:hAnsi="Times New Roman"/>
                <w:sz w:val="24"/>
                <w:szCs w:val="24"/>
                <w:lang w:val="nl-NL"/>
              </w:rPr>
            </w:pPr>
            <w:r>
              <w:rPr>
                <w:rFonts w:ascii="Times New Roman" w:hAnsi="Times New Roman"/>
                <w:sz w:val="24"/>
                <w:szCs w:val="24"/>
                <w:lang w:val="nl-NL"/>
              </w:rPr>
              <w:t>85,43</w:t>
            </w:r>
          </w:p>
        </w:tc>
        <w:tc>
          <w:tcPr>
            <w:tcW w:w="1714" w:type="dxa"/>
            <w:vAlign w:val="center"/>
          </w:tcPr>
          <w:p w14:paraId="179C5D5A" w14:textId="77777777" w:rsidR="00F13479" w:rsidRPr="00237688" w:rsidRDefault="00F13479" w:rsidP="00BC7FC4">
            <w:pPr>
              <w:spacing w:before="120" w:line="276" w:lineRule="auto"/>
              <w:jc w:val="center"/>
              <w:rPr>
                <w:rFonts w:ascii="Times New Roman" w:hAnsi="Times New Roman"/>
                <w:sz w:val="24"/>
                <w:szCs w:val="24"/>
                <w:lang w:val="nl-NL"/>
              </w:rPr>
            </w:pPr>
            <w:r>
              <w:rPr>
                <w:rFonts w:ascii="Times New Roman" w:hAnsi="Times New Roman"/>
                <w:sz w:val="24"/>
                <w:szCs w:val="24"/>
                <w:lang w:val="nl-NL"/>
              </w:rPr>
              <w:t>76,19</w:t>
            </w:r>
          </w:p>
        </w:tc>
      </w:tr>
      <w:tr w:rsidR="00F13479" w:rsidRPr="00237688" w14:paraId="07BDAC0E" w14:textId="77777777" w:rsidTr="00BC7FC4">
        <w:trPr>
          <w:trHeight w:val="494"/>
        </w:trPr>
        <w:tc>
          <w:tcPr>
            <w:tcW w:w="4685" w:type="dxa"/>
            <w:vAlign w:val="center"/>
          </w:tcPr>
          <w:p w14:paraId="37D3B43D" w14:textId="77777777" w:rsidR="00F13479" w:rsidRPr="00237688" w:rsidRDefault="00F13479" w:rsidP="00F13479">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Chứng chỉ tiền gửi</w:t>
            </w:r>
          </w:p>
        </w:tc>
        <w:tc>
          <w:tcPr>
            <w:tcW w:w="1888" w:type="dxa"/>
            <w:vAlign w:val="center"/>
          </w:tcPr>
          <w:p w14:paraId="4FB6588F" w14:textId="77777777" w:rsidR="00F13479" w:rsidRPr="005878EA" w:rsidRDefault="00F13479" w:rsidP="00BC7FC4">
            <w:pPr>
              <w:spacing w:before="120" w:line="276" w:lineRule="auto"/>
              <w:jc w:val="center"/>
              <w:rPr>
                <w:rFonts w:ascii="Times New Roman" w:hAnsi="Times New Roman"/>
                <w:bCs/>
                <w:sz w:val="24"/>
                <w:szCs w:val="24"/>
                <w:lang w:val="nl-NL"/>
              </w:rPr>
            </w:pPr>
            <w:r w:rsidRPr="005878EA">
              <w:rPr>
                <w:rFonts w:ascii="Times New Roman" w:hAnsi="Times New Roman"/>
                <w:bCs/>
                <w:sz w:val="24"/>
                <w:szCs w:val="24"/>
                <w:lang w:val="nl-NL"/>
              </w:rPr>
              <w:t>13,33</w:t>
            </w:r>
          </w:p>
        </w:tc>
        <w:tc>
          <w:tcPr>
            <w:tcW w:w="1628" w:type="dxa"/>
            <w:vAlign w:val="center"/>
          </w:tcPr>
          <w:p w14:paraId="21703BF8" w14:textId="77777777" w:rsidR="00F13479" w:rsidRPr="00237688" w:rsidRDefault="00F13479" w:rsidP="00BC7FC4">
            <w:pPr>
              <w:spacing w:before="120" w:line="276" w:lineRule="auto"/>
              <w:jc w:val="center"/>
              <w:rPr>
                <w:rFonts w:ascii="Times New Roman" w:hAnsi="Times New Roman"/>
                <w:sz w:val="24"/>
                <w:szCs w:val="24"/>
                <w:lang w:val="nl-NL"/>
              </w:rPr>
            </w:pPr>
            <w:r>
              <w:rPr>
                <w:rFonts w:ascii="Times New Roman" w:hAnsi="Times New Roman"/>
                <w:sz w:val="24"/>
                <w:szCs w:val="24"/>
                <w:lang w:val="nl-NL"/>
              </w:rPr>
              <w:t>9,21</w:t>
            </w:r>
          </w:p>
        </w:tc>
        <w:tc>
          <w:tcPr>
            <w:tcW w:w="1714" w:type="dxa"/>
            <w:vAlign w:val="center"/>
          </w:tcPr>
          <w:p w14:paraId="69B960A6" w14:textId="77777777" w:rsidR="00F13479" w:rsidRPr="00237688" w:rsidRDefault="00F13479" w:rsidP="00BC7FC4">
            <w:pPr>
              <w:spacing w:before="120" w:line="276" w:lineRule="auto"/>
              <w:jc w:val="center"/>
              <w:rPr>
                <w:rFonts w:ascii="Times New Roman" w:hAnsi="Times New Roman"/>
                <w:sz w:val="24"/>
                <w:szCs w:val="24"/>
                <w:lang w:val="nl-NL"/>
              </w:rPr>
            </w:pPr>
            <w:r>
              <w:rPr>
                <w:rFonts w:ascii="Times New Roman" w:hAnsi="Times New Roman"/>
                <w:sz w:val="24"/>
                <w:szCs w:val="24"/>
                <w:lang w:val="nl-NL"/>
              </w:rPr>
              <w:t>19,29</w:t>
            </w:r>
          </w:p>
        </w:tc>
      </w:tr>
      <w:tr w:rsidR="00F13479" w:rsidRPr="00237688" w14:paraId="06B54C0D" w14:textId="77777777" w:rsidTr="00BC7FC4">
        <w:trPr>
          <w:trHeight w:val="477"/>
        </w:trPr>
        <w:tc>
          <w:tcPr>
            <w:tcW w:w="4685" w:type="dxa"/>
            <w:vAlign w:val="center"/>
          </w:tcPr>
          <w:p w14:paraId="127E5035" w14:textId="77777777" w:rsidR="00F13479" w:rsidRPr="00237688" w:rsidRDefault="00F13479" w:rsidP="00F13479">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Khác</w:t>
            </w:r>
          </w:p>
        </w:tc>
        <w:tc>
          <w:tcPr>
            <w:tcW w:w="1888" w:type="dxa"/>
            <w:vAlign w:val="center"/>
          </w:tcPr>
          <w:p w14:paraId="12D7C0CC" w14:textId="77777777" w:rsidR="00F13479" w:rsidRPr="005878EA" w:rsidRDefault="00F13479" w:rsidP="00BC7FC4">
            <w:pPr>
              <w:spacing w:before="120" w:line="276" w:lineRule="auto"/>
              <w:jc w:val="center"/>
              <w:rPr>
                <w:rFonts w:ascii="Times New Roman" w:hAnsi="Times New Roman"/>
                <w:bCs/>
                <w:sz w:val="24"/>
                <w:szCs w:val="24"/>
                <w:lang w:val="nl-NL"/>
              </w:rPr>
            </w:pPr>
            <w:r w:rsidRPr="005878EA">
              <w:rPr>
                <w:rFonts w:ascii="Times New Roman" w:hAnsi="Times New Roman"/>
                <w:bCs/>
                <w:sz w:val="24"/>
                <w:szCs w:val="24"/>
                <w:lang w:val="nl-NL"/>
              </w:rPr>
              <w:t>2,34</w:t>
            </w:r>
          </w:p>
        </w:tc>
        <w:tc>
          <w:tcPr>
            <w:tcW w:w="1628" w:type="dxa"/>
            <w:vAlign w:val="center"/>
          </w:tcPr>
          <w:p w14:paraId="7A0C06C8" w14:textId="77777777" w:rsidR="00F13479" w:rsidRPr="00237688" w:rsidRDefault="00F13479" w:rsidP="00BC7FC4">
            <w:pPr>
              <w:spacing w:before="120" w:line="276" w:lineRule="auto"/>
              <w:jc w:val="center"/>
              <w:rPr>
                <w:rFonts w:ascii="Times New Roman" w:hAnsi="Times New Roman"/>
                <w:sz w:val="24"/>
                <w:szCs w:val="24"/>
                <w:lang w:val="nl-NL"/>
              </w:rPr>
            </w:pPr>
            <w:r>
              <w:rPr>
                <w:rFonts w:ascii="Times New Roman" w:hAnsi="Times New Roman"/>
                <w:sz w:val="24"/>
                <w:szCs w:val="24"/>
                <w:lang w:val="nl-NL"/>
              </w:rPr>
              <w:t>3,29</w:t>
            </w:r>
          </w:p>
        </w:tc>
        <w:tc>
          <w:tcPr>
            <w:tcW w:w="1714" w:type="dxa"/>
            <w:vAlign w:val="center"/>
          </w:tcPr>
          <w:p w14:paraId="3A6D1B18" w14:textId="77777777" w:rsidR="00F13479" w:rsidRPr="00237688" w:rsidRDefault="00F13479" w:rsidP="00BC7FC4">
            <w:pPr>
              <w:spacing w:before="120" w:line="276" w:lineRule="auto"/>
              <w:jc w:val="center"/>
              <w:rPr>
                <w:rFonts w:ascii="Times New Roman" w:hAnsi="Times New Roman"/>
                <w:sz w:val="24"/>
                <w:szCs w:val="24"/>
                <w:lang w:val="nl-NL"/>
              </w:rPr>
            </w:pPr>
            <w:r w:rsidRPr="00A46DC4">
              <w:rPr>
                <w:rFonts w:ascii="Times New Roman" w:hAnsi="Times New Roman"/>
                <w:sz w:val="24"/>
                <w:szCs w:val="24"/>
                <w:lang w:val="nl-NL"/>
              </w:rPr>
              <w:t>2,24</w:t>
            </w:r>
          </w:p>
        </w:tc>
      </w:tr>
      <w:tr w:rsidR="00F13479" w:rsidRPr="00237688" w14:paraId="13B68B0F" w14:textId="77777777" w:rsidTr="00BC7FC4">
        <w:trPr>
          <w:trHeight w:val="494"/>
        </w:trPr>
        <w:tc>
          <w:tcPr>
            <w:tcW w:w="4685" w:type="dxa"/>
            <w:vAlign w:val="center"/>
          </w:tcPr>
          <w:p w14:paraId="74334A83" w14:textId="77777777" w:rsidR="00F13479" w:rsidRPr="00237688" w:rsidRDefault="00F13479" w:rsidP="00BC7FC4">
            <w:pPr>
              <w:spacing w:before="120" w:line="276" w:lineRule="auto"/>
              <w:jc w:val="center"/>
              <w:rPr>
                <w:rFonts w:ascii="Times New Roman" w:hAnsi="Times New Roman"/>
                <w:sz w:val="24"/>
                <w:szCs w:val="24"/>
                <w:lang w:val="nl-NL"/>
              </w:rPr>
            </w:pPr>
            <w:r w:rsidRPr="00237688">
              <w:rPr>
                <w:rFonts w:ascii="Times New Roman" w:eastAsia="Times New Roman" w:hAnsi="Times New Roman"/>
                <w:sz w:val="24"/>
                <w:szCs w:val="24"/>
                <w:lang w:val="nl-NL"/>
              </w:rPr>
              <w:t>Cộng</w:t>
            </w:r>
          </w:p>
        </w:tc>
        <w:tc>
          <w:tcPr>
            <w:tcW w:w="1888" w:type="dxa"/>
            <w:vAlign w:val="center"/>
          </w:tcPr>
          <w:p w14:paraId="6EBE81D7" w14:textId="77777777" w:rsidR="00F13479" w:rsidRPr="00237688" w:rsidRDefault="00F13479" w:rsidP="00BC7FC4">
            <w:pPr>
              <w:spacing w:before="120" w:line="276" w:lineRule="auto"/>
              <w:jc w:val="center"/>
              <w:rPr>
                <w:rFonts w:ascii="Times New Roman" w:hAnsi="Times New Roman"/>
                <w:b/>
                <w:sz w:val="24"/>
                <w:szCs w:val="24"/>
                <w:lang w:val="nl-NL"/>
              </w:rPr>
            </w:pPr>
            <w:r w:rsidRPr="00237688">
              <w:rPr>
                <w:rFonts w:ascii="Times New Roman" w:hAnsi="Times New Roman"/>
                <w:b/>
                <w:sz w:val="24"/>
                <w:szCs w:val="24"/>
                <w:lang w:val="nl-NL"/>
              </w:rPr>
              <w:t>100,00</w:t>
            </w:r>
          </w:p>
        </w:tc>
        <w:tc>
          <w:tcPr>
            <w:tcW w:w="1628" w:type="dxa"/>
            <w:vAlign w:val="center"/>
          </w:tcPr>
          <w:p w14:paraId="1D8817DC" w14:textId="77777777" w:rsidR="00F13479" w:rsidRPr="00237688" w:rsidRDefault="00F13479" w:rsidP="00BC7FC4">
            <w:pPr>
              <w:spacing w:before="120" w:line="276" w:lineRule="auto"/>
              <w:jc w:val="center"/>
              <w:rPr>
                <w:rFonts w:ascii="Times New Roman" w:hAnsi="Times New Roman"/>
                <w:b/>
                <w:sz w:val="24"/>
                <w:szCs w:val="24"/>
                <w:lang w:val="nl-NL"/>
              </w:rPr>
            </w:pPr>
            <w:r w:rsidRPr="00237688">
              <w:rPr>
                <w:rFonts w:ascii="Times New Roman" w:hAnsi="Times New Roman"/>
                <w:b/>
                <w:sz w:val="24"/>
                <w:szCs w:val="24"/>
                <w:lang w:val="nl-NL"/>
              </w:rPr>
              <w:t>100,00</w:t>
            </w:r>
          </w:p>
        </w:tc>
        <w:tc>
          <w:tcPr>
            <w:tcW w:w="1714" w:type="dxa"/>
            <w:vAlign w:val="center"/>
          </w:tcPr>
          <w:p w14:paraId="0908050D" w14:textId="77777777" w:rsidR="00F13479" w:rsidRPr="00237688" w:rsidRDefault="00F13479" w:rsidP="00BC7FC4">
            <w:pPr>
              <w:spacing w:before="120" w:line="276" w:lineRule="auto"/>
              <w:jc w:val="center"/>
              <w:rPr>
                <w:rFonts w:ascii="Times New Roman" w:hAnsi="Times New Roman"/>
                <w:b/>
                <w:sz w:val="24"/>
                <w:szCs w:val="24"/>
                <w:lang w:val="nl-NL"/>
              </w:rPr>
            </w:pPr>
            <w:r w:rsidRPr="00237688">
              <w:rPr>
                <w:rFonts w:ascii="Times New Roman" w:hAnsi="Times New Roman"/>
                <w:b/>
                <w:sz w:val="24"/>
                <w:szCs w:val="24"/>
                <w:lang w:val="nl-NL"/>
              </w:rPr>
              <w:t>100,00</w:t>
            </w:r>
          </w:p>
        </w:tc>
      </w:tr>
    </w:tbl>
    <w:p w14:paraId="36FBE1D0" w14:textId="7CA5103D" w:rsidR="00F27ABE" w:rsidRDefault="00F27ABE" w:rsidP="00B3750F">
      <w:pPr>
        <w:shd w:val="clear" w:color="auto" w:fill="FFFFFF"/>
        <w:spacing w:before="120" w:after="0" w:line="240" w:lineRule="auto"/>
        <w:jc w:val="both"/>
        <w:rPr>
          <w:rFonts w:ascii="Times New Roman" w:hAnsi="Times New Roman"/>
          <w:b/>
          <w:sz w:val="24"/>
          <w:szCs w:val="24"/>
          <w:lang w:val="nl-NL"/>
        </w:rPr>
      </w:pPr>
    </w:p>
    <w:p w14:paraId="636CE394" w14:textId="77777777" w:rsidR="00173960" w:rsidRPr="00E25CCB" w:rsidRDefault="00173960" w:rsidP="00B3750F">
      <w:pPr>
        <w:shd w:val="clear" w:color="auto" w:fill="FFFFFF"/>
        <w:spacing w:before="120" w:after="0" w:line="240" w:lineRule="auto"/>
        <w:jc w:val="both"/>
        <w:rPr>
          <w:rFonts w:ascii="Times New Roman" w:hAnsi="Times New Roman"/>
          <w:b/>
          <w:sz w:val="24"/>
          <w:szCs w:val="24"/>
          <w:lang w:val="nl-NL"/>
        </w:rPr>
      </w:pPr>
    </w:p>
    <w:p w14:paraId="7812AEC4" w14:textId="77777777" w:rsidR="00B40151" w:rsidRPr="003D7C0D"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451"/>
        <w:gridCol w:w="1885"/>
        <w:gridCol w:w="1836"/>
        <w:gridCol w:w="1836"/>
      </w:tblGrid>
      <w:tr w:rsidR="00A46383" w14:paraId="6C1D82C3" w14:textId="77777777" w:rsidTr="00F13479">
        <w:tc>
          <w:tcPr>
            <w:tcW w:w="4451" w:type="dxa"/>
            <w:vAlign w:val="center"/>
          </w:tcPr>
          <w:p w14:paraId="7FC79CF8" w14:textId="77777777" w:rsidR="00A46383" w:rsidRPr="00F4320B" w:rsidRDefault="00A46383" w:rsidP="00A46383">
            <w:pPr>
              <w:tabs>
                <w:tab w:val="left" w:pos="540"/>
              </w:tabs>
              <w:spacing w:before="120" w:line="276" w:lineRule="auto"/>
              <w:jc w:val="center"/>
              <w:rPr>
                <w:rFonts w:ascii="Times New Roman" w:eastAsia="Times New Roman" w:hAnsi="Times New Roman"/>
                <w:b/>
                <w:sz w:val="24"/>
                <w:szCs w:val="24"/>
                <w:lang w:val="nl-NL"/>
              </w:rPr>
            </w:pPr>
            <w:r w:rsidRPr="00F4320B">
              <w:rPr>
                <w:rFonts w:ascii="Times New Roman" w:eastAsia="Times New Roman" w:hAnsi="Times New Roman"/>
                <w:b/>
                <w:sz w:val="24"/>
                <w:szCs w:val="24"/>
                <w:lang w:val="nl-NL"/>
              </w:rPr>
              <w:t>Chỉ tiêu</w:t>
            </w:r>
          </w:p>
        </w:tc>
        <w:tc>
          <w:tcPr>
            <w:tcW w:w="1885" w:type="dxa"/>
            <w:vAlign w:val="center"/>
          </w:tcPr>
          <w:p w14:paraId="27DDDB65" w14:textId="16C99CDA" w:rsidR="00A46383" w:rsidRPr="00F4320B" w:rsidRDefault="00A46383" w:rsidP="00A4638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D2026">
              <w:rPr>
                <w:rFonts w:ascii="Times New Roman" w:eastAsia="Times New Roman" w:hAnsi="Times New Roman"/>
                <w:b/>
                <w:sz w:val="24"/>
                <w:szCs w:val="24"/>
                <w:lang w:val="nl-NL"/>
              </w:rPr>
              <w:t>/202</w:t>
            </w:r>
            <w:r w:rsidR="00F13479">
              <w:rPr>
                <w:rFonts w:ascii="Times New Roman" w:eastAsia="Times New Roman" w:hAnsi="Times New Roman"/>
                <w:b/>
                <w:sz w:val="24"/>
                <w:szCs w:val="24"/>
                <w:lang w:val="nl-NL"/>
              </w:rPr>
              <w:t>1</w:t>
            </w:r>
          </w:p>
        </w:tc>
        <w:tc>
          <w:tcPr>
            <w:tcW w:w="1836" w:type="dxa"/>
            <w:vAlign w:val="center"/>
          </w:tcPr>
          <w:p w14:paraId="05366A91" w14:textId="2D01A072" w:rsidR="00A46383" w:rsidRPr="00F4320B" w:rsidRDefault="00A46383" w:rsidP="00A4638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F4320B">
              <w:rPr>
                <w:rFonts w:ascii="Times New Roman" w:eastAsia="Times New Roman" w:hAnsi="Times New Roman"/>
                <w:b/>
                <w:sz w:val="24"/>
                <w:szCs w:val="24"/>
                <w:lang w:val="nl-NL"/>
              </w:rPr>
              <w:t>/20</w:t>
            </w:r>
            <w:r w:rsidR="00F13479">
              <w:rPr>
                <w:rFonts w:ascii="Times New Roman" w:eastAsia="Times New Roman" w:hAnsi="Times New Roman"/>
                <w:b/>
                <w:sz w:val="24"/>
                <w:szCs w:val="24"/>
                <w:lang w:val="nl-NL"/>
              </w:rPr>
              <w:t>20</w:t>
            </w:r>
          </w:p>
        </w:tc>
        <w:tc>
          <w:tcPr>
            <w:tcW w:w="1836" w:type="dxa"/>
            <w:vAlign w:val="center"/>
          </w:tcPr>
          <w:p w14:paraId="13A2EAFC" w14:textId="134BEB60" w:rsidR="00A46383" w:rsidRPr="00F4320B" w:rsidRDefault="00A46383" w:rsidP="00A4638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F4320B">
              <w:rPr>
                <w:rFonts w:ascii="Times New Roman" w:eastAsia="Times New Roman" w:hAnsi="Times New Roman"/>
                <w:b/>
                <w:sz w:val="24"/>
                <w:szCs w:val="24"/>
                <w:lang w:val="nl-NL"/>
              </w:rPr>
              <w:t>/20</w:t>
            </w:r>
            <w:r w:rsidR="00F13479">
              <w:rPr>
                <w:rFonts w:ascii="Times New Roman" w:eastAsia="Times New Roman" w:hAnsi="Times New Roman"/>
                <w:b/>
                <w:sz w:val="24"/>
                <w:szCs w:val="24"/>
                <w:lang w:val="nl-NL"/>
              </w:rPr>
              <w:t>19</w:t>
            </w:r>
          </w:p>
        </w:tc>
      </w:tr>
      <w:tr w:rsidR="00F13479" w14:paraId="25876166" w14:textId="77777777" w:rsidTr="00F13479">
        <w:trPr>
          <w:trHeight w:val="647"/>
        </w:trPr>
        <w:tc>
          <w:tcPr>
            <w:tcW w:w="4451" w:type="dxa"/>
            <w:vAlign w:val="center"/>
          </w:tcPr>
          <w:p w14:paraId="432E5C0A" w14:textId="77777777" w:rsidR="00F13479" w:rsidRDefault="00F13479" w:rsidP="00F13479">
            <w:pPr>
              <w:tabs>
                <w:tab w:val="left" w:pos="540"/>
              </w:tabs>
              <w:spacing w:before="120"/>
              <w:rPr>
                <w:rFonts w:ascii="Times New Roman" w:hAnsi="Times New Roman"/>
                <w:b/>
                <w:sz w:val="24"/>
                <w:szCs w:val="24"/>
                <w:lang w:val="nl-NL"/>
              </w:rPr>
            </w:pPr>
            <w:r w:rsidRPr="00F4320B">
              <w:rPr>
                <w:rFonts w:ascii="Times New Roman" w:hAnsi="Times New Roman"/>
                <w:sz w:val="24"/>
                <w:szCs w:val="24"/>
                <w:lang w:val="nl-NL"/>
              </w:rPr>
              <w:t>2.1.</w:t>
            </w:r>
            <w:r>
              <w:rPr>
                <w:rFonts w:ascii="Times New Roman" w:hAnsi="Times New Roman"/>
                <w:sz w:val="24"/>
                <w:szCs w:val="24"/>
                <w:lang w:val="nl-NL"/>
              </w:rPr>
              <w:t xml:space="preserve"> </w:t>
            </w:r>
            <w:r w:rsidRPr="00F4320B">
              <w:rPr>
                <w:rFonts w:ascii="Times New Roman" w:hAnsi="Times New Roman"/>
                <w:sz w:val="24"/>
                <w:szCs w:val="24"/>
                <w:lang w:val="nl-NL"/>
              </w:rPr>
              <w:t>Giá trị tài sản ròng của Quỹ</w:t>
            </w:r>
            <w:r>
              <w:rPr>
                <w:rFonts w:ascii="Times New Roman" w:hAnsi="Times New Roman"/>
                <w:sz w:val="24"/>
                <w:szCs w:val="24"/>
                <w:lang w:val="nl-NL"/>
              </w:rPr>
              <w:t xml:space="preserve"> (VNĐ) </w:t>
            </w:r>
          </w:p>
        </w:tc>
        <w:tc>
          <w:tcPr>
            <w:tcW w:w="1885" w:type="dxa"/>
            <w:vAlign w:val="center"/>
          </w:tcPr>
          <w:p w14:paraId="648DC65E" w14:textId="10B919C4" w:rsidR="00F13479" w:rsidRPr="003063B2" w:rsidRDefault="00F13479" w:rsidP="00F13479">
            <w:pPr>
              <w:tabs>
                <w:tab w:val="left" w:pos="540"/>
              </w:tabs>
              <w:spacing w:before="120" w:line="276" w:lineRule="auto"/>
              <w:rPr>
                <w:rFonts w:ascii="Times New Roman" w:hAnsi="Times New Roman"/>
                <w:sz w:val="24"/>
                <w:szCs w:val="24"/>
                <w:highlight w:val="yellow"/>
                <w:lang w:val="nl-NL"/>
              </w:rPr>
            </w:pPr>
            <w:r w:rsidRPr="00F77408">
              <w:rPr>
                <w:rFonts w:ascii="Times New Roman" w:eastAsia="Times New Roman" w:hAnsi="Times New Roman"/>
                <w:color w:val="000000"/>
                <w:sz w:val="24"/>
                <w:szCs w:val="24"/>
                <w:lang w:val="en-SG" w:eastAsia="en-SG"/>
              </w:rPr>
              <w:t>112</w:t>
            </w:r>
            <w:r>
              <w:rPr>
                <w:rFonts w:ascii="Times New Roman" w:eastAsia="Times New Roman" w:hAnsi="Times New Roman"/>
                <w:color w:val="000000"/>
                <w:sz w:val="24"/>
                <w:szCs w:val="24"/>
                <w:lang w:val="en-SG" w:eastAsia="en-SG"/>
              </w:rPr>
              <w:t>.</w:t>
            </w:r>
            <w:r w:rsidRPr="00F77408">
              <w:rPr>
                <w:rFonts w:ascii="Times New Roman" w:eastAsia="Times New Roman" w:hAnsi="Times New Roman"/>
                <w:color w:val="000000"/>
                <w:sz w:val="24"/>
                <w:szCs w:val="24"/>
                <w:lang w:val="en-SG" w:eastAsia="en-SG"/>
              </w:rPr>
              <w:t>298</w:t>
            </w:r>
            <w:r>
              <w:rPr>
                <w:rFonts w:ascii="Times New Roman" w:eastAsia="Times New Roman" w:hAnsi="Times New Roman"/>
                <w:color w:val="000000"/>
                <w:sz w:val="24"/>
                <w:szCs w:val="24"/>
                <w:lang w:val="en-SG" w:eastAsia="en-SG"/>
              </w:rPr>
              <w:t>.</w:t>
            </w:r>
            <w:r w:rsidRPr="00F77408">
              <w:rPr>
                <w:rFonts w:ascii="Times New Roman" w:eastAsia="Times New Roman" w:hAnsi="Times New Roman"/>
                <w:color w:val="000000"/>
                <w:sz w:val="24"/>
                <w:szCs w:val="24"/>
                <w:lang w:val="en-SG" w:eastAsia="en-SG"/>
              </w:rPr>
              <w:t>730</w:t>
            </w:r>
            <w:r>
              <w:rPr>
                <w:rFonts w:ascii="Times New Roman" w:eastAsia="Times New Roman" w:hAnsi="Times New Roman"/>
                <w:color w:val="000000"/>
                <w:sz w:val="24"/>
                <w:szCs w:val="24"/>
                <w:lang w:val="en-SG" w:eastAsia="en-SG"/>
              </w:rPr>
              <w:t>.</w:t>
            </w:r>
            <w:r w:rsidRPr="00F77408">
              <w:rPr>
                <w:rFonts w:ascii="Times New Roman" w:eastAsia="Times New Roman" w:hAnsi="Times New Roman"/>
                <w:color w:val="000000"/>
                <w:sz w:val="24"/>
                <w:szCs w:val="24"/>
                <w:lang w:val="en-SG" w:eastAsia="en-SG"/>
              </w:rPr>
              <w:t>193</w:t>
            </w:r>
          </w:p>
        </w:tc>
        <w:tc>
          <w:tcPr>
            <w:tcW w:w="1836" w:type="dxa"/>
            <w:vAlign w:val="center"/>
          </w:tcPr>
          <w:p w14:paraId="2E000314" w14:textId="5436394B" w:rsidR="00F13479" w:rsidRDefault="00F13479" w:rsidP="00F13479">
            <w:pPr>
              <w:tabs>
                <w:tab w:val="left" w:pos="540"/>
              </w:tabs>
              <w:spacing w:before="120" w:line="276" w:lineRule="auto"/>
              <w:rPr>
                <w:rFonts w:ascii="Times New Roman" w:hAnsi="Times New Roman"/>
                <w:b/>
                <w:sz w:val="24"/>
                <w:szCs w:val="24"/>
                <w:lang w:val="nl-NL"/>
              </w:rPr>
            </w:pPr>
            <w:r>
              <w:rPr>
                <w:rFonts w:ascii="Times New Roman" w:hAnsi="Times New Roman"/>
                <w:sz w:val="24"/>
                <w:szCs w:val="24"/>
                <w:lang w:val="nl-NL"/>
              </w:rPr>
              <w:t>108.382.997.578</w:t>
            </w:r>
          </w:p>
        </w:tc>
        <w:tc>
          <w:tcPr>
            <w:tcW w:w="1836" w:type="dxa"/>
            <w:vAlign w:val="center"/>
          </w:tcPr>
          <w:p w14:paraId="5182E491" w14:textId="3401D83E" w:rsidR="00F13479" w:rsidRDefault="00F13479" w:rsidP="00F13479">
            <w:pPr>
              <w:tabs>
                <w:tab w:val="left" w:pos="540"/>
              </w:tabs>
              <w:spacing w:before="120" w:line="276" w:lineRule="auto"/>
              <w:jc w:val="center"/>
              <w:rPr>
                <w:rFonts w:ascii="Times New Roman" w:hAnsi="Times New Roman"/>
                <w:b/>
                <w:sz w:val="24"/>
                <w:szCs w:val="24"/>
                <w:lang w:val="nl-NL"/>
              </w:rPr>
            </w:pPr>
            <w:r w:rsidRPr="00210D1A">
              <w:rPr>
                <w:rFonts w:ascii="Times New Roman" w:hAnsi="Times New Roman"/>
                <w:sz w:val="24"/>
                <w:szCs w:val="24"/>
                <w:lang w:val="nl-NL"/>
              </w:rPr>
              <w:t>103</w:t>
            </w:r>
            <w:r>
              <w:rPr>
                <w:rFonts w:ascii="Times New Roman" w:hAnsi="Times New Roman"/>
                <w:sz w:val="24"/>
                <w:szCs w:val="24"/>
                <w:lang w:val="nl-NL"/>
              </w:rPr>
              <w:t>.</w:t>
            </w:r>
            <w:r w:rsidRPr="00210D1A">
              <w:rPr>
                <w:rFonts w:ascii="Times New Roman" w:hAnsi="Times New Roman"/>
                <w:sz w:val="24"/>
                <w:szCs w:val="24"/>
                <w:lang w:val="nl-NL"/>
              </w:rPr>
              <w:t>421</w:t>
            </w:r>
            <w:r>
              <w:rPr>
                <w:rFonts w:ascii="Times New Roman" w:hAnsi="Times New Roman"/>
                <w:sz w:val="24"/>
                <w:szCs w:val="24"/>
                <w:lang w:val="nl-NL"/>
              </w:rPr>
              <w:t>.</w:t>
            </w:r>
            <w:r w:rsidRPr="00210D1A">
              <w:rPr>
                <w:rFonts w:ascii="Times New Roman" w:hAnsi="Times New Roman"/>
                <w:sz w:val="24"/>
                <w:szCs w:val="24"/>
                <w:lang w:val="nl-NL"/>
              </w:rPr>
              <w:t>498</w:t>
            </w:r>
            <w:r>
              <w:rPr>
                <w:rFonts w:ascii="Times New Roman" w:hAnsi="Times New Roman"/>
                <w:sz w:val="24"/>
                <w:szCs w:val="24"/>
                <w:lang w:val="nl-NL"/>
              </w:rPr>
              <w:t>.</w:t>
            </w:r>
            <w:r w:rsidRPr="00210D1A">
              <w:rPr>
                <w:rFonts w:ascii="Times New Roman" w:hAnsi="Times New Roman"/>
                <w:sz w:val="24"/>
                <w:szCs w:val="24"/>
                <w:lang w:val="nl-NL"/>
              </w:rPr>
              <w:t>423</w:t>
            </w:r>
          </w:p>
        </w:tc>
      </w:tr>
      <w:tr w:rsidR="00F13479" w14:paraId="3C3DD319" w14:textId="77777777" w:rsidTr="00F13479">
        <w:tc>
          <w:tcPr>
            <w:tcW w:w="4451" w:type="dxa"/>
          </w:tcPr>
          <w:p w14:paraId="55B04DE9" w14:textId="77777777" w:rsidR="00F13479" w:rsidRDefault="00F13479" w:rsidP="00F13479">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2.2. Tổng số chứng chỉ quỹ đang lưu hành</w:t>
            </w:r>
            <w:r>
              <w:rPr>
                <w:rFonts w:ascii="Times New Roman" w:hAnsi="Times New Roman"/>
                <w:sz w:val="24"/>
                <w:szCs w:val="24"/>
                <w:lang w:val="nl-NL"/>
              </w:rPr>
              <w:t xml:space="preserve"> (CCQ)</w:t>
            </w:r>
          </w:p>
        </w:tc>
        <w:tc>
          <w:tcPr>
            <w:tcW w:w="1885" w:type="dxa"/>
            <w:vAlign w:val="center"/>
          </w:tcPr>
          <w:p w14:paraId="67A9C4E6" w14:textId="2701FA1A" w:rsidR="00F13479" w:rsidRPr="003063B2" w:rsidRDefault="00F13479" w:rsidP="00F13479">
            <w:pPr>
              <w:tabs>
                <w:tab w:val="left" w:pos="540"/>
              </w:tabs>
              <w:spacing w:before="120" w:line="276" w:lineRule="auto"/>
              <w:jc w:val="center"/>
              <w:rPr>
                <w:rFonts w:ascii="Times New Roman" w:hAnsi="Times New Roman"/>
                <w:bCs/>
                <w:sz w:val="24"/>
                <w:szCs w:val="24"/>
                <w:highlight w:val="yellow"/>
                <w:lang w:val="nl-NL"/>
              </w:rPr>
            </w:pPr>
            <w:r w:rsidRPr="00237688">
              <w:rPr>
                <w:rFonts w:ascii="Times New Roman" w:hAnsi="Times New Roman"/>
                <w:sz w:val="24"/>
                <w:szCs w:val="24"/>
                <w:lang w:val="nl-NL"/>
              </w:rPr>
              <w:t>10.006.127,21</w:t>
            </w:r>
          </w:p>
        </w:tc>
        <w:tc>
          <w:tcPr>
            <w:tcW w:w="1836" w:type="dxa"/>
            <w:vAlign w:val="center"/>
          </w:tcPr>
          <w:p w14:paraId="76F3A2EA" w14:textId="144BDA43" w:rsidR="00F13479" w:rsidRDefault="00F13479" w:rsidP="00F13479">
            <w:pPr>
              <w:tabs>
                <w:tab w:val="left" w:pos="540"/>
              </w:tabs>
              <w:spacing w:before="120" w:line="276" w:lineRule="auto"/>
              <w:jc w:val="center"/>
              <w:rPr>
                <w:rFonts w:ascii="Times New Roman" w:hAnsi="Times New Roman"/>
                <w:b/>
                <w:sz w:val="24"/>
                <w:szCs w:val="24"/>
                <w:lang w:val="nl-NL"/>
              </w:rPr>
            </w:pPr>
            <w:r>
              <w:rPr>
                <w:rFonts w:ascii="Times New Roman" w:hAnsi="Times New Roman"/>
                <w:bCs/>
                <w:sz w:val="24"/>
                <w:szCs w:val="24"/>
                <w:lang w:val="nl-NL"/>
              </w:rPr>
              <w:t>10.036.221,84</w:t>
            </w:r>
          </w:p>
        </w:tc>
        <w:tc>
          <w:tcPr>
            <w:tcW w:w="1836" w:type="dxa"/>
            <w:vAlign w:val="center"/>
          </w:tcPr>
          <w:p w14:paraId="7BBDD268" w14:textId="6B91ED57" w:rsidR="00F13479" w:rsidRDefault="00F13479" w:rsidP="00F13479">
            <w:pPr>
              <w:tabs>
                <w:tab w:val="left" w:pos="540"/>
              </w:tabs>
              <w:spacing w:before="120" w:line="276" w:lineRule="auto"/>
              <w:jc w:val="center"/>
              <w:rPr>
                <w:rFonts w:ascii="Times New Roman" w:hAnsi="Times New Roman"/>
                <w:b/>
                <w:sz w:val="24"/>
                <w:szCs w:val="24"/>
                <w:lang w:val="nl-NL"/>
              </w:rPr>
            </w:pPr>
            <w:r>
              <w:rPr>
                <w:rFonts w:ascii="Times New Roman" w:hAnsi="Times New Roman"/>
                <w:sz w:val="24"/>
                <w:szCs w:val="24"/>
                <w:lang w:val="nl-NL"/>
              </w:rPr>
              <w:t>10.065.854,</w:t>
            </w:r>
            <w:r w:rsidRPr="00FF0364">
              <w:rPr>
                <w:rFonts w:ascii="Times New Roman" w:hAnsi="Times New Roman"/>
                <w:sz w:val="24"/>
                <w:szCs w:val="24"/>
                <w:lang w:val="nl-NL"/>
              </w:rPr>
              <w:t>92</w:t>
            </w:r>
          </w:p>
        </w:tc>
      </w:tr>
      <w:tr w:rsidR="00F13479" w14:paraId="2E5544C4" w14:textId="77777777" w:rsidTr="00F13479">
        <w:tc>
          <w:tcPr>
            <w:tcW w:w="4451" w:type="dxa"/>
          </w:tcPr>
          <w:p w14:paraId="2AD82E8A" w14:textId="77777777" w:rsidR="00F13479" w:rsidRPr="00F4320B" w:rsidRDefault="00F13479" w:rsidP="00F13479">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2.3. Giá trị tài sản ròng của một đơn vị Chứng chỉ quỹ (CCQ)</w:t>
            </w:r>
            <w:r>
              <w:rPr>
                <w:rFonts w:ascii="Times New Roman" w:hAnsi="Times New Roman"/>
                <w:sz w:val="24"/>
                <w:szCs w:val="24"/>
                <w:lang w:val="nl-NL"/>
              </w:rPr>
              <w:t xml:space="preserve"> (VNĐ)</w:t>
            </w:r>
          </w:p>
        </w:tc>
        <w:tc>
          <w:tcPr>
            <w:tcW w:w="1885" w:type="dxa"/>
            <w:vAlign w:val="center"/>
          </w:tcPr>
          <w:p w14:paraId="427E3069" w14:textId="05A131FC" w:rsidR="00F13479" w:rsidRPr="003063B2" w:rsidRDefault="00F13479" w:rsidP="00F13479">
            <w:pPr>
              <w:tabs>
                <w:tab w:val="left" w:pos="540"/>
              </w:tabs>
              <w:spacing w:before="120" w:line="276" w:lineRule="auto"/>
              <w:jc w:val="center"/>
              <w:rPr>
                <w:rFonts w:ascii="Times New Roman" w:hAnsi="Times New Roman"/>
                <w:sz w:val="24"/>
                <w:szCs w:val="24"/>
                <w:highlight w:val="yellow"/>
                <w:lang w:val="nl-NL"/>
              </w:rPr>
            </w:pPr>
            <w:r w:rsidRPr="006A6312">
              <w:rPr>
                <w:rFonts w:ascii="Times New Roman" w:hAnsi="Times New Roman"/>
                <w:sz w:val="24"/>
                <w:szCs w:val="24"/>
                <w:lang w:val="nl-NL"/>
              </w:rPr>
              <w:t>11</w:t>
            </w:r>
            <w:r>
              <w:rPr>
                <w:rFonts w:ascii="Times New Roman" w:hAnsi="Times New Roman"/>
                <w:sz w:val="24"/>
                <w:szCs w:val="24"/>
                <w:lang w:val="nl-NL"/>
              </w:rPr>
              <w:t>.</w:t>
            </w:r>
            <w:r w:rsidRPr="006A6312">
              <w:rPr>
                <w:rFonts w:ascii="Times New Roman" w:hAnsi="Times New Roman"/>
                <w:sz w:val="24"/>
                <w:szCs w:val="24"/>
                <w:lang w:val="nl-NL"/>
              </w:rPr>
              <w:t>223</w:t>
            </w:r>
            <w:r>
              <w:rPr>
                <w:rFonts w:ascii="Times New Roman" w:hAnsi="Times New Roman"/>
                <w:sz w:val="24"/>
                <w:szCs w:val="24"/>
                <w:lang w:val="nl-NL"/>
              </w:rPr>
              <w:t>,00</w:t>
            </w:r>
          </w:p>
        </w:tc>
        <w:tc>
          <w:tcPr>
            <w:tcW w:w="1836" w:type="dxa"/>
            <w:vAlign w:val="center"/>
          </w:tcPr>
          <w:p w14:paraId="7E140289" w14:textId="53E8235D" w:rsidR="00F13479" w:rsidRDefault="00F13479" w:rsidP="00F13479">
            <w:pPr>
              <w:tabs>
                <w:tab w:val="left" w:pos="540"/>
              </w:tabs>
              <w:spacing w:before="120" w:line="276" w:lineRule="auto"/>
              <w:jc w:val="center"/>
              <w:rPr>
                <w:rFonts w:ascii="Times New Roman" w:hAnsi="Times New Roman"/>
                <w:b/>
                <w:sz w:val="24"/>
                <w:szCs w:val="24"/>
                <w:lang w:val="nl-NL"/>
              </w:rPr>
            </w:pPr>
            <w:r>
              <w:rPr>
                <w:rFonts w:ascii="Times New Roman" w:hAnsi="Times New Roman"/>
                <w:sz w:val="24"/>
                <w:szCs w:val="24"/>
                <w:lang w:val="nl-NL"/>
              </w:rPr>
              <w:t>10.799,18</w:t>
            </w:r>
          </w:p>
        </w:tc>
        <w:tc>
          <w:tcPr>
            <w:tcW w:w="1836" w:type="dxa"/>
            <w:vAlign w:val="center"/>
          </w:tcPr>
          <w:p w14:paraId="60B22C2B" w14:textId="4FD2D4A6" w:rsidR="00F13479" w:rsidRDefault="00F13479" w:rsidP="00F13479">
            <w:pPr>
              <w:tabs>
                <w:tab w:val="left" w:pos="540"/>
              </w:tabs>
              <w:spacing w:before="120" w:line="276" w:lineRule="auto"/>
              <w:jc w:val="center"/>
              <w:rPr>
                <w:rFonts w:ascii="Times New Roman" w:hAnsi="Times New Roman"/>
                <w:b/>
                <w:sz w:val="24"/>
                <w:szCs w:val="24"/>
                <w:lang w:val="nl-NL"/>
              </w:rPr>
            </w:pPr>
            <w:r w:rsidRPr="00EA5751">
              <w:rPr>
                <w:rFonts w:ascii="Times New Roman" w:hAnsi="Times New Roman"/>
                <w:sz w:val="24"/>
                <w:szCs w:val="24"/>
                <w:lang w:val="nl-NL"/>
              </w:rPr>
              <w:t>10</w:t>
            </w:r>
            <w:r>
              <w:rPr>
                <w:rFonts w:ascii="Times New Roman" w:hAnsi="Times New Roman"/>
                <w:sz w:val="24"/>
                <w:szCs w:val="24"/>
                <w:lang w:val="nl-NL"/>
              </w:rPr>
              <w:t>.</w:t>
            </w:r>
            <w:r w:rsidRPr="00EA5751">
              <w:rPr>
                <w:rFonts w:ascii="Times New Roman" w:hAnsi="Times New Roman"/>
                <w:sz w:val="24"/>
                <w:szCs w:val="24"/>
                <w:lang w:val="nl-NL"/>
              </w:rPr>
              <w:t>274</w:t>
            </w:r>
            <w:r>
              <w:rPr>
                <w:rFonts w:ascii="Times New Roman" w:hAnsi="Times New Roman"/>
                <w:sz w:val="24"/>
                <w:szCs w:val="24"/>
                <w:lang w:val="nl-NL"/>
              </w:rPr>
              <w:t>,</w:t>
            </w:r>
            <w:r w:rsidRPr="00EA5751">
              <w:rPr>
                <w:rFonts w:ascii="Times New Roman" w:hAnsi="Times New Roman"/>
                <w:sz w:val="24"/>
                <w:szCs w:val="24"/>
                <w:lang w:val="nl-NL"/>
              </w:rPr>
              <w:t>49</w:t>
            </w:r>
          </w:p>
        </w:tc>
      </w:tr>
      <w:tr w:rsidR="00F13479" w14:paraId="3C9C5C9E" w14:textId="77777777" w:rsidTr="00F13479">
        <w:tc>
          <w:tcPr>
            <w:tcW w:w="4451" w:type="dxa"/>
          </w:tcPr>
          <w:p w14:paraId="183BD033" w14:textId="77777777" w:rsidR="00F13479" w:rsidRPr="00F4320B" w:rsidRDefault="00F13479" w:rsidP="00F13479">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2.4. Giá trị tài sản ròng cao nhất của 1 đơn vị CCQ trong kỳ báo cáo</w:t>
            </w:r>
            <w:r>
              <w:rPr>
                <w:rFonts w:ascii="Times New Roman" w:hAnsi="Times New Roman"/>
                <w:sz w:val="24"/>
                <w:szCs w:val="24"/>
                <w:lang w:val="nl-NL"/>
              </w:rPr>
              <w:t xml:space="preserve"> (VNĐ)</w:t>
            </w:r>
          </w:p>
        </w:tc>
        <w:tc>
          <w:tcPr>
            <w:tcW w:w="1885" w:type="dxa"/>
            <w:vAlign w:val="center"/>
          </w:tcPr>
          <w:p w14:paraId="49AEE275" w14:textId="751FD37B" w:rsidR="00F13479" w:rsidRPr="003063B2" w:rsidRDefault="00F13479" w:rsidP="00F13479">
            <w:pPr>
              <w:tabs>
                <w:tab w:val="left" w:pos="540"/>
              </w:tabs>
              <w:spacing w:before="120" w:line="276" w:lineRule="auto"/>
              <w:jc w:val="center"/>
              <w:rPr>
                <w:rFonts w:ascii="Times New Roman" w:hAnsi="Times New Roman"/>
                <w:sz w:val="24"/>
                <w:szCs w:val="24"/>
                <w:highlight w:val="yellow"/>
                <w:lang w:val="nl-NL"/>
              </w:rPr>
            </w:pPr>
            <w:r w:rsidRPr="006A6312">
              <w:rPr>
                <w:rFonts w:ascii="Times New Roman" w:hAnsi="Times New Roman"/>
                <w:sz w:val="24"/>
                <w:szCs w:val="24"/>
                <w:lang w:val="nl-NL"/>
              </w:rPr>
              <w:t>11</w:t>
            </w:r>
            <w:r>
              <w:rPr>
                <w:rFonts w:ascii="Times New Roman" w:hAnsi="Times New Roman"/>
                <w:sz w:val="24"/>
                <w:szCs w:val="24"/>
                <w:lang w:val="nl-NL"/>
              </w:rPr>
              <w:t>.</w:t>
            </w:r>
            <w:r w:rsidRPr="006A6312">
              <w:rPr>
                <w:rFonts w:ascii="Times New Roman" w:hAnsi="Times New Roman"/>
                <w:sz w:val="24"/>
                <w:szCs w:val="24"/>
                <w:lang w:val="nl-NL"/>
              </w:rPr>
              <w:t>223</w:t>
            </w:r>
            <w:r>
              <w:rPr>
                <w:rFonts w:ascii="Times New Roman" w:hAnsi="Times New Roman"/>
                <w:sz w:val="24"/>
                <w:szCs w:val="24"/>
                <w:lang w:val="nl-NL"/>
              </w:rPr>
              <w:t>,00</w:t>
            </w:r>
          </w:p>
        </w:tc>
        <w:tc>
          <w:tcPr>
            <w:tcW w:w="1836" w:type="dxa"/>
            <w:vAlign w:val="center"/>
          </w:tcPr>
          <w:p w14:paraId="5532899B" w14:textId="0F0DD306" w:rsidR="00F13479" w:rsidRPr="00F4320B" w:rsidRDefault="00F13479" w:rsidP="00F13479">
            <w:pPr>
              <w:tabs>
                <w:tab w:val="left" w:pos="540"/>
              </w:tabs>
              <w:spacing w:before="120" w:line="276" w:lineRule="auto"/>
              <w:jc w:val="center"/>
              <w:rPr>
                <w:rFonts w:ascii="Times New Roman" w:hAnsi="Times New Roman"/>
                <w:b/>
                <w:sz w:val="24"/>
                <w:szCs w:val="24"/>
                <w:lang w:val="nl-NL"/>
              </w:rPr>
            </w:pPr>
            <w:r>
              <w:rPr>
                <w:rFonts w:ascii="Times New Roman" w:hAnsi="Times New Roman"/>
                <w:sz w:val="24"/>
                <w:szCs w:val="24"/>
                <w:lang w:val="nl-NL"/>
              </w:rPr>
              <w:t>10.799,18</w:t>
            </w:r>
          </w:p>
        </w:tc>
        <w:tc>
          <w:tcPr>
            <w:tcW w:w="1836" w:type="dxa"/>
            <w:vAlign w:val="center"/>
          </w:tcPr>
          <w:p w14:paraId="0ED5D6C1" w14:textId="68965161" w:rsidR="00F13479" w:rsidRDefault="00F13479" w:rsidP="00F13479">
            <w:pPr>
              <w:tabs>
                <w:tab w:val="left" w:pos="540"/>
              </w:tabs>
              <w:spacing w:before="120" w:line="276" w:lineRule="auto"/>
              <w:jc w:val="center"/>
              <w:rPr>
                <w:rFonts w:ascii="Times New Roman" w:hAnsi="Times New Roman"/>
                <w:b/>
                <w:sz w:val="24"/>
                <w:szCs w:val="24"/>
                <w:lang w:val="nl-NL"/>
              </w:rPr>
            </w:pPr>
            <w:r w:rsidRPr="00EA5751">
              <w:rPr>
                <w:rFonts w:ascii="Times New Roman" w:hAnsi="Times New Roman"/>
                <w:sz w:val="24"/>
                <w:szCs w:val="24"/>
                <w:lang w:val="nl-NL"/>
              </w:rPr>
              <w:t>10</w:t>
            </w:r>
            <w:r>
              <w:rPr>
                <w:rFonts w:ascii="Times New Roman" w:hAnsi="Times New Roman"/>
                <w:sz w:val="24"/>
                <w:szCs w:val="24"/>
                <w:lang w:val="nl-NL"/>
              </w:rPr>
              <w:t>.</w:t>
            </w:r>
            <w:r w:rsidRPr="00EA5751">
              <w:rPr>
                <w:rFonts w:ascii="Times New Roman" w:hAnsi="Times New Roman"/>
                <w:sz w:val="24"/>
                <w:szCs w:val="24"/>
                <w:lang w:val="nl-NL"/>
              </w:rPr>
              <w:t>274</w:t>
            </w:r>
            <w:r>
              <w:rPr>
                <w:rFonts w:ascii="Times New Roman" w:hAnsi="Times New Roman"/>
                <w:sz w:val="24"/>
                <w:szCs w:val="24"/>
                <w:lang w:val="nl-NL"/>
              </w:rPr>
              <w:t>,</w:t>
            </w:r>
            <w:r w:rsidRPr="00EA5751">
              <w:rPr>
                <w:rFonts w:ascii="Times New Roman" w:hAnsi="Times New Roman"/>
                <w:sz w:val="24"/>
                <w:szCs w:val="24"/>
                <w:lang w:val="nl-NL"/>
              </w:rPr>
              <w:t>49</w:t>
            </w:r>
          </w:p>
        </w:tc>
      </w:tr>
      <w:tr w:rsidR="00F13479" w14:paraId="154A1804" w14:textId="77777777" w:rsidTr="00F13479">
        <w:tc>
          <w:tcPr>
            <w:tcW w:w="4451" w:type="dxa"/>
          </w:tcPr>
          <w:p w14:paraId="5599DD35" w14:textId="77777777" w:rsidR="00F13479" w:rsidRPr="00B3750F" w:rsidRDefault="00F13479" w:rsidP="00F1347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5</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trị tài sản ròng thấp nhất của 1 đơn vị CCQ trong kỳ báo cáo</w:t>
            </w:r>
            <w:r>
              <w:rPr>
                <w:rFonts w:ascii="Times New Roman" w:hAnsi="Times New Roman"/>
                <w:sz w:val="24"/>
                <w:szCs w:val="24"/>
                <w:lang w:val="nl-NL"/>
              </w:rPr>
              <w:t xml:space="preserve"> (VNĐ)</w:t>
            </w:r>
          </w:p>
        </w:tc>
        <w:tc>
          <w:tcPr>
            <w:tcW w:w="1885" w:type="dxa"/>
            <w:vAlign w:val="center"/>
          </w:tcPr>
          <w:p w14:paraId="0AC822DB" w14:textId="7E4FD136" w:rsidR="00F13479" w:rsidRPr="003063B2" w:rsidRDefault="00F13479" w:rsidP="00F13479">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11.</w:t>
            </w:r>
            <w:r w:rsidR="008E16C8">
              <w:rPr>
                <w:rFonts w:ascii="Times New Roman" w:hAnsi="Times New Roman"/>
                <w:sz w:val="24"/>
                <w:szCs w:val="24"/>
                <w:lang w:val="nl-NL"/>
              </w:rPr>
              <w:t>805,78</w:t>
            </w:r>
          </w:p>
        </w:tc>
        <w:tc>
          <w:tcPr>
            <w:tcW w:w="1836" w:type="dxa"/>
            <w:vAlign w:val="center"/>
          </w:tcPr>
          <w:p w14:paraId="3AEDF4EA" w14:textId="10D703C5" w:rsidR="00F13479" w:rsidRPr="00B3750F" w:rsidRDefault="00F13479" w:rsidP="00F13479">
            <w:pPr>
              <w:tabs>
                <w:tab w:val="left" w:pos="540"/>
              </w:tabs>
              <w:spacing w:before="120" w:line="276" w:lineRule="auto"/>
              <w:jc w:val="center"/>
              <w:rPr>
                <w:rFonts w:ascii="Times New Roman" w:hAnsi="Times New Roman"/>
                <w:sz w:val="24"/>
                <w:szCs w:val="24"/>
                <w:lang w:val="nl-NL"/>
              </w:rPr>
            </w:pPr>
            <w:r w:rsidRPr="00950CFA">
              <w:rPr>
                <w:rFonts w:ascii="Times New Roman" w:hAnsi="Times New Roman"/>
                <w:sz w:val="24"/>
                <w:szCs w:val="24"/>
                <w:lang w:val="nl-NL"/>
              </w:rPr>
              <w:t>10.276,01</w:t>
            </w:r>
          </w:p>
        </w:tc>
        <w:tc>
          <w:tcPr>
            <w:tcW w:w="1836" w:type="dxa"/>
            <w:vAlign w:val="center"/>
          </w:tcPr>
          <w:p w14:paraId="55D9882D" w14:textId="71E91BE6" w:rsidR="00F13479" w:rsidRDefault="00F13479" w:rsidP="00F13479">
            <w:pPr>
              <w:tabs>
                <w:tab w:val="left" w:pos="540"/>
              </w:tabs>
              <w:spacing w:before="120" w:line="276" w:lineRule="auto"/>
              <w:jc w:val="center"/>
              <w:rPr>
                <w:rFonts w:ascii="Times New Roman" w:hAnsi="Times New Roman"/>
                <w:b/>
                <w:sz w:val="24"/>
                <w:szCs w:val="24"/>
                <w:lang w:val="nl-NL"/>
              </w:rPr>
            </w:pPr>
            <w:r>
              <w:rPr>
                <w:rFonts w:ascii="Times New Roman" w:hAnsi="Times New Roman"/>
                <w:sz w:val="24"/>
                <w:szCs w:val="24"/>
                <w:lang w:val="nl-NL"/>
              </w:rPr>
              <w:t>9.997,36</w:t>
            </w:r>
          </w:p>
        </w:tc>
      </w:tr>
      <w:tr w:rsidR="00F13479" w14:paraId="2AA87DB1" w14:textId="77777777" w:rsidTr="00F13479">
        <w:tc>
          <w:tcPr>
            <w:tcW w:w="4451" w:type="dxa"/>
          </w:tcPr>
          <w:p w14:paraId="568819FC" w14:textId="77777777" w:rsidR="00F13479" w:rsidRPr="00B3750F" w:rsidRDefault="00F13479" w:rsidP="00F1347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6</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của 1 đơn vị CCQ tại ngày báo cáo</w:t>
            </w:r>
            <w:r>
              <w:rPr>
                <w:rFonts w:ascii="Times New Roman" w:hAnsi="Times New Roman"/>
                <w:sz w:val="24"/>
                <w:szCs w:val="24"/>
                <w:lang w:val="nl-NL"/>
              </w:rPr>
              <w:t xml:space="preserve"> (VNĐ)</w:t>
            </w:r>
          </w:p>
        </w:tc>
        <w:tc>
          <w:tcPr>
            <w:tcW w:w="1885" w:type="dxa"/>
            <w:vAlign w:val="center"/>
          </w:tcPr>
          <w:p w14:paraId="3E59ABCB" w14:textId="2D19BF03" w:rsidR="00F13479" w:rsidRPr="004F1DF1" w:rsidRDefault="00F13479" w:rsidP="00F1347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11205D05" w14:textId="3080E645" w:rsidR="00F13479" w:rsidRPr="00B3750F" w:rsidRDefault="00F13479" w:rsidP="00F13479">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14:paraId="219D4D3A" w14:textId="3899EBAD" w:rsidR="00F13479" w:rsidRDefault="00F13479" w:rsidP="00F13479">
            <w:pPr>
              <w:tabs>
                <w:tab w:val="left" w:pos="540"/>
              </w:tabs>
              <w:spacing w:before="120" w:line="276" w:lineRule="auto"/>
              <w:jc w:val="center"/>
              <w:rPr>
                <w:rFonts w:ascii="Times New Roman" w:hAnsi="Times New Roman"/>
                <w:b/>
                <w:sz w:val="24"/>
                <w:szCs w:val="24"/>
                <w:lang w:val="nl-NL"/>
              </w:rPr>
            </w:pPr>
            <w:r w:rsidRPr="00B3750F">
              <w:rPr>
                <w:rFonts w:ascii="Times New Roman" w:hAnsi="Times New Roman"/>
                <w:sz w:val="24"/>
                <w:szCs w:val="24"/>
                <w:lang w:val="nl-NL"/>
              </w:rPr>
              <w:t>N/A (*)</w:t>
            </w:r>
          </w:p>
        </w:tc>
      </w:tr>
      <w:tr w:rsidR="00F13479" w14:paraId="74765E58" w14:textId="77777777" w:rsidTr="00F13479">
        <w:tc>
          <w:tcPr>
            <w:tcW w:w="4451" w:type="dxa"/>
          </w:tcPr>
          <w:p w14:paraId="1CEABE0E" w14:textId="77777777" w:rsidR="00F13479" w:rsidRPr="00B3750F" w:rsidRDefault="00F13479" w:rsidP="00F1347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7</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cao nhất của 1 đơn vị CCQ trong kỳ báo cáo</w:t>
            </w:r>
            <w:r>
              <w:rPr>
                <w:rFonts w:ascii="Times New Roman" w:hAnsi="Times New Roman"/>
                <w:sz w:val="24"/>
                <w:szCs w:val="24"/>
                <w:lang w:val="nl-NL"/>
              </w:rPr>
              <w:t xml:space="preserve"> (VNĐ)</w:t>
            </w:r>
          </w:p>
        </w:tc>
        <w:tc>
          <w:tcPr>
            <w:tcW w:w="1885" w:type="dxa"/>
            <w:vAlign w:val="center"/>
          </w:tcPr>
          <w:p w14:paraId="7489CEE3" w14:textId="52BB23D3" w:rsidR="00F13479" w:rsidRPr="004F1DF1" w:rsidRDefault="00F13479" w:rsidP="00F1347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65D2D652" w14:textId="1FD49B50" w:rsidR="00F13479" w:rsidRPr="00B3750F" w:rsidRDefault="00F13479" w:rsidP="00F13479">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14:paraId="6474EB5E" w14:textId="397EA14F" w:rsidR="00F13479" w:rsidRDefault="00F13479" w:rsidP="00F13479">
            <w:pPr>
              <w:tabs>
                <w:tab w:val="left" w:pos="540"/>
              </w:tabs>
              <w:spacing w:before="120" w:line="276" w:lineRule="auto"/>
              <w:jc w:val="center"/>
              <w:rPr>
                <w:rFonts w:ascii="Times New Roman" w:hAnsi="Times New Roman"/>
                <w:b/>
                <w:sz w:val="24"/>
                <w:szCs w:val="24"/>
                <w:lang w:val="nl-NL"/>
              </w:rPr>
            </w:pPr>
            <w:r w:rsidRPr="00B3750F">
              <w:rPr>
                <w:rFonts w:ascii="Times New Roman" w:hAnsi="Times New Roman"/>
                <w:sz w:val="24"/>
                <w:szCs w:val="24"/>
                <w:lang w:val="nl-NL"/>
              </w:rPr>
              <w:t>N/A (*)</w:t>
            </w:r>
          </w:p>
        </w:tc>
      </w:tr>
      <w:tr w:rsidR="00F13479" w14:paraId="69512F24" w14:textId="77777777" w:rsidTr="00F13479">
        <w:tc>
          <w:tcPr>
            <w:tcW w:w="4451" w:type="dxa"/>
          </w:tcPr>
          <w:p w14:paraId="7C0E5711" w14:textId="77777777" w:rsidR="00F13479" w:rsidRPr="00B3750F" w:rsidRDefault="00F13479" w:rsidP="00F1347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8</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thấp nhất của 1 đơn vị CCQ trong kỳ báo cáo</w:t>
            </w:r>
            <w:r>
              <w:rPr>
                <w:rFonts w:ascii="Times New Roman" w:hAnsi="Times New Roman"/>
                <w:sz w:val="24"/>
                <w:szCs w:val="24"/>
                <w:lang w:val="nl-NL"/>
              </w:rPr>
              <w:t xml:space="preserve"> (VNĐ)</w:t>
            </w:r>
          </w:p>
        </w:tc>
        <w:tc>
          <w:tcPr>
            <w:tcW w:w="1885" w:type="dxa"/>
            <w:vAlign w:val="center"/>
          </w:tcPr>
          <w:p w14:paraId="4D2F262E" w14:textId="4FDF7ACE" w:rsidR="00F13479" w:rsidRPr="004F1DF1" w:rsidRDefault="00F13479" w:rsidP="00F1347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24D8880E" w14:textId="5E772DCF" w:rsidR="00F13479" w:rsidRPr="00B3750F" w:rsidRDefault="00F13479" w:rsidP="00F13479">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14:paraId="21E856A8" w14:textId="3CD19088" w:rsidR="00F13479" w:rsidRDefault="00F13479" w:rsidP="00F13479">
            <w:pPr>
              <w:tabs>
                <w:tab w:val="left" w:pos="540"/>
              </w:tabs>
              <w:spacing w:before="120" w:line="276" w:lineRule="auto"/>
              <w:jc w:val="center"/>
              <w:rPr>
                <w:rFonts w:ascii="Times New Roman" w:hAnsi="Times New Roman"/>
                <w:b/>
                <w:sz w:val="24"/>
                <w:szCs w:val="24"/>
                <w:lang w:val="nl-NL"/>
              </w:rPr>
            </w:pPr>
            <w:r w:rsidRPr="00B3750F">
              <w:rPr>
                <w:rFonts w:ascii="Times New Roman" w:hAnsi="Times New Roman"/>
                <w:sz w:val="24"/>
                <w:szCs w:val="24"/>
                <w:lang w:val="nl-NL"/>
              </w:rPr>
              <w:t>N/A (*)</w:t>
            </w:r>
          </w:p>
        </w:tc>
      </w:tr>
      <w:tr w:rsidR="00F13479" w14:paraId="76E6B095" w14:textId="77777777" w:rsidTr="00F13479">
        <w:trPr>
          <w:trHeight w:val="665"/>
        </w:trPr>
        <w:tc>
          <w:tcPr>
            <w:tcW w:w="4451" w:type="dxa"/>
            <w:vAlign w:val="center"/>
          </w:tcPr>
          <w:p w14:paraId="6A8A5630" w14:textId="77777777" w:rsidR="00F13479" w:rsidRPr="00B3750F" w:rsidRDefault="00F13479" w:rsidP="00F1347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9</w:t>
            </w:r>
            <w:r w:rsidRPr="00F4320B">
              <w:rPr>
                <w:rFonts w:ascii="Times New Roman" w:hAnsi="Times New Roman"/>
                <w:sz w:val="24"/>
                <w:szCs w:val="24"/>
                <w:lang w:val="nl-NL"/>
              </w:rPr>
              <w:t xml:space="preserve">. </w:t>
            </w:r>
            <w:r w:rsidRPr="00B3750F">
              <w:rPr>
                <w:rFonts w:ascii="Times New Roman" w:hAnsi="Times New Roman"/>
                <w:sz w:val="24"/>
                <w:szCs w:val="24"/>
                <w:lang w:val="nl-NL"/>
              </w:rPr>
              <w:t>Tổng tăng trưởng (%)/1 đơn vị CCQ</w:t>
            </w:r>
          </w:p>
        </w:tc>
        <w:tc>
          <w:tcPr>
            <w:tcW w:w="1885" w:type="dxa"/>
            <w:shd w:val="clear" w:color="auto" w:fill="auto"/>
            <w:vAlign w:val="center"/>
          </w:tcPr>
          <w:p w14:paraId="58194EAC" w14:textId="32B8CB50" w:rsidR="00F13479" w:rsidRPr="004F1DF1" w:rsidRDefault="00F13479" w:rsidP="00F13479">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3,92</w:t>
            </w:r>
          </w:p>
        </w:tc>
        <w:tc>
          <w:tcPr>
            <w:tcW w:w="1836" w:type="dxa"/>
            <w:vAlign w:val="center"/>
          </w:tcPr>
          <w:p w14:paraId="5DEBF127" w14:textId="4BCAACCF" w:rsidR="00F13479" w:rsidRPr="00E81F37" w:rsidRDefault="00F13479" w:rsidP="00F13479">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5,10</w:t>
            </w:r>
          </w:p>
        </w:tc>
        <w:tc>
          <w:tcPr>
            <w:tcW w:w="1836" w:type="dxa"/>
            <w:vAlign w:val="center"/>
          </w:tcPr>
          <w:p w14:paraId="3F8F48BF" w14:textId="7620EA30" w:rsidR="00F13479" w:rsidRPr="00E81F37" w:rsidRDefault="00F13479" w:rsidP="00F13479">
            <w:pPr>
              <w:tabs>
                <w:tab w:val="left" w:pos="540"/>
              </w:tabs>
              <w:spacing w:before="120" w:line="276" w:lineRule="auto"/>
              <w:jc w:val="center"/>
              <w:rPr>
                <w:rFonts w:ascii="Times New Roman" w:hAnsi="Times New Roman"/>
                <w:b/>
                <w:sz w:val="24"/>
                <w:szCs w:val="24"/>
                <w:lang w:val="nl-NL"/>
              </w:rPr>
            </w:pPr>
            <w:r w:rsidRPr="00E81F37">
              <w:rPr>
                <w:rFonts w:ascii="Times New Roman" w:hAnsi="Times New Roman"/>
                <w:sz w:val="24"/>
                <w:szCs w:val="24"/>
                <w:lang w:val="nl-NL"/>
              </w:rPr>
              <w:t>4</w:t>
            </w:r>
            <w:r>
              <w:rPr>
                <w:rFonts w:ascii="Times New Roman" w:hAnsi="Times New Roman"/>
                <w:sz w:val="24"/>
                <w:szCs w:val="24"/>
                <w:lang w:val="nl-NL"/>
              </w:rPr>
              <w:t>,</w:t>
            </w:r>
            <w:r w:rsidRPr="00E81F37">
              <w:rPr>
                <w:rFonts w:ascii="Times New Roman" w:hAnsi="Times New Roman"/>
                <w:sz w:val="24"/>
                <w:szCs w:val="24"/>
                <w:lang w:val="nl-NL"/>
              </w:rPr>
              <w:t>19</w:t>
            </w:r>
          </w:p>
        </w:tc>
      </w:tr>
      <w:tr w:rsidR="00F13479" w14:paraId="1BE1B3BA" w14:textId="77777777" w:rsidTr="00F13479">
        <w:tc>
          <w:tcPr>
            <w:tcW w:w="4451" w:type="dxa"/>
          </w:tcPr>
          <w:p w14:paraId="0B11453C" w14:textId="77777777" w:rsidR="00F13479" w:rsidRPr="00B3750F" w:rsidRDefault="00F13479" w:rsidP="00F1347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2.9.1. Tăng trưởng vốn (%)/1 đơn vị CCQ (Thay đổi do biến động giá)</w:t>
            </w:r>
          </w:p>
        </w:tc>
        <w:tc>
          <w:tcPr>
            <w:tcW w:w="1885" w:type="dxa"/>
            <w:shd w:val="clear" w:color="auto" w:fill="auto"/>
            <w:vAlign w:val="center"/>
          </w:tcPr>
          <w:p w14:paraId="3099C113" w14:textId="5551FA3B" w:rsidR="00F13479" w:rsidRPr="004F1DF1" w:rsidRDefault="00F13479" w:rsidP="00F1347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0,00</w:t>
            </w:r>
          </w:p>
        </w:tc>
        <w:tc>
          <w:tcPr>
            <w:tcW w:w="1836" w:type="dxa"/>
            <w:vAlign w:val="center"/>
          </w:tcPr>
          <w:p w14:paraId="1590CB2C" w14:textId="112A6579" w:rsidR="00F13479" w:rsidRPr="004336D0" w:rsidRDefault="00F13479" w:rsidP="00F13479">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0,00</w:t>
            </w:r>
          </w:p>
        </w:tc>
        <w:tc>
          <w:tcPr>
            <w:tcW w:w="1836" w:type="dxa"/>
            <w:vAlign w:val="center"/>
          </w:tcPr>
          <w:p w14:paraId="6ECF2595" w14:textId="2A6A4644" w:rsidR="00F13479" w:rsidRDefault="00F13479" w:rsidP="00F13479">
            <w:pPr>
              <w:tabs>
                <w:tab w:val="left" w:pos="540"/>
              </w:tabs>
              <w:spacing w:before="120" w:line="276" w:lineRule="auto"/>
              <w:jc w:val="center"/>
              <w:rPr>
                <w:rFonts w:ascii="Times New Roman" w:hAnsi="Times New Roman"/>
                <w:b/>
                <w:sz w:val="24"/>
                <w:szCs w:val="24"/>
                <w:lang w:val="nl-NL"/>
              </w:rPr>
            </w:pPr>
            <w:r w:rsidRPr="004336D0">
              <w:rPr>
                <w:rFonts w:ascii="Times New Roman" w:hAnsi="Times New Roman"/>
                <w:sz w:val="24"/>
                <w:szCs w:val="24"/>
                <w:lang w:val="nl-NL"/>
              </w:rPr>
              <w:t>0,00</w:t>
            </w:r>
          </w:p>
        </w:tc>
      </w:tr>
      <w:tr w:rsidR="00F13479" w14:paraId="3930A5AF" w14:textId="77777777" w:rsidTr="00F13479">
        <w:tc>
          <w:tcPr>
            <w:tcW w:w="4451" w:type="dxa"/>
          </w:tcPr>
          <w:p w14:paraId="3CB89DF1" w14:textId="77777777" w:rsidR="00F13479" w:rsidRPr="00B3750F" w:rsidRDefault="00F13479" w:rsidP="00F1347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2.9.2. Tăng trưởng thu nhập (%)/1 đơn vị CCQ (Tính trên thu nhập đã thực hiện)</w:t>
            </w:r>
          </w:p>
        </w:tc>
        <w:tc>
          <w:tcPr>
            <w:tcW w:w="1885" w:type="dxa"/>
            <w:shd w:val="clear" w:color="auto" w:fill="auto"/>
            <w:vAlign w:val="center"/>
          </w:tcPr>
          <w:p w14:paraId="1190094F" w14:textId="3680BFD2" w:rsidR="00F13479" w:rsidRPr="004F1DF1" w:rsidRDefault="00F13479" w:rsidP="00F13479">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3,92</w:t>
            </w:r>
          </w:p>
        </w:tc>
        <w:tc>
          <w:tcPr>
            <w:tcW w:w="1836" w:type="dxa"/>
            <w:vAlign w:val="center"/>
          </w:tcPr>
          <w:p w14:paraId="5DC1DE9C" w14:textId="586C3D13" w:rsidR="00F13479" w:rsidRPr="00E81F37" w:rsidRDefault="00F13479" w:rsidP="00F13479">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5,10</w:t>
            </w:r>
          </w:p>
        </w:tc>
        <w:tc>
          <w:tcPr>
            <w:tcW w:w="1836" w:type="dxa"/>
            <w:vAlign w:val="center"/>
          </w:tcPr>
          <w:p w14:paraId="7185E860" w14:textId="211C4DDB" w:rsidR="00F13479" w:rsidRPr="00E81F37" w:rsidRDefault="00F13479" w:rsidP="00F13479">
            <w:pPr>
              <w:tabs>
                <w:tab w:val="left" w:pos="540"/>
              </w:tabs>
              <w:spacing w:before="120" w:line="276" w:lineRule="auto"/>
              <w:jc w:val="center"/>
              <w:rPr>
                <w:rFonts w:ascii="Times New Roman" w:hAnsi="Times New Roman"/>
                <w:b/>
                <w:sz w:val="24"/>
                <w:szCs w:val="24"/>
                <w:lang w:val="nl-NL"/>
              </w:rPr>
            </w:pPr>
            <w:r w:rsidRPr="00E81F37">
              <w:rPr>
                <w:rFonts w:ascii="Times New Roman" w:hAnsi="Times New Roman"/>
                <w:sz w:val="24"/>
                <w:szCs w:val="24"/>
                <w:lang w:val="nl-NL"/>
              </w:rPr>
              <w:t>4</w:t>
            </w:r>
            <w:r>
              <w:rPr>
                <w:rFonts w:ascii="Times New Roman" w:hAnsi="Times New Roman"/>
                <w:sz w:val="24"/>
                <w:szCs w:val="24"/>
                <w:lang w:val="nl-NL"/>
              </w:rPr>
              <w:t>,</w:t>
            </w:r>
            <w:r w:rsidRPr="00E81F37">
              <w:rPr>
                <w:rFonts w:ascii="Times New Roman" w:hAnsi="Times New Roman"/>
                <w:sz w:val="24"/>
                <w:szCs w:val="24"/>
                <w:lang w:val="nl-NL"/>
              </w:rPr>
              <w:t>19</w:t>
            </w:r>
          </w:p>
        </w:tc>
      </w:tr>
      <w:tr w:rsidR="00F13479" w14:paraId="12830CA1" w14:textId="77777777" w:rsidTr="00F13479">
        <w:trPr>
          <w:trHeight w:val="620"/>
        </w:trPr>
        <w:tc>
          <w:tcPr>
            <w:tcW w:w="4451" w:type="dxa"/>
            <w:vAlign w:val="center"/>
          </w:tcPr>
          <w:p w14:paraId="1A50F954" w14:textId="77777777" w:rsidR="00F13479" w:rsidRPr="00B3750F" w:rsidRDefault="00F13479" w:rsidP="00F1347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2.10. Phân phối gộp trên 1 đơn vị CCQ</w:t>
            </w:r>
          </w:p>
        </w:tc>
        <w:tc>
          <w:tcPr>
            <w:tcW w:w="1885" w:type="dxa"/>
            <w:vAlign w:val="center"/>
          </w:tcPr>
          <w:p w14:paraId="2F79BB52" w14:textId="688A37FC" w:rsidR="00F13479" w:rsidRPr="00B57D9B" w:rsidRDefault="00F13479" w:rsidP="00F1347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6C140E48" w14:textId="16B12B0D" w:rsidR="00F13479" w:rsidRPr="00B3750F" w:rsidRDefault="00F13479" w:rsidP="00F13479">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14:paraId="5874C3A9" w14:textId="51D88530" w:rsidR="00F13479" w:rsidRDefault="00F13479" w:rsidP="00F13479">
            <w:pPr>
              <w:tabs>
                <w:tab w:val="left" w:pos="540"/>
              </w:tabs>
              <w:spacing w:before="120" w:line="276" w:lineRule="auto"/>
              <w:jc w:val="center"/>
              <w:rPr>
                <w:rFonts w:ascii="Times New Roman" w:hAnsi="Times New Roman"/>
                <w:b/>
                <w:sz w:val="24"/>
                <w:szCs w:val="24"/>
                <w:lang w:val="nl-NL"/>
              </w:rPr>
            </w:pPr>
            <w:r w:rsidRPr="00B3750F">
              <w:rPr>
                <w:rFonts w:ascii="Times New Roman" w:hAnsi="Times New Roman"/>
                <w:sz w:val="24"/>
                <w:szCs w:val="24"/>
                <w:lang w:val="nl-NL"/>
              </w:rPr>
              <w:t>N/A (**)</w:t>
            </w:r>
          </w:p>
        </w:tc>
      </w:tr>
      <w:tr w:rsidR="00F13479" w14:paraId="01483614" w14:textId="77777777" w:rsidTr="00F13479">
        <w:trPr>
          <w:trHeight w:val="620"/>
        </w:trPr>
        <w:tc>
          <w:tcPr>
            <w:tcW w:w="4451" w:type="dxa"/>
            <w:vAlign w:val="center"/>
          </w:tcPr>
          <w:p w14:paraId="488834FC" w14:textId="77777777" w:rsidR="00F13479" w:rsidRPr="00B3750F" w:rsidRDefault="00F13479" w:rsidP="00F1347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2.11. Phân phối ròng trên 1 đơn vị CCQ</w:t>
            </w:r>
          </w:p>
        </w:tc>
        <w:tc>
          <w:tcPr>
            <w:tcW w:w="1885" w:type="dxa"/>
            <w:vAlign w:val="center"/>
          </w:tcPr>
          <w:p w14:paraId="2C657FBD" w14:textId="2A93411E" w:rsidR="00F13479" w:rsidRPr="00B57D9B" w:rsidRDefault="00F13479" w:rsidP="00F1347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4CE2477B" w14:textId="41AED2ED" w:rsidR="00F13479" w:rsidRPr="00B3750F" w:rsidRDefault="00F13479" w:rsidP="00F13479">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14:paraId="1FDD2103" w14:textId="77F2157B" w:rsidR="00F13479" w:rsidRDefault="00F13479" w:rsidP="00F13479">
            <w:pPr>
              <w:tabs>
                <w:tab w:val="left" w:pos="540"/>
              </w:tabs>
              <w:spacing w:before="120" w:line="276" w:lineRule="auto"/>
              <w:jc w:val="center"/>
              <w:rPr>
                <w:rFonts w:ascii="Times New Roman" w:hAnsi="Times New Roman"/>
                <w:b/>
                <w:sz w:val="24"/>
                <w:szCs w:val="24"/>
                <w:lang w:val="nl-NL"/>
              </w:rPr>
            </w:pPr>
            <w:r w:rsidRPr="00B3750F">
              <w:rPr>
                <w:rFonts w:ascii="Times New Roman" w:hAnsi="Times New Roman"/>
                <w:sz w:val="24"/>
                <w:szCs w:val="24"/>
                <w:lang w:val="nl-NL"/>
              </w:rPr>
              <w:t>N/A (**)</w:t>
            </w:r>
          </w:p>
        </w:tc>
      </w:tr>
      <w:tr w:rsidR="00F13479" w14:paraId="47913568" w14:textId="77777777" w:rsidTr="00F13479">
        <w:tc>
          <w:tcPr>
            <w:tcW w:w="4451" w:type="dxa"/>
          </w:tcPr>
          <w:p w14:paraId="4A4F4367" w14:textId="77777777" w:rsidR="00F13479" w:rsidRPr="00B3750F" w:rsidRDefault="00F13479" w:rsidP="00F1347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2.12. Ngày chốt quyền (Ex-date of distribution)</w:t>
            </w:r>
          </w:p>
        </w:tc>
        <w:tc>
          <w:tcPr>
            <w:tcW w:w="1885" w:type="dxa"/>
            <w:vAlign w:val="center"/>
          </w:tcPr>
          <w:p w14:paraId="5DD9B1B7" w14:textId="250A7D63" w:rsidR="00F13479" w:rsidRPr="00B57D9B" w:rsidRDefault="00F13479" w:rsidP="00F13479">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0383A2FC" w14:textId="310E4E63" w:rsidR="00F13479" w:rsidRPr="00B3750F" w:rsidRDefault="00F13479" w:rsidP="00F13479">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14:paraId="6C10476E" w14:textId="52F4C4D0" w:rsidR="00F13479" w:rsidRDefault="00F13479" w:rsidP="00F13479">
            <w:pPr>
              <w:tabs>
                <w:tab w:val="left" w:pos="540"/>
              </w:tabs>
              <w:spacing w:before="120" w:line="276" w:lineRule="auto"/>
              <w:jc w:val="center"/>
              <w:rPr>
                <w:rFonts w:ascii="Times New Roman" w:hAnsi="Times New Roman"/>
                <w:b/>
                <w:sz w:val="24"/>
                <w:szCs w:val="24"/>
                <w:lang w:val="nl-NL"/>
              </w:rPr>
            </w:pPr>
            <w:r w:rsidRPr="00B3750F">
              <w:rPr>
                <w:rFonts w:ascii="Times New Roman" w:hAnsi="Times New Roman"/>
                <w:sz w:val="24"/>
                <w:szCs w:val="24"/>
                <w:lang w:val="nl-NL"/>
              </w:rPr>
              <w:t>N/A (**)</w:t>
            </w:r>
          </w:p>
        </w:tc>
      </w:tr>
      <w:tr w:rsidR="00F13479" w14:paraId="5E3F6CCC" w14:textId="77777777" w:rsidTr="00F13479">
        <w:trPr>
          <w:trHeight w:val="665"/>
        </w:trPr>
        <w:tc>
          <w:tcPr>
            <w:tcW w:w="4451" w:type="dxa"/>
            <w:shd w:val="clear" w:color="auto" w:fill="auto"/>
            <w:vAlign w:val="center"/>
          </w:tcPr>
          <w:p w14:paraId="28BAA6BB" w14:textId="77777777" w:rsidR="00F13479" w:rsidRPr="00B3750F" w:rsidRDefault="00F13479" w:rsidP="00F1347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2.13. Tỷ lệ chi phí hoạt động của quỹ (%)</w:t>
            </w:r>
          </w:p>
        </w:tc>
        <w:tc>
          <w:tcPr>
            <w:tcW w:w="1885" w:type="dxa"/>
            <w:shd w:val="clear" w:color="auto" w:fill="auto"/>
            <w:vAlign w:val="center"/>
          </w:tcPr>
          <w:p w14:paraId="1B9B2682" w14:textId="1AB96F50" w:rsidR="00F13479" w:rsidRPr="002B20C8" w:rsidRDefault="00F13479" w:rsidP="00F13479">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2,0</w:t>
            </w:r>
            <w:r w:rsidR="008E16C8">
              <w:rPr>
                <w:rFonts w:ascii="Times New Roman" w:hAnsi="Times New Roman"/>
                <w:sz w:val="24"/>
                <w:szCs w:val="24"/>
                <w:lang w:val="nl-NL"/>
              </w:rPr>
              <w:t>5</w:t>
            </w:r>
          </w:p>
        </w:tc>
        <w:tc>
          <w:tcPr>
            <w:tcW w:w="1836" w:type="dxa"/>
            <w:shd w:val="clear" w:color="auto" w:fill="auto"/>
            <w:vAlign w:val="center"/>
          </w:tcPr>
          <w:p w14:paraId="2A210326" w14:textId="1788C145" w:rsidR="00F13479" w:rsidRPr="002B20C8" w:rsidRDefault="00F13479" w:rsidP="00F13479">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2,07</w:t>
            </w:r>
          </w:p>
        </w:tc>
        <w:tc>
          <w:tcPr>
            <w:tcW w:w="1836" w:type="dxa"/>
            <w:shd w:val="clear" w:color="auto" w:fill="auto"/>
            <w:vAlign w:val="center"/>
          </w:tcPr>
          <w:p w14:paraId="4F828BF1" w14:textId="51D54342" w:rsidR="00F13479" w:rsidRPr="002B20C8" w:rsidRDefault="00F13479" w:rsidP="00F13479">
            <w:pPr>
              <w:tabs>
                <w:tab w:val="left" w:pos="540"/>
              </w:tabs>
              <w:spacing w:before="120" w:line="276" w:lineRule="auto"/>
              <w:jc w:val="center"/>
              <w:rPr>
                <w:rFonts w:ascii="Times New Roman" w:hAnsi="Times New Roman"/>
                <w:b/>
                <w:sz w:val="24"/>
                <w:szCs w:val="24"/>
                <w:lang w:val="nl-NL"/>
              </w:rPr>
            </w:pPr>
            <w:r w:rsidRPr="002B20C8">
              <w:rPr>
                <w:rFonts w:ascii="Times New Roman" w:hAnsi="Times New Roman"/>
                <w:sz w:val="24"/>
                <w:szCs w:val="24"/>
                <w:lang w:val="nl-NL"/>
              </w:rPr>
              <w:t>2,29</w:t>
            </w:r>
          </w:p>
        </w:tc>
      </w:tr>
      <w:tr w:rsidR="00F13479" w14:paraId="61E48B8E" w14:textId="77777777" w:rsidTr="00F13479">
        <w:trPr>
          <w:trHeight w:val="710"/>
        </w:trPr>
        <w:tc>
          <w:tcPr>
            <w:tcW w:w="4451" w:type="dxa"/>
            <w:shd w:val="clear" w:color="auto" w:fill="auto"/>
            <w:vAlign w:val="center"/>
          </w:tcPr>
          <w:p w14:paraId="423DBC8E" w14:textId="77777777" w:rsidR="00F13479" w:rsidRPr="00B3750F" w:rsidRDefault="00F13479" w:rsidP="00F1347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2.14. Tốc độ vòng quay danh mục (</w:t>
            </w:r>
            <w:r>
              <w:rPr>
                <w:rFonts w:ascii="Times New Roman" w:hAnsi="Times New Roman"/>
                <w:sz w:val="24"/>
                <w:szCs w:val="24"/>
                <w:lang w:val="nl-NL"/>
              </w:rPr>
              <w:t>%)</w:t>
            </w:r>
          </w:p>
        </w:tc>
        <w:tc>
          <w:tcPr>
            <w:tcW w:w="1885" w:type="dxa"/>
            <w:shd w:val="clear" w:color="auto" w:fill="auto"/>
            <w:vAlign w:val="center"/>
          </w:tcPr>
          <w:p w14:paraId="55776362" w14:textId="500A3FC8" w:rsidR="00F13479" w:rsidRPr="00667F7B" w:rsidRDefault="008E16C8" w:rsidP="00F13479">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11,32</w:t>
            </w:r>
          </w:p>
        </w:tc>
        <w:tc>
          <w:tcPr>
            <w:tcW w:w="1836" w:type="dxa"/>
            <w:shd w:val="clear" w:color="auto" w:fill="auto"/>
            <w:vAlign w:val="center"/>
          </w:tcPr>
          <w:p w14:paraId="602C9199" w14:textId="0190B12C" w:rsidR="00F13479" w:rsidRPr="00667F7B" w:rsidRDefault="00F13479" w:rsidP="00F13479">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4,72</w:t>
            </w:r>
          </w:p>
        </w:tc>
        <w:tc>
          <w:tcPr>
            <w:tcW w:w="1836" w:type="dxa"/>
            <w:shd w:val="clear" w:color="auto" w:fill="auto"/>
            <w:vAlign w:val="center"/>
          </w:tcPr>
          <w:p w14:paraId="28DA831C" w14:textId="6A2EBCAD" w:rsidR="00F13479" w:rsidRDefault="00F13479" w:rsidP="00F13479">
            <w:pPr>
              <w:tabs>
                <w:tab w:val="left" w:pos="540"/>
              </w:tabs>
              <w:spacing w:before="120" w:line="276" w:lineRule="auto"/>
              <w:jc w:val="center"/>
              <w:rPr>
                <w:rFonts w:ascii="Times New Roman" w:hAnsi="Times New Roman"/>
                <w:b/>
                <w:sz w:val="24"/>
                <w:szCs w:val="24"/>
                <w:lang w:val="nl-NL"/>
              </w:rPr>
            </w:pPr>
            <w:r>
              <w:rPr>
                <w:rFonts w:ascii="Times New Roman" w:hAnsi="Times New Roman"/>
                <w:sz w:val="24"/>
                <w:szCs w:val="24"/>
                <w:lang w:val="nl-NL"/>
              </w:rPr>
              <w:t>29,</w:t>
            </w:r>
            <w:r w:rsidRPr="00F62336">
              <w:rPr>
                <w:rFonts w:ascii="Times New Roman" w:hAnsi="Times New Roman"/>
                <w:sz w:val="24"/>
                <w:szCs w:val="24"/>
                <w:lang w:val="nl-NL"/>
              </w:rPr>
              <w:t>86</w:t>
            </w:r>
          </w:p>
        </w:tc>
      </w:tr>
    </w:tbl>
    <w:p w14:paraId="5629B331" w14:textId="22797605" w:rsidR="00951AA5" w:rsidRDefault="00951AA5" w:rsidP="00951AA5">
      <w:pPr>
        <w:shd w:val="clear" w:color="auto" w:fill="FFFFFF"/>
        <w:spacing w:before="120" w:after="0" w:line="360" w:lineRule="auto"/>
        <w:rPr>
          <w:rFonts w:ascii="Times New Roman" w:hAnsi="Times New Roman"/>
          <w:b/>
          <w:sz w:val="24"/>
          <w:szCs w:val="24"/>
          <w:lang w:val="nl-NL"/>
        </w:rPr>
      </w:pPr>
    </w:p>
    <w:p w14:paraId="28B17137" w14:textId="77777777" w:rsidR="00173960" w:rsidRPr="00951AA5" w:rsidRDefault="00173960" w:rsidP="00951AA5">
      <w:pPr>
        <w:shd w:val="clear" w:color="auto" w:fill="FFFFFF"/>
        <w:spacing w:before="120" w:after="0" w:line="360" w:lineRule="auto"/>
        <w:rPr>
          <w:rFonts w:ascii="Times New Roman" w:hAnsi="Times New Roman"/>
          <w:b/>
          <w:sz w:val="24"/>
          <w:szCs w:val="24"/>
          <w:lang w:val="nl-NL"/>
        </w:rPr>
      </w:pPr>
    </w:p>
    <w:p w14:paraId="18CC46A7" w14:textId="77777777" w:rsidR="001C4468"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F0C62">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500"/>
        <w:gridCol w:w="2610"/>
        <w:gridCol w:w="2790"/>
      </w:tblGrid>
      <w:tr w:rsidR="001F3B0D" w:rsidRPr="00031ABF" w14:paraId="27D5DA98" w14:textId="77777777" w:rsidTr="00173960">
        <w:tc>
          <w:tcPr>
            <w:tcW w:w="4500" w:type="dxa"/>
            <w:vAlign w:val="center"/>
          </w:tcPr>
          <w:p w14:paraId="6FBF4510" w14:textId="77777777"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Giai đoạn</w:t>
            </w:r>
          </w:p>
        </w:tc>
        <w:tc>
          <w:tcPr>
            <w:tcW w:w="2610" w:type="dxa"/>
            <w:vAlign w:val="center"/>
          </w:tcPr>
          <w:p w14:paraId="17C97332" w14:textId="77777777"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Tổng tăng trưởng của NAV/CCQ</w:t>
            </w:r>
          </w:p>
        </w:tc>
        <w:tc>
          <w:tcPr>
            <w:tcW w:w="2790" w:type="dxa"/>
            <w:vAlign w:val="center"/>
          </w:tcPr>
          <w:p w14:paraId="26550CB9" w14:textId="77777777"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Tăng trưởng NAV/CCQ hàng năm</w:t>
            </w:r>
          </w:p>
        </w:tc>
      </w:tr>
      <w:tr w:rsidR="000C5DD7" w14:paraId="2F249FC3" w14:textId="77777777" w:rsidTr="00173960">
        <w:trPr>
          <w:trHeight w:val="413"/>
        </w:trPr>
        <w:tc>
          <w:tcPr>
            <w:tcW w:w="4500" w:type="dxa"/>
            <w:vAlign w:val="center"/>
          </w:tcPr>
          <w:p w14:paraId="522FB456"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- 1 năm</w:t>
            </w:r>
          </w:p>
        </w:tc>
        <w:tc>
          <w:tcPr>
            <w:tcW w:w="2610" w:type="dxa"/>
            <w:vAlign w:val="center"/>
          </w:tcPr>
          <w:p w14:paraId="0B262D26" w14:textId="6AD7A02F" w:rsidR="000C5DD7" w:rsidRPr="00C40ACD" w:rsidRDefault="004E7A62"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3,92</w:t>
            </w:r>
          </w:p>
        </w:tc>
        <w:tc>
          <w:tcPr>
            <w:tcW w:w="2790" w:type="dxa"/>
            <w:vAlign w:val="center"/>
          </w:tcPr>
          <w:p w14:paraId="529EBF7A" w14:textId="59772F13" w:rsidR="000C5DD7" w:rsidRPr="00C40ACD" w:rsidRDefault="004E7A62" w:rsidP="00173960">
            <w:pPr>
              <w:spacing w:line="360" w:lineRule="auto"/>
              <w:jc w:val="center"/>
              <w:rPr>
                <w:rFonts w:ascii="Times New Roman" w:hAnsi="Times New Roman"/>
                <w:b/>
                <w:sz w:val="24"/>
                <w:szCs w:val="24"/>
                <w:lang w:val="nl-NL"/>
              </w:rPr>
            </w:pPr>
            <w:r>
              <w:rPr>
                <w:rFonts w:ascii="Times New Roman" w:hAnsi="Times New Roman"/>
                <w:sz w:val="24"/>
                <w:szCs w:val="24"/>
                <w:lang w:val="nl-NL"/>
              </w:rPr>
              <w:t>3,92</w:t>
            </w:r>
          </w:p>
        </w:tc>
      </w:tr>
      <w:tr w:rsidR="000C5DD7" w14:paraId="11632C2B" w14:textId="77777777" w:rsidTr="00173960">
        <w:tc>
          <w:tcPr>
            <w:tcW w:w="4500" w:type="dxa"/>
            <w:vAlign w:val="center"/>
          </w:tcPr>
          <w:p w14:paraId="2B11B9A8"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- 3 năm</w:t>
            </w:r>
          </w:p>
        </w:tc>
        <w:tc>
          <w:tcPr>
            <w:tcW w:w="2610" w:type="dxa"/>
            <w:vAlign w:val="center"/>
          </w:tcPr>
          <w:p w14:paraId="620C3640" w14:textId="77777777" w:rsidR="000C5DD7" w:rsidRPr="00C40ACD" w:rsidRDefault="000C5DD7" w:rsidP="00173960">
            <w:pPr>
              <w:spacing w:line="360" w:lineRule="auto"/>
              <w:jc w:val="center"/>
              <w:rPr>
                <w:rFonts w:ascii="Times New Roman" w:hAnsi="Times New Roman"/>
                <w:b/>
                <w:sz w:val="24"/>
                <w:szCs w:val="24"/>
                <w:lang w:val="nl-NL"/>
              </w:rPr>
            </w:pPr>
            <w:r w:rsidRPr="00C40ACD">
              <w:rPr>
                <w:rFonts w:ascii="Times New Roman" w:hAnsi="Times New Roman"/>
                <w:sz w:val="24"/>
                <w:szCs w:val="24"/>
                <w:lang w:val="nl-NL"/>
              </w:rPr>
              <w:t>N/A</w:t>
            </w:r>
          </w:p>
        </w:tc>
        <w:tc>
          <w:tcPr>
            <w:tcW w:w="2790" w:type="dxa"/>
            <w:vAlign w:val="center"/>
          </w:tcPr>
          <w:p w14:paraId="098A1563" w14:textId="77777777" w:rsidR="000C5DD7" w:rsidRPr="00C40ACD" w:rsidRDefault="000C5DD7" w:rsidP="00173960">
            <w:pPr>
              <w:spacing w:line="360" w:lineRule="auto"/>
              <w:jc w:val="center"/>
              <w:rPr>
                <w:rFonts w:ascii="Times New Roman" w:hAnsi="Times New Roman"/>
                <w:b/>
                <w:sz w:val="24"/>
                <w:szCs w:val="24"/>
                <w:lang w:val="nl-NL"/>
              </w:rPr>
            </w:pPr>
            <w:r w:rsidRPr="00C40ACD">
              <w:rPr>
                <w:rFonts w:ascii="Times New Roman" w:hAnsi="Times New Roman"/>
                <w:sz w:val="24"/>
                <w:szCs w:val="24"/>
                <w:lang w:val="nl-NL"/>
              </w:rPr>
              <w:t>N/A</w:t>
            </w:r>
          </w:p>
        </w:tc>
      </w:tr>
      <w:tr w:rsidR="000C5DD7" w14:paraId="6F70C583" w14:textId="77777777" w:rsidTr="00173960">
        <w:tc>
          <w:tcPr>
            <w:tcW w:w="4500" w:type="dxa"/>
            <w:vAlign w:val="center"/>
          </w:tcPr>
          <w:p w14:paraId="24A21FC0"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Từ khi thành lập</w:t>
            </w:r>
          </w:p>
        </w:tc>
        <w:tc>
          <w:tcPr>
            <w:tcW w:w="2610" w:type="dxa"/>
            <w:vAlign w:val="center"/>
          </w:tcPr>
          <w:p w14:paraId="7AA8D014" w14:textId="4A06056D" w:rsidR="000C5DD7" w:rsidRPr="00C40ACD" w:rsidRDefault="004E7A62"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12,23</w:t>
            </w:r>
          </w:p>
        </w:tc>
        <w:tc>
          <w:tcPr>
            <w:tcW w:w="2790" w:type="dxa"/>
            <w:vAlign w:val="center"/>
          </w:tcPr>
          <w:p w14:paraId="39438C79" w14:textId="5BC6FA57" w:rsidR="000C5DD7" w:rsidRPr="00C40ACD" w:rsidRDefault="000C5DD7"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4,</w:t>
            </w:r>
            <w:r w:rsidR="004E7A62">
              <w:rPr>
                <w:rFonts w:ascii="Times New Roman" w:hAnsi="Times New Roman"/>
                <w:sz w:val="24"/>
                <w:szCs w:val="24"/>
                <w:lang w:val="nl-NL"/>
              </w:rPr>
              <w:t>29</w:t>
            </w:r>
          </w:p>
        </w:tc>
      </w:tr>
      <w:tr w:rsidR="000C5DD7" w:rsidRPr="00C67909" w14:paraId="0D071DFF" w14:textId="77777777" w:rsidTr="00173960">
        <w:trPr>
          <w:trHeight w:val="305"/>
        </w:trPr>
        <w:tc>
          <w:tcPr>
            <w:tcW w:w="4500" w:type="dxa"/>
            <w:vAlign w:val="center"/>
          </w:tcPr>
          <w:p w14:paraId="54561E56"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Tăng trưởng của chỉ số tham chiếu</w:t>
            </w:r>
          </w:p>
        </w:tc>
        <w:tc>
          <w:tcPr>
            <w:tcW w:w="2610" w:type="dxa"/>
            <w:vAlign w:val="center"/>
          </w:tcPr>
          <w:p w14:paraId="06D6AAE1" w14:textId="3588CAF7" w:rsidR="000C5DD7" w:rsidRPr="00C40ACD" w:rsidRDefault="004E7A62"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21,94</w:t>
            </w:r>
            <w:r w:rsidR="000C5DD7" w:rsidRPr="00C40ACD">
              <w:rPr>
                <w:rFonts w:ascii="Times New Roman" w:hAnsi="Times New Roman"/>
                <w:sz w:val="24"/>
                <w:szCs w:val="24"/>
                <w:lang w:val="nl-NL"/>
              </w:rPr>
              <w:t>% (***)</w:t>
            </w:r>
          </w:p>
        </w:tc>
        <w:tc>
          <w:tcPr>
            <w:tcW w:w="2790" w:type="dxa"/>
            <w:vAlign w:val="center"/>
          </w:tcPr>
          <w:p w14:paraId="746620D9" w14:textId="15ECF16A" w:rsidR="000C5DD7" w:rsidRPr="00C40ACD" w:rsidRDefault="004E7A62"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2,71</w:t>
            </w:r>
            <w:r w:rsidR="000C5DD7" w:rsidRPr="00C40ACD">
              <w:rPr>
                <w:rFonts w:ascii="Times New Roman" w:hAnsi="Times New Roman"/>
                <w:sz w:val="24"/>
                <w:szCs w:val="24"/>
                <w:lang w:val="nl-NL"/>
              </w:rPr>
              <w:t>%</w:t>
            </w:r>
          </w:p>
        </w:tc>
      </w:tr>
    </w:tbl>
    <w:p w14:paraId="6516682C" w14:textId="77777777" w:rsidR="001C4468"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9A353C">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3870"/>
        <w:gridCol w:w="1620"/>
        <w:gridCol w:w="1530"/>
        <w:gridCol w:w="1350"/>
        <w:gridCol w:w="1548"/>
      </w:tblGrid>
      <w:tr w:rsidR="00F534B9" w:rsidRPr="00C67909" w14:paraId="5CC9D1CA" w14:textId="77777777" w:rsidTr="00173960">
        <w:tc>
          <w:tcPr>
            <w:tcW w:w="3870" w:type="dxa"/>
            <w:vAlign w:val="center"/>
          </w:tcPr>
          <w:p w14:paraId="27A74417" w14:textId="77777777"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Thời kỳ</w:t>
            </w:r>
          </w:p>
        </w:tc>
        <w:tc>
          <w:tcPr>
            <w:tcW w:w="1620" w:type="dxa"/>
            <w:vAlign w:val="center"/>
          </w:tcPr>
          <w:p w14:paraId="56EBF39B" w14:textId="4F0C2727"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sidR="007F59F0">
              <w:rPr>
                <w:rFonts w:ascii="Times New Roman" w:eastAsia="Times New Roman" w:hAnsi="Times New Roman"/>
                <w:b/>
                <w:sz w:val="24"/>
                <w:szCs w:val="24"/>
                <w:lang w:val="nl-NL"/>
              </w:rPr>
              <w:t>21</w:t>
            </w:r>
          </w:p>
          <w:p w14:paraId="34ED6590" w14:textId="77777777"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530" w:type="dxa"/>
            <w:vAlign w:val="center"/>
          </w:tcPr>
          <w:p w14:paraId="125E2081" w14:textId="4DBBE0A8"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sidR="007F59F0">
              <w:rPr>
                <w:rFonts w:ascii="Times New Roman" w:eastAsia="Times New Roman" w:hAnsi="Times New Roman"/>
                <w:b/>
                <w:sz w:val="24"/>
                <w:szCs w:val="24"/>
                <w:lang w:val="nl-NL"/>
              </w:rPr>
              <w:t>20</w:t>
            </w:r>
          </w:p>
          <w:p w14:paraId="4011AA83" w14:textId="77777777"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50" w:type="dxa"/>
            <w:vAlign w:val="center"/>
          </w:tcPr>
          <w:p w14:paraId="00C73F88" w14:textId="411955AA"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sidR="007F59F0">
              <w:rPr>
                <w:rFonts w:ascii="Times New Roman" w:eastAsia="Times New Roman" w:hAnsi="Times New Roman"/>
                <w:b/>
                <w:sz w:val="24"/>
                <w:szCs w:val="24"/>
                <w:lang w:val="nl-NL"/>
              </w:rPr>
              <w:t>19</w:t>
            </w:r>
          </w:p>
          <w:p w14:paraId="76DCF302" w14:textId="77777777"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548" w:type="dxa"/>
            <w:vAlign w:val="center"/>
          </w:tcPr>
          <w:p w14:paraId="1563932F" w14:textId="0303A613"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sidR="007F59F0">
              <w:rPr>
                <w:rFonts w:ascii="Times New Roman" w:eastAsia="Times New Roman" w:hAnsi="Times New Roman"/>
                <w:b/>
                <w:sz w:val="24"/>
                <w:szCs w:val="24"/>
                <w:lang w:val="nl-NL"/>
              </w:rPr>
              <w:t>18</w:t>
            </w:r>
          </w:p>
          <w:p w14:paraId="2812300B" w14:textId="77777777" w:rsidR="00F534B9" w:rsidRPr="001F3B0D" w:rsidRDefault="00F534B9" w:rsidP="00F534B9">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r>
      <w:tr w:rsidR="007F59F0" w14:paraId="251C15F3" w14:textId="77777777" w:rsidTr="00173960">
        <w:tc>
          <w:tcPr>
            <w:tcW w:w="3870" w:type="dxa"/>
          </w:tcPr>
          <w:p w14:paraId="45820A46" w14:textId="77777777" w:rsidR="007F59F0" w:rsidRDefault="007F59F0" w:rsidP="007F59F0">
            <w:pPr>
              <w:spacing w:before="120" w:line="360" w:lineRule="auto"/>
              <w:jc w:val="both"/>
              <w:rPr>
                <w:rFonts w:ascii="Times New Roman" w:hAnsi="Times New Roman"/>
                <w:b/>
                <w:sz w:val="24"/>
                <w:szCs w:val="24"/>
                <w:lang w:val="nl-NL"/>
              </w:rPr>
            </w:pPr>
            <w:r w:rsidRPr="00F2683A">
              <w:rPr>
                <w:rFonts w:ascii="Times New Roman" w:eastAsia="Times New Roman" w:hAnsi="Times New Roman"/>
                <w:sz w:val="24"/>
                <w:szCs w:val="24"/>
                <w:lang w:val="nl-NL"/>
              </w:rPr>
              <w:t>Tỷ lệ tăng trưởng (%)/01 đơn vị CCQ</w:t>
            </w:r>
          </w:p>
        </w:tc>
        <w:tc>
          <w:tcPr>
            <w:tcW w:w="1620" w:type="dxa"/>
          </w:tcPr>
          <w:p w14:paraId="28D0FBBE" w14:textId="284196DA" w:rsidR="007F59F0" w:rsidRPr="004B07B4" w:rsidRDefault="007F59F0" w:rsidP="007F59F0">
            <w:pPr>
              <w:spacing w:before="120" w:line="360" w:lineRule="auto"/>
              <w:jc w:val="center"/>
              <w:rPr>
                <w:rFonts w:ascii="Times New Roman" w:hAnsi="Times New Roman"/>
                <w:sz w:val="24"/>
                <w:szCs w:val="24"/>
                <w:lang w:val="nl-NL"/>
              </w:rPr>
            </w:pPr>
            <w:r>
              <w:rPr>
                <w:rFonts w:ascii="Times New Roman" w:hAnsi="Times New Roman"/>
                <w:sz w:val="24"/>
                <w:szCs w:val="24"/>
                <w:lang w:val="nl-NL"/>
              </w:rPr>
              <w:t>3,92</w:t>
            </w:r>
          </w:p>
        </w:tc>
        <w:tc>
          <w:tcPr>
            <w:tcW w:w="1530" w:type="dxa"/>
          </w:tcPr>
          <w:p w14:paraId="74567978" w14:textId="793AE7EE" w:rsidR="007F59F0" w:rsidRPr="004B07B4" w:rsidRDefault="007F59F0" w:rsidP="007F59F0">
            <w:pPr>
              <w:spacing w:before="120" w:line="360" w:lineRule="auto"/>
              <w:jc w:val="center"/>
              <w:rPr>
                <w:rFonts w:ascii="Times New Roman" w:hAnsi="Times New Roman"/>
                <w:sz w:val="24"/>
                <w:szCs w:val="24"/>
                <w:lang w:val="nl-NL"/>
              </w:rPr>
            </w:pPr>
            <w:r>
              <w:rPr>
                <w:rFonts w:ascii="Times New Roman" w:hAnsi="Times New Roman"/>
                <w:sz w:val="24"/>
                <w:szCs w:val="24"/>
                <w:lang w:val="nl-NL"/>
              </w:rPr>
              <w:t>5,10</w:t>
            </w:r>
          </w:p>
        </w:tc>
        <w:tc>
          <w:tcPr>
            <w:tcW w:w="1350" w:type="dxa"/>
          </w:tcPr>
          <w:p w14:paraId="347EDB71" w14:textId="37AFA58A" w:rsidR="007F59F0" w:rsidRPr="004B07B4" w:rsidRDefault="007F59F0" w:rsidP="007F59F0">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4,19</w:t>
            </w:r>
          </w:p>
        </w:tc>
        <w:tc>
          <w:tcPr>
            <w:tcW w:w="1548" w:type="dxa"/>
          </w:tcPr>
          <w:p w14:paraId="01B558CB" w14:textId="719F5491" w:rsidR="007F59F0" w:rsidRPr="001F3B0D" w:rsidRDefault="007F59F0" w:rsidP="007F59F0">
            <w:pPr>
              <w:shd w:val="clear" w:color="auto" w:fill="FFFFFF"/>
              <w:tabs>
                <w:tab w:val="left" w:pos="540"/>
              </w:tabs>
              <w:spacing w:before="120"/>
              <w:jc w:val="center"/>
              <w:rPr>
                <w:rFonts w:ascii="Times New Roman" w:hAnsi="Times New Roman"/>
                <w:sz w:val="24"/>
                <w:szCs w:val="24"/>
                <w:lang w:val="nl-NL"/>
              </w:rPr>
            </w:pPr>
            <w:r w:rsidRPr="004B07B4">
              <w:rPr>
                <w:rFonts w:ascii="Times New Roman" w:hAnsi="Times New Roman"/>
                <w:sz w:val="24"/>
                <w:szCs w:val="24"/>
                <w:lang w:val="nl-NL"/>
              </w:rPr>
              <w:t>N/A</w:t>
            </w:r>
          </w:p>
        </w:tc>
      </w:tr>
    </w:tbl>
    <w:p w14:paraId="4182D994" w14:textId="77777777" w:rsidR="001C4468" w:rsidRPr="00332909" w:rsidRDefault="001C446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332909">
        <w:rPr>
          <w:rFonts w:ascii="Times New Roman" w:hAnsi="Times New Roman"/>
          <w:b/>
          <w:i/>
          <w:sz w:val="24"/>
          <w:szCs w:val="24"/>
          <w:u w:val="single"/>
          <w:lang w:val="nl-NL"/>
        </w:rPr>
        <w:t>Ghi chú:</w:t>
      </w:r>
    </w:p>
    <w:p w14:paraId="53E1EC7D" w14:textId="77777777" w:rsidR="006F77D6" w:rsidRPr="00332909" w:rsidRDefault="00332909" w:rsidP="004F5C05">
      <w:pPr>
        <w:shd w:val="clear" w:color="auto" w:fill="FFFFFF"/>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N/A:</w:t>
      </w:r>
      <w:r>
        <w:rPr>
          <w:rFonts w:ascii="Times New Roman" w:hAnsi="Times New Roman"/>
          <w:i/>
          <w:sz w:val="24"/>
          <w:szCs w:val="24"/>
          <w:lang w:val="nl-NL"/>
        </w:rPr>
        <w:t xml:space="preserve"> </w:t>
      </w:r>
      <w:r w:rsidR="004F5C05">
        <w:rPr>
          <w:rFonts w:ascii="Times New Roman" w:hAnsi="Times New Roman"/>
          <w:i/>
          <w:sz w:val="24"/>
          <w:szCs w:val="24"/>
          <w:lang w:val="nl-NL"/>
        </w:rPr>
        <w:tab/>
      </w:r>
      <w:r w:rsidR="006F77D6" w:rsidRPr="00332909">
        <w:rPr>
          <w:rFonts w:ascii="Times New Roman" w:hAnsi="Times New Roman"/>
          <w:i/>
          <w:sz w:val="24"/>
          <w:szCs w:val="24"/>
          <w:lang w:val="nl-NL"/>
        </w:rPr>
        <w:t>Quỹ mới thành lập và đi vào hoạt động từ ngày 03 tháng 04 năm 201</w:t>
      </w:r>
      <w:r w:rsidR="00CC754B" w:rsidRPr="00332909">
        <w:rPr>
          <w:rFonts w:ascii="Times New Roman" w:hAnsi="Times New Roman"/>
          <w:i/>
          <w:sz w:val="24"/>
          <w:szCs w:val="24"/>
          <w:lang w:val="nl-NL"/>
        </w:rPr>
        <w:t>9</w:t>
      </w:r>
      <w:r w:rsidR="006F77D6" w:rsidRPr="00332909">
        <w:rPr>
          <w:rFonts w:ascii="Times New Roman" w:hAnsi="Times New Roman"/>
          <w:i/>
          <w:sz w:val="24"/>
          <w:szCs w:val="24"/>
          <w:lang w:val="nl-NL"/>
        </w:rPr>
        <w:t>, nên các chỉ tiêu không đủ dữ liệu để tính toán.</w:t>
      </w:r>
    </w:p>
    <w:p w14:paraId="1D3A5C91" w14:textId="77777777"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0034115C" w:rsidRPr="00332909">
        <w:rPr>
          <w:rFonts w:ascii="Times New Roman" w:hAnsi="Times New Roman"/>
          <w:i/>
          <w:sz w:val="24"/>
          <w:szCs w:val="24"/>
          <w:lang w:val="nl-NL"/>
        </w:rPr>
        <w:t>(*</w:t>
      </w: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Chứng chỉ quỹ của Quỹ không được niêm yết trên thị trường chứng khoán</w:t>
      </w:r>
      <w:r w:rsidR="00332909" w:rsidRPr="00332909">
        <w:rPr>
          <w:rFonts w:ascii="Times New Roman" w:hAnsi="Times New Roman"/>
          <w:i/>
          <w:sz w:val="24"/>
          <w:szCs w:val="24"/>
          <w:lang w:val="nl-NL"/>
        </w:rPr>
        <w:t>.</w:t>
      </w:r>
    </w:p>
    <w:p w14:paraId="62FDE264" w14:textId="77777777"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Pr="00332909">
        <w:rPr>
          <w:rFonts w:ascii="Times New Roman" w:hAnsi="Times New Roman"/>
          <w:i/>
          <w:sz w:val="24"/>
          <w:szCs w:val="24"/>
          <w:lang w:val="nl-NL"/>
        </w:rPr>
        <w:t>(</w:t>
      </w:r>
      <w:r w:rsidR="0034115C" w:rsidRPr="00332909">
        <w:rPr>
          <w:rFonts w:ascii="Times New Roman" w:hAnsi="Times New Roman"/>
          <w:i/>
          <w:sz w:val="24"/>
          <w:szCs w:val="24"/>
          <w:lang w:val="nl-NL"/>
        </w:rPr>
        <w:t>**</w:t>
      </w:r>
      <w:r w:rsidR="0024670A"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 xml:space="preserve">Quỹ </w:t>
      </w:r>
      <w:r w:rsidR="0034115C" w:rsidRPr="00332909">
        <w:rPr>
          <w:rFonts w:ascii="Times New Roman" w:hAnsi="Times New Roman"/>
          <w:i/>
          <w:sz w:val="24"/>
          <w:szCs w:val="24"/>
          <w:lang w:val="nl-NL"/>
        </w:rPr>
        <w:t>chưa</w:t>
      </w:r>
      <w:r w:rsidRPr="00332909">
        <w:rPr>
          <w:rFonts w:ascii="Times New Roman" w:hAnsi="Times New Roman"/>
          <w:i/>
          <w:sz w:val="24"/>
          <w:szCs w:val="24"/>
          <w:lang w:val="nl-NL"/>
        </w:rPr>
        <w:t xml:space="preserve"> phân phối lợi nhuận.</w:t>
      </w:r>
    </w:p>
    <w:p w14:paraId="618E2077" w14:textId="44AEC9E4" w:rsidR="006F77D6" w:rsidRDefault="0024670A"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0034115C" w:rsidRPr="00332909">
        <w:rPr>
          <w:rFonts w:ascii="Times New Roman" w:hAnsi="Times New Roman"/>
          <w:i/>
          <w:sz w:val="24"/>
          <w:szCs w:val="24"/>
          <w:lang w:val="nl-NL"/>
        </w:rPr>
        <w:t>Quỹ áp dụng chỉ số tham chiếu</w:t>
      </w:r>
      <w:r w:rsidR="000769A6">
        <w:rPr>
          <w:rFonts w:ascii="Times New Roman" w:hAnsi="Times New Roman"/>
          <w:i/>
          <w:sz w:val="24"/>
          <w:szCs w:val="24"/>
          <w:lang w:val="nl-NL"/>
        </w:rPr>
        <w:t xml:space="preserve"> là </w:t>
      </w:r>
      <w:r w:rsidR="000769A6" w:rsidRPr="000769A6">
        <w:rPr>
          <w:rFonts w:ascii="Times New Roman" w:hAnsi="Times New Roman"/>
          <w:i/>
          <w:sz w:val="24"/>
          <w:szCs w:val="24"/>
          <w:lang w:val="nl-NL"/>
        </w:rPr>
        <w:t>Chỉ số Trái phiếu Chính phủ năm (05) năm của HNX</w:t>
      </w:r>
      <w:r w:rsidR="00F27AF7">
        <w:rPr>
          <w:rFonts w:ascii="Times New Roman" w:hAnsi="Times New Roman"/>
          <w:i/>
          <w:sz w:val="24"/>
          <w:szCs w:val="24"/>
          <w:lang w:val="nl-NL"/>
        </w:rPr>
        <w:t xml:space="preserve">. Số trên báo cáo áp dụng trong giai đoạn từ ngày thành lập (03/04/2019) đến </w:t>
      </w:r>
      <w:r w:rsidR="005A136A">
        <w:rPr>
          <w:rFonts w:ascii="Times New Roman" w:hAnsi="Times New Roman"/>
          <w:i/>
          <w:sz w:val="24"/>
          <w:szCs w:val="24"/>
          <w:lang w:val="nl-NL"/>
        </w:rPr>
        <w:t>thời điểm báo cáo</w:t>
      </w:r>
      <w:r w:rsidR="000769A6">
        <w:rPr>
          <w:rFonts w:ascii="Times New Roman" w:hAnsi="Times New Roman"/>
          <w:i/>
          <w:sz w:val="24"/>
          <w:szCs w:val="24"/>
          <w:lang w:val="nl-NL"/>
        </w:rPr>
        <w:t>.</w:t>
      </w:r>
    </w:p>
    <w:p w14:paraId="008411FD" w14:textId="65B2C870"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6C04D01" w14:textId="6A56D5E9"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20592E7A" w14:textId="1858C834"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21052A1D" w14:textId="5E2D6F5A"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015C137" w14:textId="2DA21593"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3E2283E4" w14:textId="4D2A935A"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7563AF25" w14:textId="0C431B47"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057A1796" w14:textId="37E79016"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498F777B" w14:textId="1FE77B35"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0E6E6BB6" w14:textId="3D26D539"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5CEB6B7" w14:textId="36443723"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72041D71" w14:textId="22EA6F30"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6B85716" w14:textId="38F1A7E1"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29C2481E" w14:textId="77777777" w:rsidR="00173960" w:rsidRPr="00F2683A"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24806CAB" w14:textId="77777777" w:rsidR="001C4468" w:rsidRPr="00F2683A"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lastRenderedPageBreak/>
        <w:t xml:space="preserve">III. </w:t>
      </w:r>
      <w:r w:rsidR="00B953F5">
        <w:rPr>
          <w:rFonts w:ascii="Times New Roman" w:hAnsi="Times New Roman"/>
          <w:b/>
          <w:sz w:val="24"/>
          <w:szCs w:val="24"/>
          <w:lang w:val="nl-NL"/>
        </w:rPr>
        <w:tab/>
      </w:r>
      <w:r w:rsidRPr="00F2683A">
        <w:rPr>
          <w:rFonts w:ascii="Times New Roman" w:hAnsi="Times New Roman"/>
          <w:b/>
          <w:sz w:val="24"/>
          <w:szCs w:val="24"/>
          <w:lang w:val="nl-NL"/>
        </w:rPr>
        <w:t>M</w:t>
      </w:r>
      <w:r w:rsidR="00B953F5">
        <w:rPr>
          <w:rFonts w:ascii="Times New Roman" w:hAnsi="Times New Roman"/>
          <w:b/>
          <w:sz w:val="24"/>
          <w:szCs w:val="24"/>
          <w:lang w:val="nl-NL"/>
        </w:rPr>
        <w:t>Ô TẢ THỊ TRƯỜNG TRONG KỲ</w:t>
      </w:r>
    </w:p>
    <w:p w14:paraId="6DD5A420" w14:textId="77777777" w:rsidR="00A536DF" w:rsidRPr="008E20AF" w:rsidRDefault="00A536DF" w:rsidP="008E20AF">
      <w:pPr>
        <w:shd w:val="clear" w:color="auto" w:fill="FFFFFF"/>
        <w:tabs>
          <w:tab w:val="left" w:pos="540"/>
        </w:tabs>
        <w:spacing w:before="120" w:after="0" w:line="240" w:lineRule="auto"/>
        <w:jc w:val="both"/>
        <w:rPr>
          <w:rFonts w:ascii="Times New Roman" w:hAnsi="Times New Roman"/>
          <w:b/>
          <w:sz w:val="24"/>
          <w:szCs w:val="24"/>
          <w:lang w:val="nl-NL"/>
        </w:rPr>
      </w:pPr>
      <w:r w:rsidRPr="008E20AF">
        <w:rPr>
          <w:rFonts w:ascii="Times New Roman" w:hAnsi="Times New Roman"/>
          <w:b/>
          <w:sz w:val="24"/>
          <w:szCs w:val="24"/>
          <w:lang w:val="nl-NL"/>
        </w:rPr>
        <w:t>Kinh tế Vĩ mô:</w:t>
      </w:r>
    </w:p>
    <w:p w14:paraId="2E5EBD3F" w14:textId="77777777" w:rsidR="007F59F0" w:rsidRPr="007F59F0" w:rsidRDefault="007F59F0" w:rsidP="007F59F0">
      <w:pPr>
        <w:shd w:val="clear" w:color="auto" w:fill="FFFFFF"/>
        <w:spacing w:before="120" w:line="240" w:lineRule="auto"/>
        <w:jc w:val="both"/>
        <w:rPr>
          <w:rFonts w:ascii="Times New Roman" w:hAnsi="Times New Roman"/>
          <w:b/>
          <w:bCs/>
          <w:sz w:val="24"/>
          <w:szCs w:val="24"/>
          <w:lang w:val="nl-NL"/>
        </w:rPr>
      </w:pPr>
      <w:r w:rsidRPr="007F59F0">
        <w:rPr>
          <w:rFonts w:ascii="Times New Roman" w:hAnsi="Times New Roman"/>
          <w:b/>
          <w:bCs/>
          <w:color w:val="000000"/>
          <w:sz w:val="24"/>
          <w:szCs w:val="24"/>
          <w:lang w:val="nl-NL"/>
        </w:rPr>
        <w:t>Tổng sản phẩm trong nước (GDP)</w:t>
      </w:r>
    </w:p>
    <w:p w14:paraId="038EEDBC" w14:textId="77777777" w:rsidR="007F59F0" w:rsidRPr="007F59F0" w:rsidRDefault="007F59F0" w:rsidP="007F59F0">
      <w:pPr>
        <w:shd w:val="clear" w:color="auto" w:fill="FFFFFF"/>
        <w:spacing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t>Tổng sản phẩm trong nước (GDP) năm 2021 tăng 2,58% so cùng năm 2020 (quý I tăng 4,72%; quý II tăng 6,73%; quý III giảm 6,02%; quý IV tăng 5,22%).</w:t>
      </w:r>
    </w:p>
    <w:p w14:paraId="1D430297" w14:textId="77777777" w:rsidR="007F59F0" w:rsidRPr="007F59F0" w:rsidRDefault="007F59F0" w:rsidP="007F59F0">
      <w:pPr>
        <w:shd w:val="clear" w:color="auto" w:fill="FFFFFF"/>
        <w:spacing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t>Trong mức tăng chung của toàn nền kinh tế, khu vực nông, lâm nghiệp và thủy sản tăng 2,9%, đóng góp 13,97% vào tốc độ tăng tổng giá trị tăng thêm của toàn nền kinh tế; khu vực công nghiệp và xây dựng tăng 4,05%, đóng góp 63,80%; khu vực dịch vụ tăng 1,22%, đóng góp 22,23%.</w:t>
      </w:r>
    </w:p>
    <w:p w14:paraId="2EC724A9" w14:textId="77777777" w:rsidR="007F59F0" w:rsidRPr="007F59F0" w:rsidRDefault="007F59F0" w:rsidP="007F59F0">
      <w:pPr>
        <w:pStyle w:val="ListParagraph"/>
        <w:shd w:val="clear" w:color="auto" w:fill="FFFFFF"/>
        <w:spacing w:before="120" w:after="0" w:line="240" w:lineRule="auto"/>
        <w:ind w:left="0" w:right="27" w:hanging="426"/>
        <w:jc w:val="center"/>
        <w:rPr>
          <w:rFonts w:ascii="Times New Roman" w:hAnsi="Times New Roman"/>
          <w:i/>
          <w:iCs/>
          <w:sz w:val="24"/>
          <w:szCs w:val="24"/>
          <w:lang w:val="nl-NL"/>
        </w:rPr>
      </w:pPr>
      <w:r w:rsidRPr="007F59F0">
        <w:rPr>
          <w:rFonts w:ascii="Times New Roman" w:hAnsi="Times New Roman"/>
          <w:noProof/>
          <w:color w:val="000000"/>
          <w:sz w:val="24"/>
          <w:szCs w:val="24"/>
        </w:rPr>
        <w:drawing>
          <wp:inline distT="0" distB="0" distL="0" distR="0" wp14:anchorId="0AEF37C4" wp14:editId="379883A3">
            <wp:extent cx="4498701" cy="219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02393" cy="2241245"/>
                    </a:xfrm>
                    <a:prstGeom prst="rect">
                      <a:avLst/>
                    </a:prstGeom>
                    <a:noFill/>
                    <a:ln>
                      <a:noFill/>
                    </a:ln>
                  </pic:spPr>
                </pic:pic>
              </a:graphicData>
            </a:graphic>
          </wp:inline>
        </w:drawing>
      </w:r>
    </w:p>
    <w:p w14:paraId="28D63E03" w14:textId="77777777" w:rsidR="007F59F0" w:rsidRPr="007F59F0" w:rsidRDefault="007F59F0" w:rsidP="007F59F0">
      <w:pPr>
        <w:shd w:val="clear" w:color="auto" w:fill="FFFFFF"/>
        <w:spacing w:before="120" w:line="240" w:lineRule="auto"/>
        <w:jc w:val="both"/>
        <w:rPr>
          <w:rFonts w:ascii="Times New Roman" w:hAnsi="Times New Roman"/>
          <w:b/>
          <w:bCs/>
          <w:sz w:val="24"/>
          <w:szCs w:val="24"/>
          <w:lang w:val="nl-NL"/>
        </w:rPr>
      </w:pPr>
      <w:r w:rsidRPr="007F59F0">
        <w:rPr>
          <w:rFonts w:ascii="Times New Roman" w:hAnsi="Times New Roman"/>
          <w:b/>
          <w:bCs/>
          <w:color w:val="000000"/>
          <w:sz w:val="24"/>
          <w:szCs w:val="24"/>
          <w:lang w:val="nl-NL"/>
        </w:rPr>
        <w:t>Lạm phát</w:t>
      </w:r>
    </w:p>
    <w:p w14:paraId="3E15D208" w14:textId="77777777" w:rsidR="007F59F0" w:rsidRPr="007F59F0" w:rsidRDefault="007F59F0" w:rsidP="007F59F0">
      <w:pPr>
        <w:shd w:val="clear" w:color="auto" w:fill="FFFFFF"/>
        <w:spacing w:before="120"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t>CPI năm 2021 đạt mức 1,81% YoY vào tháng 12/2021, khiến mức CPI trung bình cả năm 2021 đạt mức 1,84%. CPI giảm mạnh vào quý I đạt mức 0,30%, do giá dầu nằm ở mức thấp và giá thịt heo suy giảm mạnh vào quý 1. Tuy nhiên, chỉ số này bắt đầu tăng trở lại vào quý II do giá dầu và giá heo đồng thời hồi phục. Tác động tiêu cực của COVID-19 trong quý III đã làm kiềm hãm lại nhu cầu tiêu dùng kinh tế và từ đó, khiến các nhóm giá cả hàng hóa suy giảm. Xu hướng này tiếp tục trong quý IV khi CPI chỉ còn đạt mức 1,89% do giá cả lương thực, thực phẩm nằm ở mức thấp và giá dầu suy giảm trong tháng 12.</w:t>
      </w:r>
    </w:p>
    <w:p w14:paraId="662747AF" w14:textId="77777777" w:rsidR="007F59F0" w:rsidRPr="007F59F0" w:rsidRDefault="007F59F0" w:rsidP="007F59F0">
      <w:pPr>
        <w:shd w:val="clear" w:color="auto" w:fill="FFFFFF"/>
        <w:spacing w:before="120" w:line="240" w:lineRule="auto"/>
        <w:jc w:val="center"/>
        <w:rPr>
          <w:rFonts w:ascii="Times New Roman" w:hAnsi="Times New Roman"/>
          <w:sz w:val="24"/>
          <w:szCs w:val="24"/>
          <w:lang w:val="nl-NL"/>
        </w:rPr>
      </w:pPr>
      <w:r w:rsidRPr="007F59F0">
        <w:rPr>
          <w:rFonts w:ascii="Times New Roman" w:hAnsi="Times New Roman"/>
          <w:noProof/>
          <w:color w:val="000000"/>
          <w:sz w:val="24"/>
          <w:szCs w:val="24"/>
        </w:rPr>
        <w:drawing>
          <wp:inline distT="0" distB="0" distL="0" distR="0" wp14:anchorId="75853B7B" wp14:editId="1347C769">
            <wp:extent cx="4562475" cy="2657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562475" cy="2657475"/>
                    </a:xfrm>
                    <a:prstGeom prst="rect">
                      <a:avLst/>
                    </a:prstGeom>
                    <a:noFill/>
                    <a:ln>
                      <a:noFill/>
                    </a:ln>
                  </pic:spPr>
                </pic:pic>
              </a:graphicData>
            </a:graphic>
          </wp:inline>
        </w:drawing>
      </w:r>
    </w:p>
    <w:p w14:paraId="0BF5E90E" w14:textId="77777777" w:rsidR="007F59F0" w:rsidRPr="007F59F0" w:rsidRDefault="007F59F0" w:rsidP="007F59F0">
      <w:pPr>
        <w:shd w:val="clear" w:color="auto" w:fill="FFFFFF"/>
        <w:spacing w:before="120" w:line="240" w:lineRule="auto"/>
        <w:jc w:val="both"/>
        <w:rPr>
          <w:rFonts w:ascii="Times New Roman" w:hAnsi="Times New Roman"/>
          <w:b/>
          <w:bCs/>
          <w:sz w:val="24"/>
          <w:szCs w:val="24"/>
          <w:lang w:val="nl-NL"/>
        </w:rPr>
      </w:pPr>
      <w:r w:rsidRPr="007F59F0">
        <w:rPr>
          <w:rFonts w:ascii="Times New Roman" w:hAnsi="Times New Roman"/>
          <w:b/>
          <w:bCs/>
          <w:color w:val="000000"/>
          <w:sz w:val="24"/>
          <w:szCs w:val="24"/>
          <w:lang w:val="nl-NL"/>
        </w:rPr>
        <w:lastRenderedPageBreak/>
        <w:t>Hoạt động sản xuất</w:t>
      </w:r>
    </w:p>
    <w:p w14:paraId="73FA87D0" w14:textId="77777777" w:rsidR="007F59F0" w:rsidRPr="007F59F0" w:rsidRDefault="007F59F0" w:rsidP="007F59F0">
      <w:pPr>
        <w:shd w:val="clear" w:color="auto" w:fill="FFFFFF"/>
        <w:spacing w:before="120"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t>Chỉ số PMI tháng 12 tăng về ngưỡng tăng trưởng 52,5 điểm, từ 52,3 điểm trong tháng 11, cao hơn mức trung bình năm là 49,23 điểm. Các cấu phần của chỉ số cho thấy tín hiệu hồi phục được duy trì. Sản lượng và số lượng đơn đặt hàng đều tăng trong tháng 12. Cùng với đó, giá bán hàng tăng, cho thấy cầu hàng hóa cho hoạt động sản xuất hồi phục. Yếu tố duy nhất vẫn ở mức cần theo dõi là lực lượng lao động vẫn đang ở mức khan hiếm. Tuy nhiên, tỷ lệ tiêm chủng Vaccine COVID-19 ở mức cao và chủng Omicron không gây nguy hại như Delta sẽ là các liều thuốc tâm lý giúp nhóm người lao động nhanh chóng quay trở lại việc làm.</w:t>
      </w:r>
    </w:p>
    <w:p w14:paraId="456FE08A" w14:textId="512D6742" w:rsidR="007F59F0" w:rsidRPr="007F59F0" w:rsidRDefault="007F59F0" w:rsidP="007F59F0">
      <w:pPr>
        <w:shd w:val="clear" w:color="auto" w:fill="FFFFFF"/>
        <w:spacing w:before="120" w:line="240" w:lineRule="auto"/>
        <w:jc w:val="center"/>
        <w:rPr>
          <w:rFonts w:ascii="Times New Roman" w:hAnsi="Times New Roman"/>
          <w:b/>
          <w:bCs/>
          <w:sz w:val="24"/>
          <w:szCs w:val="24"/>
          <w:lang w:val="nl-NL"/>
        </w:rPr>
      </w:pPr>
      <w:r w:rsidRPr="007F59F0">
        <w:rPr>
          <w:rFonts w:ascii="Times New Roman" w:hAnsi="Times New Roman"/>
          <w:b/>
          <w:bCs/>
          <w:noProof/>
          <w:color w:val="000000"/>
          <w:sz w:val="24"/>
          <w:szCs w:val="24"/>
          <w:lang w:val="nl-NL"/>
        </w:rPr>
        <w:drawing>
          <wp:inline distT="0" distB="0" distL="0" distR="0" wp14:anchorId="43B9C602" wp14:editId="6DE04E6C">
            <wp:extent cx="4676775" cy="2888008"/>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82138" cy="2891320"/>
                    </a:xfrm>
                    <a:prstGeom prst="rect">
                      <a:avLst/>
                    </a:prstGeom>
                    <a:noFill/>
                    <a:ln>
                      <a:noFill/>
                    </a:ln>
                  </pic:spPr>
                </pic:pic>
              </a:graphicData>
            </a:graphic>
          </wp:inline>
        </w:drawing>
      </w:r>
    </w:p>
    <w:p w14:paraId="7005DF94" w14:textId="77777777" w:rsidR="007F59F0" w:rsidRPr="007F59F0" w:rsidRDefault="007F59F0" w:rsidP="007F59F0">
      <w:pPr>
        <w:shd w:val="clear" w:color="auto" w:fill="FFFFFF"/>
        <w:spacing w:line="240" w:lineRule="auto"/>
        <w:jc w:val="both"/>
        <w:rPr>
          <w:rFonts w:ascii="Times New Roman" w:hAnsi="Times New Roman"/>
          <w:b/>
          <w:bCs/>
          <w:sz w:val="24"/>
          <w:szCs w:val="24"/>
          <w:lang w:val="nl-NL"/>
        </w:rPr>
      </w:pPr>
      <w:r w:rsidRPr="007F59F0">
        <w:rPr>
          <w:rFonts w:ascii="Times New Roman" w:hAnsi="Times New Roman"/>
          <w:b/>
          <w:bCs/>
          <w:color w:val="000000"/>
          <w:sz w:val="24"/>
          <w:szCs w:val="24"/>
          <w:lang w:val="nl-NL"/>
        </w:rPr>
        <w:t>Hoạt động xuất nhập khẩu hàng hoá</w:t>
      </w:r>
    </w:p>
    <w:p w14:paraId="2C5F1B9D" w14:textId="77777777" w:rsidR="007F59F0" w:rsidRPr="007F59F0" w:rsidRDefault="007F59F0" w:rsidP="007F59F0">
      <w:pPr>
        <w:shd w:val="clear" w:color="auto" w:fill="FFFFFF"/>
        <w:spacing w:before="120"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t>Năm 2021, tổng kim ngạch xuất khẩu hàng hóa đạt 336,25 tỷ USD, tăng 19%; nhập khẩu hàng hóa đạt 332,25 tỷ USD. Cán cân thương mại hàng hóa năm 2021 ước tính xuất siêu 4,0 tỷ USD. Bất chấp ảnh hưởng của dịch COVID-19 trong quý III/2021, Việt Nam vẫn duy trì mức tăng trưởng dương chủ yếu nhờ vào hai nhóm hàng hóa: (1) Máy vi tính, sản phẩm điện tử và linh kiện và (2) Máy móc, thiết bị, dụng cụ, phụ tùng khác. Hai nhóm hàng hóa tăng trưởng mạnh chủ yếu do hưởng lợi từ xu hướng chuyển dịch chuỗi sản xuất từ Trung Quốc sang Việt Nam.</w:t>
      </w:r>
    </w:p>
    <w:p w14:paraId="57B330C6" w14:textId="77777777" w:rsidR="007F59F0" w:rsidRPr="007F59F0" w:rsidRDefault="007F59F0" w:rsidP="007F59F0">
      <w:pPr>
        <w:shd w:val="clear" w:color="auto" w:fill="FFFFFF"/>
        <w:spacing w:before="120"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t>Trong năm 2022, mũi nhọn tăng trưởng của kim ngạch xuất nhập khẩu Việt Nam sẽ đến từ ba nhóm hàng hóa: (1) Điện thoại các loại và linh kiện (2) Máy vi tính, sản phẩm điện tử và linh kiện (3) Máy móc, thiết bị, dụng cụ, phụ tùng khác.</w:t>
      </w:r>
    </w:p>
    <w:p w14:paraId="1062F480" w14:textId="77777777" w:rsidR="007F59F0" w:rsidRPr="007F59F0" w:rsidRDefault="007F59F0" w:rsidP="007F59F0">
      <w:pPr>
        <w:shd w:val="clear" w:color="auto" w:fill="FFFFFF"/>
        <w:spacing w:before="120" w:line="240" w:lineRule="auto"/>
        <w:jc w:val="both"/>
        <w:rPr>
          <w:rFonts w:ascii="Times New Roman" w:hAnsi="Times New Roman"/>
          <w:b/>
          <w:bCs/>
          <w:sz w:val="24"/>
          <w:szCs w:val="24"/>
          <w:lang w:val="nl-NL"/>
        </w:rPr>
      </w:pPr>
      <w:r w:rsidRPr="007F59F0">
        <w:rPr>
          <w:rFonts w:ascii="Times New Roman" w:hAnsi="Times New Roman"/>
          <w:b/>
          <w:bCs/>
          <w:color w:val="000000"/>
          <w:sz w:val="24"/>
          <w:szCs w:val="24"/>
          <w:lang w:val="nl-NL"/>
        </w:rPr>
        <w:t>Hoạt động đầu tư</w:t>
      </w:r>
    </w:p>
    <w:p w14:paraId="3F4A7A70" w14:textId="77777777" w:rsidR="007F59F0" w:rsidRPr="007F59F0" w:rsidRDefault="007F59F0" w:rsidP="007F59F0">
      <w:pPr>
        <w:shd w:val="clear" w:color="auto" w:fill="FFFFFF"/>
        <w:spacing w:before="120"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t>Tổng vốn đầu tư nước ngoài (FDI) đăng ký vào Việt Nam tính đến ngày 20/12/2021 bao gồm vốn đăng ký cấp mới, vốn đăng ký điều chỉnh và giá trị góp vốn, mua cổ phần của nhà đầu tư nước ngoài đạt 31,15 tỷ USD, tăng 9,2% so với năm 2020.</w:t>
      </w:r>
    </w:p>
    <w:p w14:paraId="2747ED69" w14:textId="77777777" w:rsidR="007F59F0" w:rsidRPr="007F59F0" w:rsidRDefault="007F59F0" w:rsidP="007F59F0">
      <w:pPr>
        <w:shd w:val="clear" w:color="auto" w:fill="FFFFFF"/>
        <w:spacing w:before="120"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t>Vốn đầu tư trực tiếp nước ngoài thực hiện tại Việt Nam năm 2021, ước đạt 19,74 tỷ USD, giảm 1,2% so với năm trước.</w:t>
      </w:r>
    </w:p>
    <w:p w14:paraId="0D6B9D01" w14:textId="77777777" w:rsidR="007F59F0" w:rsidRPr="007F59F0" w:rsidRDefault="007F59F0" w:rsidP="007F59F0">
      <w:pPr>
        <w:shd w:val="clear" w:color="auto" w:fill="FFFFFF"/>
        <w:spacing w:before="120"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t>Về vốn đăng ký cấp mới, có 1.738 dự án được cấp phép với số vốn đăng ký đạt 15,25 tỷ USD, giảm 31,1% về số dự án và tăng 4,1% về số vốn đăng ký so với năm trước.</w:t>
      </w:r>
    </w:p>
    <w:p w14:paraId="7472EA41" w14:textId="77777777" w:rsidR="007F59F0" w:rsidRPr="007F59F0" w:rsidRDefault="007F59F0" w:rsidP="007F59F0">
      <w:pPr>
        <w:shd w:val="clear" w:color="auto" w:fill="FFFFFF"/>
        <w:spacing w:before="120"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lastRenderedPageBreak/>
        <w:t>Về vốn đăng ký góp vốn, mua cổ phần của nhà đầu tư nước ngoài: Có 3.797 lượt với tổng giá trị góp vốn 6,89 tỷ USD, giảm 7,7% so năm trước. Trong đó, có 1.535 lượt góp vốn, mua cổ phần làm tăng vốn điều lệ của doanh nghiệp với giá trị góp vốn là 5,03 tỷ USD và 2.262 lượt nhà đầu tư nước ngoài mua lại cổ phần trong nước mà không làm tăng vốn điều lệ với giá trị 1,86 tỷ USD.</w:t>
      </w:r>
    </w:p>
    <w:p w14:paraId="7791B6F9" w14:textId="77777777" w:rsidR="007F59F0" w:rsidRPr="007F59F0" w:rsidRDefault="007F59F0" w:rsidP="007F59F0">
      <w:pPr>
        <w:shd w:val="clear" w:color="auto" w:fill="FFFFFF"/>
        <w:spacing w:before="120" w:line="240" w:lineRule="auto"/>
        <w:jc w:val="both"/>
        <w:rPr>
          <w:rFonts w:ascii="Times New Roman" w:hAnsi="Times New Roman"/>
          <w:sz w:val="24"/>
          <w:szCs w:val="24"/>
          <w:lang w:val="nl-NL"/>
        </w:rPr>
      </w:pPr>
      <w:r w:rsidRPr="007F59F0">
        <w:rPr>
          <w:rFonts w:ascii="Times New Roman" w:hAnsi="Times New Roman"/>
          <w:noProof/>
        </w:rPr>
        <w:drawing>
          <wp:anchor distT="0" distB="0" distL="114300" distR="114300" simplePos="0" relativeHeight="251658752" behindDoc="0" locked="0" layoutInCell="1" allowOverlap="1" wp14:anchorId="72DF5617" wp14:editId="7CF6B786">
            <wp:simplePos x="0" y="0"/>
            <wp:positionH relativeFrom="page">
              <wp:align>center</wp:align>
            </wp:positionH>
            <wp:positionV relativeFrom="paragraph">
              <wp:posOffset>2091055</wp:posOffset>
            </wp:positionV>
            <wp:extent cx="4770755" cy="2301875"/>
            <wp:effectExtent l="0" t="0" r="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70755" cy="2301875"/>
                    </a:xfrm>
                    <a:prstGeom prst="rect">
                      <a:avLst/>
                    </a:prstGeom>
                    <a:noFill/>
                  </pic:spPr>
                </pic:pic>
              </a:graphicData>
            </a:graphic>
            <wp14:sizeRelH relativeFrom="page">
              <wp14:pctWidth>0</wp14:pctWidth>
            </wp14:sizeRelH>
            <wp14:sizeRelV relativeFrom="page">
              <wp14:pctHeight>0</wp14:pctHeight>
            </wp14:sizeRelV>
          </wp:anchor>
        </w:drawing>
      </w:r>
      <w:r w:rsidRPr="007F59F0">
        <w:rPr>
          <w:rFonts w:ascii="Times New Roman" w:hAnsi="Times New Roman"/>
          <w:color w:val="000000"/>
          <w:sz w:val="24"/>
          <w:szCs w:val="24"/>
          <w:lang w:val="nl-NL"/>
        </w:rPr>
        <w:t>Các nhà đầu tư nước ngoài đã đầu tư vào 18 ngành trong tổng số 21 ngành kinh tế quốc dân. Trong đó, ngành công nghiệp chế biến, chế tạo dẫn đầu với tổng vốn đầu tư đạt trên 18,1 tỷ USD, chiếm 58,2% tổng vốn đầu tư đăng ký. Ngành sản xuất, phân phối điện mặc dù thu hút được số lượng dự án mới, điều chỉnh cũng như góp vốn mua cổ phần không nhiều, song có dự án có quy mô vốn lớn nên đứng thứ 2 với tổng vốn đầu tư trên 5,7 tỷ USD, chiếm 18,3% tổng vốn đầu tư đăng ký. Tiếp theo lần lượt là các ngành kinh doanh bất động sản; bán buôn, bán lẻ với tổng vốn đăng ký đạt lần lượt là trên 2,6 tỷ USD và trên 1,4 tỷ USD...</w:t>
      </w:r>
    </w:p>
    <w:p w14:paraId="2C2555EF" w14:textId="77777777" w:rsidR="007F59F0" w:rsidRPr="007F59F0" w:rsidRDefault="007F59F0" w:rsidP="007F59F0">
      <w:pPr>
        <w:shd w:val="clear" w:color="auto" w:fill="FFFFFF"/>
        <w:spacing w:before="120" w:line="240" w:lineRule="auto"/>
        <w:jc w:val="both"/>
        <w:rPr>
          <w:rFonts w:ascii="Times New Roman" w:hAnsi="Times New Roman"/>
          <w:sz w:val="24"/>
          <w:szCs w:val="24"/>
          <w:lang w:val="nl-NL"/>
        </w:rPr>
      </w:pPr>
    </w:p>
    <w:p w14:paraId="2F5E85D2" w14:textId="77777777" w:rsidR="007F59F0" w:rsidRPr="007F59F0" w:rsidRDefault="007F59F0" w:rsidP="007F59F0">
      <w:pPr>
        <w:pStyle w:val="ListParagraph"/>
        <w:shd w:val="clear" w:color="auto" w:fill="FFFFFF"/>
        <w:spacing w:before="120" w:after="0" w:line="240" w:lineRule="auto"/>
        <w:ind w:left="0" w:right="27" w:hanging="426"/>
        <w:jc w:val="right"/>
        <w:rPr>
          <w:rFonts w:ascii="Times New Roman" w:hAnsi="Times New Roman"/>
          <w:i/>
          <w:iCs/>
          <w:sz w:val="24"/>
          <w:szCs w:val="24"/>
          <w:lang w:val="nl-NL"/>
        </w:rPr>
      </w:pPr>
      <w:r w:rsidRPr="007F59F0">
        <w:rPr>
          <w:rFonts w:ascii="Times New Roman" w:hAnsi="Times New Roman"/>
          <w:i/>
          <w:iCs/>
          <w:color w:val="000000"/>
          <w:sz w:val="24"/>
          <w:szCs w:val="24"/>
          <w:lang w:val="nl-NL"/>
        </w:rPr>
        <w:t>Nguồn: GSO</w:t>
      </w:r>
    </w:p>
    <w:p w14:paraId="58409484" w14:textId="77777777" w:rsidR="007F59F0" w:rsidRPr="007F59F0" w:rsidRDefault="007F59F0" w:rsidP="007F59F0">
      <w:pPr>
        <w:shd w:val="clear" w:color="auto" w:fill="FFFFFF"/>
        <w:spacing w:before="120" w:line="240" w:lineRule="auto"/>
        <w:jc w:val="both"/>
        <w:rPr>
          <w:rFonts w:ascii="Times New Roman" w:hAnsi="Times New Roman"/>
          <w:b/>
          <w:bCs/>
          <w:sz w:val="24"/>
          <w:szCs w:val="24"/>
          <w:lang w:val="nl-NL"/>
        </w:rPr>
      </w:pPr>
      <w:r w:rsidRPr="007F59F0">
        <w:rPr>
          <w:rFonts w:ascii="Times New Roman" w:hAnsi="Times New Roman"/>
          <w:b/>
          <w:bCs/>
          <w:color w:val="000000"/>
          <w:sz w:val="24"/>
          <w:szCs w:val="24"/>
          <w:lang w:val="nl-NL"/>
        </w:rPr>
        <w:t>Thị trường chứng khoán:</w:t>
      </w:r>
      <w:r w:rsidRPr="007F59F0">
        <w:rPr>
          <w:rFonts w:ascii="Times New Roman" w:hAnsi="Times New Roman"/>
          <w:color w:val="000000"/>
          <w:sz w:val="24"/>
          <w:szCs w:val="24"/>
          <w:lang w:val="nl-NL"/>
        </w:rPr>
        <w:t xml:space="preserve"> </w:t>
      </w:r>
    </w:p>
    <w:p w14:paraId="408E73E1" w14:textId="77777777" w:rsidR="007F59F0" w:rsidRPr="007F59F0" w:rsidRDefault="007F59F0" w:rsidP="007F59F0">
      <w:pPr>
        <w:shd w:val="clear" w:color="auto" w:fill="FFFFFF"/>
        <w:tabs>
          <w:tab w:val="left" w:pos="0"/>
        </w:tabs>
        <w:spacing w:before="120"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t>Chỉ số chứng khoán VN-Index chính thức khép lại năm 2021 với mốc 1.498,28 điểm, tăng gần 395 điểm (+36%) trong vòng 1 năm. Đến nay quy mô thị trường chứng khoán xấp xỉ 123% GDP, với 52 doanh nghiệp niêm yết lọt vào "câu lạc bộ" vốn hóa tỉ USD.</w:t>
      </w:r>
    </w:p>
    <w:p w14:paraId="3400561B" w14:textId="77777777" w:rsidR="007F59F0" w:rsidRPr="007F59F0" w:rsidRDefault="007F59F0" w:rsidP="007F59F0">
      <w:pPr>
        <w:shd w:val="clear" w:color="auto" w:fill="FFFFFF"/>
        <w:tabs>
          <w:tab w:val="left" w:pos="0"/>
        </w:tabs>
        <w:spacing w:before="120"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t>Năm 2021, thị trường chứng khoán Việt Nam đã đạt những thành quả nhất định, tăng trưởng mạnh mẽ về quy mô và thanh khoản, khẳng định vị trí, vai trò là kênh huy động vốn quan trọng của nền kinh tế.</w:t>
      </w:r>
    </w:p>
    <w:p w14:paraId="0BF41BB5" w14:textId="77777777" w:rsidR="007F59F0" w:rsidRPr="007F59F0" w:rsidRDefault="007F59F0" w:rsidP="007F59F0">
      <w:pPr>
        <w:shd w:val="clear" w:color="auto" w:fill="FFFFFF"/>
        <w:tabs>
          <w:tab w:val="left" w:pos="0"/>
        </w:tabs>
        <w:spacing w:before="120"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t xml:space="preserve">Cụ thể, thị trường cổ phiếu đạt mức vốn hóa hơn 7,7 triệu tỉ đồng (tính đến ngày 28-12), tăng 46% so với cuối năm trước, tương đương 122,8% GDP năm 2020. </w:t>
      </w:r>
    </w:p>
    <w:p w14:paraId="2ED7B6B0" w14:textId="77777777" w:rsidR="007F59F0" w:rsidRPr="007F59F0" w:rsidRDefault="007F59F0" w:rsidP="007F59F0">
      <w:pPr>
        <w:shd w:val="clear" w:color="auto" w:fill="FFFFFF"/>
        <w:tabs>
          <w:tab w:val="left" w:pos="0"/>
        </w:tabs>
        <w:spacing w:before="120" w:line="240" w:lineRule="auto"/>
        <w:jc w:val="both"/>
        <w:rPr>
          <w:rFonts w:ascii="Times New Roman" w:hAnsi="Times New Roman"/>
          <w:sz w:val="24"/>
          <w:szCs w:val="24"/>
          <w:lang w:val="nl-NL"/>
        </w:rPr>
      </w:pPr>
      <w:r w:rsidRPr="007F59F0">
        <w:rPr>
          <w:rFonts w:ascii="Times New Roman" w:hAnsi="Times New Roman"/>
          <w:color w:val="000000"/>
          <w:sz w:val="24"/>
          <w:szCs w:val="24"/>
          <w:lang w:val="nl-NL"/>
        </w:rPr>
        <w:t>Bên cạnh đó, thanh khoản trên thị trường cổ phiếu cũng tiếp tục bùng nổ và tăng mạnh nhờ dòng tiền của các nhà đầu tư trong nước dẫn dắt thị trường. Từ giá trị giao dịch bình quân đạt mức 19.000 tỉ đồng/phiên trong tháng đầu năm, thanh khoản thị trường cổ phiếu đã gia tăng nhanh chóng và liên tục qua các tháng và đến tháng 11 đạt mức 40.000 tỉ đồng/phiên.</w:t>
      </w:r>
    </w:p>
    <w:p w14:paraId="24883FCD" w14:textId="77777777" w:rsidR="007F59F0" w:rsidRPr="007F59F0" w:rsidRDefault="007F59F0" w:rsidP="007F59F0">
      <w:pPr>
        <w:shd w:val="clear" w:color="auto" w:fill="FFFFFF"/>
        <w:spacing w:before="120" w:line="240" w:lineRule="auto"/>
        <w:ind w:left="142" w:hanging="142"/>
        <w:jc w:val="both"/>
        <w:rPr>
          <w:rFonts w:ascii="Times New Roman" w:hAnsi="Times New Roman"/>
          <w:b/>
          <w:bCs/>
          <w:sz w:val="24"/>
          <w:szCs w:val="24"/>
          <w:lang w:val="nl-NL"/>
        </w:rPr>
      </w:pPr>
      <w:r w:rsidRPr="007F59F0">
        <w:rPr>
          <w:rFonts w:ascii="Times New Roman" w:hAnsi="Times New Roman"/>
          <w:b/>
          <w:bCs/>
          <w:color w:val="000000"/>
          <w:sz w:val="24"/>
          <w:szCs w:val="24"/>
          <w:lang w:val="nl-NL"/>
        </w:rPr>
        <w:t>Thị trường trái phiếu</w:t>
      </w:r>
    </w:p>
    <w:p w14:paraId="1A04685A" w14:textId="77777777" w:rsidR="007F59F0" w:rsidRPr="007F59F0" w:rsidRDefault="007F59F0" w:rsidP="007F59F0">
      <w:pPr>
        <w:pStyle w:val="Default"/>
        <w:jc w:val="both"/>
        <w:rPr>
          <w:rFonts w:ascii="Times New Roman" w:hAnsi="Times New Roman" w:cs="Times New Roman"/>
          <w:lang w:val="nl-NL"/>
        </w:rPr>
      </w:pPr>
      <w:r w:rsidRPr="007F59F0">
        <w:rPr>
          <w:rFonts w:ascii="Times New Roman" w:hAnsi="Times New Roman" w:cs="Times New Roman"/>
          <w:lang w:val="nl-NL"/>
        </w:rPr>
        <w:t xml:space="preserve">Năm 2021 tiếp tục là một năm phát hành thành công của Kho Bạc Nhà nước trên thị trường trái phiếu Chính phủ sơ cấp. Khối lượng phát hành tương đương năm trước và gần hoàn thành kế hoạch năm. </w:t>
      </w:r>
      <w:r w:rsidRPr="007F59F0">
        <w:rPr>
          <w:rFonts w:ascii="Times New Roman" w:hAnsi="Times New Roman" w:cs="Times New Roman"/>
          <w:lang w:val="nl-NL"/>
        </w:rPr>
        <w:lastRenderedPageBreak/>
        <w:t xml:space="preserve">Trên thị trường thứ cấp, lãi suất tất cả các kỳ hạn dao động trong biên độ hẹp khoảng 20-40bps đối với mỗi kỳ hạn, trước khi giảm mạnh và tạo đáy vào tháng 8/2021. Mặc dù sau đó lãi suất trái phiếu có phục hồi tuy nhiên nhìn chung xu hướng chính vẫn là xu hướng giảm. </w:t>
      </w:r>
    </w:p>
    <w:p w14:paraId="3624061C" w14:textId="77777777" w:rsidR="007F59F0" w:rsidRPr="007F59F0" w:rsidRDefault="007F59F0" w:rsidP="007F59F0">
      <w:pPr>
        <w:pStyle w:val="Default"/>
        <w:jc w:val="both"/>
        <w:rPr>
          <w:rFonts w:ascii="Times New Roman" w:hAnsi="Times New Roman" w:cs="Times New Roman"/>
          <w:b/>
          <w:bCs/>
          <w:i/>
          <w:iCs/>
          <w:lang w:val="nl-NL"/>
        </w:rPr>
      </w:pPr>
      <w:r w:rsidRPr="007F59F0">
        <w:rPr>
          <w:rFonts w:ascii="Times New Roman" w:hAnsi="Times New Roman" w:cs="Times New Roman"/>
          <w:b/>
          <w:bCs/>
          <w:i/>
          <w:iCs/>
          <w:lang w:val="nl-NL"/>
        </w:rPr>
        <w:t xml:space="preserve">Một số điểm nổi bật trong năm 2021 như sau: </w:t>
      </w:r>
    </w:p>
    <w:p w14:paraId="1F0B299B" w14:textId="77777777" w:rsidR="007F59F0" w:rsidRPr="007F59F0" w:rsidRDefault="007F59F0" w:rsidP="007F59F0">
      <w:pPr>
        <w:pStyle w:val="Default"/>
        <w:numPr>
          <w:ilvl w:val="0"/>
          <w:numId w:val="11"/>
        </w:numPr>
        <w:spacing w:before="120"/>
        <w:jc w:val="both"/>
        <w:rPr>
          <w:rFonts w:ascii="Times New Roman" w:eastAsia="Times New Roman" w:hAnsi="Times New Roman" w:cs="Times New Roman"/>
          <w:lang w:val="nl-NL"/>
        </w:rPr>
      </w:pPr>
      <w:r w:rsidRPr="007F59F0">
        <w:rPr>
          <w:rFonts w:ascii="Times New Roman" w:eastAsia="Times New Roman" w:hAnsi="Times New Roman" w:cs="Times New Roman"/>
          <w:lang w:val="nl-NL"/>
        </w:rPr>
        <w:t xml:space="preserve">Khối lượng phát hành: Tổng khối lượng phát hành TPCP trong năm 2021 đạt 318.213 tỷ đồng, hoàn thành 98,15% so với kế hoạch sau điều chỉnh (324.000 tỷ đồng) và xấp xỉ các năm trước. Tổng khối lượng phát hành trái phiếu VDB và VBS lần lượt là 10.500 tỷ đồng và 11.024 tỷ đồng. </w:t>
      </w:r>
    </w:p>
    <w:p w14:paraId="0A47D316" w14:textId="77777777" w:rsidR="007F59F0" w:rsidRPr="007F59F0" w:rsidRDefault="007F59F0" w:rsidP="007F59F0">
      <w:pPr>
        <w:pStyle w:val="Default"/>
        <w:numPr>
          <w:ilvl w:val="0"/>
          <w:numId w:val="11"/>
        </w:numPr>
        <w:spacing w:before="120"/>
        <w:jc w:val="both"/>
        <w:rPr>
          <w:rFonts w:ascii="Times New Roman" w:eastAsia="Times New Roman" w:hAnsi="Times New Roman" w:cs="Times New Roman"/>
          <w:lang w:val="nl-NL"/>
        </w:rPr>
      </w:pPr>
      <w:r w:rsidRPr="007F59F0">
        <w:rPr>
          <w:rFonts w:ascii="Times New Roman" w:eastAsia="Times New Roman" w:hAnsi="Times New Roman" w:cs="Times New Roman"/>
          <w:lang w:val="nl-NL"/>
        </w:rPr>
        <w:t xml:space="preserve">Trong năm 2021, không có địa phương nào phát hành Trái phiếu Chính quyền địa phương. </w:t>
      </w:r>
    </w:p>
    <w:p w14:paraId="0079BA2E" w14:textId="77777777" w:rsidR="007F59F0" w:rsidRPr="007F59F0" w:rsidRDefault="007F59F0" w:rsidP="007F59F0">
      <w:pPr>
        <w:pStyle w:val="Default"/>
        <w:numPr>
          <w:ilvl w:val="0"/>
          <w:numId w:val="11"/>
        </w:numPr>
        <w:spacing w:before="120"/>
        <w:jc w:val="both"/>
        <w:rPr>
          <w:rFonts w:ascii="Times New Roman" w:eastAsia="Times New Roman" w:hAnsi="Times New Roman" w:cs="Times New Roman"/>
          <w:lang w:val="nl-NL"/>
        </w:rPr>
      </w:pPr>
      <w:r w:rsidRPr="007F59F0">
        <w:rPr>
          <w:rFonts w:ascii="Times New Roman" w:eastAsia="Times New Roman" w:hAnsi="Times New Roman" w:cs="Times New Roman"/>
          <w:lang w:val="nl-NL"/>
        </w:rPr>
        <w:t xml:space="preserve">Lãi suất phát hành: Lãi suất phát hành ở tất cả các kỳ hạn nhìn chung dao động trong biên độ hẹp, đặc biệt gần như đi ngang đối với kỳ hạn 20 năm và 30 năm (biên độ khoảng 15bps). Diễn biến lãi suất trúng thầu tương đồng với diễn biến lãi suất giao dịch trên thị trường thứ cấp. Lãi suất phát hành bình quân trong năm 2021 là 2,30% (giảm mạnh khoảng 53bps từ mức 2,83% của năm trước nhưng ít hơn nhiều so với mức giảm của năm 2020 so với năm 2019 là 177bps). </w:t>
      </w:r>
    </w:p>
    <w:p w14:paraId="58E81940" w14:textId="77777777" w:rsidR="007F59F0" w:rsidRPr="007F59F0" w:rsidRDefault="007F59F0" w:rsidP="007F59F0">
      <w:pPr>
        <w:pStyle w:val="Default"/>
        <w:numPr>
          <w:ilvl w:val="0"/>
          <w:numId w:val="11"/>
        </w:numPr>
        <w:spacing w:before="120"/>
        <w:jc w:val="both"/>
        <w:rPr>
          <w:rFonts w:ascii="Times New Roman" w:eastAsia="Times New Roman" w:hAnsi="Times New Roman" w:cs="Times New Roman"/>
          <w:lang w:val="nl-NL"/>
        </w:rPr>
      </w:pPr>
      <w:r w:rsidRPr="007F59F0">
        <w:rPr>
          <w:rFonts w:ascii="Times New Roman" w:eastAsia="Times New Roman" w:hAnsi="Times New Roman" w:cs="Times New Roman"/>
          <w:lang w:val="nl-NL"/>
        </w:rPr>
        <w:t xml:space="preserve">Lợi suất giao dịch: Biến động lợi suất giao dịch trái phiếu Chính phủ trong năm 2021 chia thành 3 giai đoạn chính. Lợi suất có sự phân hóa sau đà giảm kể từ cuối năm 2020 đến hết quý I năm 2021, trong đó lợi suất các kỳ hạn dài từ 10 năm trở lên chứng kiến sự suy giảm nhẹ trong khi các kỳ hạn ngắn hơn có thời điểm tăng mạnh. </w:t>
      </w:r>
    </w:p>
    <w:p w14:paraId="5B1DA256" w14:textId="77777777" w:rsidR="007F59F0" w:rsidRPr="007F59F0" w:rsidRDefault="007F59F0" w:rsidP="007F59F0">
      <w:pPr>
        <w:pStyle w:val="Default"/>
        <w:numPr>
          <w:ilvl w:val="0"/>
          <w:numId w:val="11"/>
        </w:numPr>
        <w:spacing w:before="120"/>
        <w:jc w:val="both"/>
        <w:rPr>
          <w:rFonts w:ascii="Times New Roman" w:eastAsia="Times New Roman" w:hAnsi="Times New Roman" w:cs="Times New Roman"/>
          <w:lang w:val="nl-NL"/>
        </w:rPr>
      </w:pPr>
      <w:r w:rsidRPr="007F59F0">
        <w:rPr>
          <w:rFonts w:ascii="Times New Roman" w:eastAsia="Times New Roman" w:hAnsi="Times New Roman" w:cs="Times New Roman"/>
          <w:lang w:val="nl-NL"/>
        </w:rPr>
        <w:t xml:space="preserve">Thanh khoản: Giá trị giao dịch outright trên thị trường thứ cấp trong năm 2021 đạt 1.877.280 tỷ đồng, tương ứng tăng 11,74% so với năm 2020 (đạt 1.680.034 tỷ đồng). Giá trị bình quân một phiên đạt 7.193 tỷ đồng (năm 2020 là 6.412 tỷ đồng). Tổng khối lượng giao dịch repo trong năm 2021 đạt 866.908 tỷ đồng, giảm 4,53% so với năm 2020 (đạt 908.014 tỷ đồng). </w:t>
      </w:r>
    </w:p>
    <w:p w14:paraId="1AE9ACBD" w14:textId="77777777" w:rsidR="007F59F0" w:rsidRPr="007F59F0" w:rsidRDefault="007F59F0" w:rsidP="007F59F0">
      <w:pPr>
        <w:pStyle w:val="Default"/>
        <w:numPr>
          <w:ilvl w:val="0"/>
          <w:numId w:val="11"/>
        </w:numPr>
        <w:spacing w:before="120"/>
        <w:jc w:val="both"/>
        <w:rPr>
          <w:rFonts w:ascii="Times New Roman" w:eastAsia="Times New Roman" w:hAnsi="Times New Roman" w:cs="Times New Roman"/>
          <w:lang w:val="nl-NL"/>
        </w:rPr>
      </w:pPr>
      <w:r w:rsidRPr="007F59F0">
        <w:rPr>
          <w:rFonts w:ascii="Times New Roman" w:eastAsia="Times New Roman" w:hAnsi="Times New Roman" w:cs="Times New Roman"/>
          <w:lang w:val="nl-NL"/>
        </w:rPr>
        <w:t xml:space="preserve">Quy mô niêm yết ổn định: tổng khối lượng trái phiếu các loại đáo hạn là 193.827 tỷ đồng, tăng 44,21% so với với năm 2020 (134.406 tỷ đồng). Giá trị niêm yết tại 31/12/2021 đạt 1.368 nghìn tỷ đồng tăng 20,4% so với cuối năm 2020 (tương đương ~21,29% GDP). </w:t>
      </w:r>
    </w:p>
    <w:p w14:paraId="514E86E4" w14:textId="2723EA1E" w:rsidR="00A536DF" w:rsidRPr="007F59F0" w:rsidRDefault="007F59F0" w:rsidP="007F59F0">
      <w:pPr>
        <w:pStyle w:val="Default"/>
        <w:numPr>
          <w:ilvl w:val="0"/>
          <w:numId w:val="11"/>
        </w:numPr>
        <w:spacing w:before="120"/>
        <w:jc w:val="both"/>
        <w:rPr>
          <w:rFonts w:ascii="Times New Roman" w:eastAsia="Times New Roman" w:hAnsi="Times New Roman" w:cs="Times New Roman"/>
          <w:lang w:val="nl-NL"/>
        </w:rPr>
      </w:pPr>
      <w:r w:rsidRPr="007F59F0">
        <w:rPr>
          <w:rFonts w:ascii="Times New Roman" w:eastAsia="Times New Roman" w:hAnsi="Times New Roman" w:cs="Times New Roman"/>
          <w:lang w:val="nl-NL"/>
        </w:rPr>
        <w:t xml:space="preserve">Kỳ hạn niêm yết bình quân: Kỳ hạn niêm yết bình quân đạt 13,85 năm (năm 2020 là 12,45 năm). </w:t>
      </w:r>
    </w:p>
    <w:p w14:paraId="4C99AF5F" w14:textId="77777777" w:rsidR="001C4468" w:rsidRPr="00F2683A"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b/>
          <w:sz w:val="24"/>
          <w:szCs w:val="24"/>
          <w:lang w:val="nl-NL"/>
        </w:rPr>
        <w:t xml:space="preserve">IV. </w:t>
      </w:r>
      <w:r w:rsidR="008978F2">
        <w:rPr>
          <w:rFonts w:ascii="Times New Roman" w:hAnsi="Times New Roman"/>
          <w:b/>
          <w:sz w:val="24"/>
          <w:szCs w:val="24"/>
          <w:lang w:val="nl-NL"/>
        </w:rPr>
        <w:tab/>
      </w:r>
      <w:r w:rsidRPr="00F2683A">
        <w:rPr>
          <w:rFonts w:ascii="Times New Roman" w:hAnsi="Times New Roman"/>
          <w:b/>
          <w:sz w:val="24"/>
          <w:szCs w:val="24"/>
          <w:lang w:val="nl-NL"/>
        </w:rPr>
        <w:t>C</w:t>
      </w:r>
      <w:r w:rsidR="00846481">
        <w:rPr>
          <w:rFonts w:ascii="Times New Roman" w:hAnsi="Times New Roman"/>
          <w:b/>
          <w:sz w:val="24"/>
          <w:szCs w:val="24"/>
          <w:lang w:val="nl-NL"/>
        </w:rPr>
        <w:t>HI TIẾT CÁC CHỈ TIÊU HOẠT ĐỘNG CỦA QUỸ</w:t>
      </w:r>
    </w:p>
    <w:p w14:paraId="3EE9A17C" w14:textId="77777777" w:rsidR="001C4468"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978F2">
        <w:rPr>
          <w:rFonts w:ascii="Times New Roman" w:hAnsi="Times New Roman"/>
          <w:b/>
          <w:sz w:val="24"/>
          <w:szCs w:val="24"/>
          <w:lang w:val="nl-NL"/>
        </w:rPr>
        <w:t>Số liệu chi tiết hoạt động của Quỹ</w:t>
      </w:r>
    </w:p>
    <w:p w14:paraId="23E4E0F3" w14:textId="77777777" w:rsidR="005B3B10" w:rsidRPr="008978F2" w:rsidRDefault="005B3B10" w:rsidP="005B3B10">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10008" w:type="dxa"/>
        <w:tblLook w:val="04A0" w:firstRow="1" w:lastRow="0" w:firstColumn="1" w:lastColumn="0" w:noHBand="0" w:noVBand="1"/>
      </w:tblPr>
      <w:tblGrid>
        <w:gridCol w:w="4968"/>
        <w:gridCol w:w="1620"/>
        <w:gridCol w:w="1800"/>
        <w:gridCol w:w="1620"/>
      </w:tblGrid>
      <w:tr w:rsidR="008978F2" w:rsidRPr="00031ABF" w14:paraId="627CE1D1" w14:textId="77777777" w:rsidTr="007244FA">
        <w:tc>
          <w:tcPr>
            <w:tcW w:w="4968" w:type="dxa"/>
          </w:tcPr>
          <w:p w14:paraId="1E968805" w14:textId="77777777" w:rsidR="008978F2" w:rsidRPr="00E30624" w:rsidRDefault="008978F2" w:rsidP="008978F2">
            <w:pPr>
              <w:tabs>
                <w:tab w:val="left" w:pos="540"/>
              </w:tabs>
              <w:spacing w:before="120"/>
              <w:jc w:val="center"/>
              <w:rPr>
                <w:rFonts w:ascii="Times New Roman" w:hAnsi="Times New Roman"/>
                <w:b/>
                <w:sz w:val="24"/>
                <w:szCs w:val="24"/>
                <w:lang w:val="nl-NL"/>
              </w:rPr>
            </w:pPr>
            <w:r w:rsidRPr="00E30624">
              <w:rPr>
                <w:rFonts w:ascii="Times New Roman" w:hAnsi="Times New Roman"/>
                <w:b/>
                <w:sz w:val="24"/>
                <w:szCs w:val="24"/>
                <w:lang w:val="nl-NL"/>
              </w:rPr>
              <w:t>Chỉ tiêu</w:t>
            </w:r>
          </w:p>
        </w:tc>
        <w:tc>
          <w:tcPr>
            <w:tcW w:w="1620" w:type="dxa"/>
          </w:tcPr>
          <w:p w14:paraId="0FECF512" w14:textId="77777777"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1 năm đến thời điểm báo cáo (%)</w:t>
            </w:r>
          </w:p>
        </w:tc>
        <w:tc>
          <w:tcPr>
            <w:tcW w:w="1800" w:type="dxa"/>
          </w:tcPr>
          <w:p w14:paraId="1082716F" w14:textId="77777777"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3 năm gần nhất tính đến thời điểm báo cáo (%)</w:t>
            </w:r>
          </w:p>
        </w:tc>
        <w:tc>
          <w:tcPr>
            <w:tcW w:w="1620" w:type="dxa"/>
          </w:tcPr>
          <w:p w14:paraId="77466425" w14:textId="77777777"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Từ khi thành lập đến thời điểm báo cáo (%)</w:t>
            </w:r>
          </w:p>
        </w:tc>
      </w:tr>
      <w:tr w:rsidR="001A5984" w14:paraId="367F74B3" w14:textId="77777777" w:rsidTr="00CB2A8C">
        <w:tc>
          <w:tcPr>
            <w:tcW w:w="4968" w:type="dxa"/>
            <w:vAlign w:val="center"/>
          </w:tcPr>
          <w:p w14:paraId="6BEFEADC"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A</w:t>
            </w:r>
          </w:p>
        </w:tc>
        <w:tc>
          <w:tcPr>
            <w:tcW w:w="1620" w:type="dxa"/>
            <w:vAlign w:val="center"/>
          </w:tcPr>
          <w:p w14:paraId="6E11F540"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1</w:t>
            </w:r>
          </w:p>
        </w:tc>
        <w:tc>
          <w:tcPr>
            <w:tcW w:w="1800" w:type="dxa"/>
            <w:vAlign w:val="center"/>
          </w:tcPr>
          <w:p w14:paraId="41FA97DA"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2</w:t>
            </w:r>
          </w:p>
        </w:tc>
        <w:tc>
          <w:tcPr>
            <w:tcW w:w="1620" w:type="dxa"/>
            <w:vAlign w:val="center"/>
          </w:tcPr>
          <w:p w14:paraId="45A06CEC"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3</w:t>
            </w:r>
          </w:p>
        </w:tc>
      </w:tr>
      <w:tr w:rsidR="00E26067" w14:paraId="0921D3B2" w14:textId="77777777" w:rsidTr="00CB2A8C">
        <w:tc>
          <w:tcPr>
            <w:tcW w:w="4968" w:type="dxa"/>
            <w:vAlign w:val="center"/>
          </w:tcPr>
          <w:p w14:paraId="52ACBE22" w14:textId="77777777" w:rsidR="00E26067" w:rsidRPr="00E30624" w:rsidRDefault="00E26067" w:rsidP="00E26067">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Tăng trưởng thu nhập/1 đơn vị CCQ</w:t>
            </w:r>
          </w:p>
        </w:tc>
        <w:tc>
          <w:tcPr>
            <w:tcW w:w="1620" w:type="dxa"/>
            <w:vAlign w:val="center"/>
          </w:tcPr>
          <w:p w14:paraId="480706A7" w14:textId="7C917A74" w:rsidR="00E26067" w:rsidRPr="00E30624" w:rsidRDefault="005C49FE"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3,92</w:t>
            </w:r>
          </w:p>
        </w:tc>
        <w:tc>
          <w:tcPr>
            <w:tcW w:w="1800" w:type="dxa"/>
            <w:vAlign w:val="center"/>
          </w:tcPr>
          <w:p w14:paraId="50970883" w14:textId="77777777" w:rsidR="00E26067" w:rsidRPr="00E30624" w:rsidRDefault="00E26067" w:rsidP="00E26067">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w:t>
            </w:r>
          </w:p>
        </w:tc>
        <w:tc>
          <w:tcPr>
            <w:tcW w:w="1620" w:type="dxa"/>
            <w:vAlign w:val="center"/>
          </w:tcPr>
          <w:p w14:paraId="4D2E6D3E" w14:textId="6764E67A" w:rsidR="00E26067" w:rsidRPr="00382AD3" w:rsidRDefault="005C49FE"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19,82</w:t>
            </w:r>
          </w:p>
        </w:tc>
      </w:tr>
      <w:tr w:rsidR="00CB2A8C" w14:paraId="202EDC1D" w14:textId="77777777" w:rsidTr="00CB2A8C">
        <w:tc>
          <w:tcPr>
            <w:tcW w:w="4968" w:type="dxa"/>
            <w:vAlign w:val="center"/>
          </w:tcPr>
          <w:p w14:paraId="71C303EA" w14:textId="77777777" w:rsidR="00CB2A8C" w:rsidRPr="00E30624" w:rsidRDefault="00CB2A8C" w:rsidP="00CB2A8C">
            <w:pPr>
              <w:tabs>
                <w:tab w:val="left" w:pos="540"/>
              </w:tabs>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Tăng trưởng v</w:t>
            </w:r>
            <w:r w:rsidRPr="00E30624">
              <w:rPr>
                <w:rFonts w:ascii="Times New Roman" w:eastAsia="Times New Roman" w:hAnsi="Times New Roman"/>
                <w:sz w:val="24"/>
                <w:szCs w:val="24"/>
                <w:lang w:val="nl-NL"/>
              </w:rPr>
              <w:t>ốn/1 đơn vị CCQ</w:t>
            </w:r>
          </w:p>
        </w:tc>
        <w:tc>
          <w:tcPr>
            <w:tcW w:w="1620" w:type="dxa"/>
            <w:vAlign w:val="center"/>
          </w:tcPr>
          <w:p w14:paraId="617A274F" w14:textId="77777777" w:rsidR="00CB2A8C" w:rsidRDefault="00CB2A8C" w:rsidP="00CB2A8C">
            <w:pPr>
              <w:jc w:val="center"/>
            </w:pPr>
            <w:r w:rsidRPr="000F6A7C">
              <w:rPr>
                <w:rFonts w:ascii="Times New Roman" w:eastAsia="Times New Roman" w:hAnsi="Times New Roman"/>
                <w:sz w:val="24"/>
                <w:szCs w:val="24"/>
                <w:lang w:val="nl-NL"/>
              </w:rPr>
              <w:t>0,00</w:t>
            </w:r>
          </w:p>
        </w:tc>
        <w:tc>
          <w:tcPr>
            <w:tcW w:w="1800" w:type="dxa"/>
            <w:vAlign w:val="center"/>
          </w:tcPr>
          <w:p w14:paraId="2642F2EB" w14:textId="77777777" w:rsidR="00CB2A8C" w:rsidRDefault="00CB2A8C" w:rsidP="00CB2A8C">
            <w:pPr>
              <w:jc w:val="center"/>
            </w:pPr>
            <w:r>
              <w:rPr>
                <w:rFonts w:ascii="Times New Roman" w:eastAsia="Times New Roman" w:hAnsi="Times New Roman"/>
                <w:sz w:val="24"/>
                <w:szCs w:val="24"/>
                <w:lang w:val="nl-NL"/>
              </w:rPr>
              <w:t>N/A</w:t>
            </w:r>
          </w:p>
        </w:tc>
        <w:tc>
          <w:tcPr>
            <w:tcW w:w="1620" w:type="dxa"/>
            <w:vAlign w:val="center"/>
          </w:tcPr>
          <w:p w14:paraId="716DE674" w14:textId="77777777" w:rsidR="00CB2A8C" w:rsidRPr="00382AD3" w:rsidRDefault="00CB2A8C" w:rsidP="00CB2A8C">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0,00</w:t>
            </w:r>
          </w:p>
        </w:tc>
      </w:tr>
      <w:tr w:rsidR="005C49FE" w14:paraId="7FEA3CF8" w14:textId="77777777" w:rsidTr="00CB2A8C">
        <w:tc>
          <w:tcPr>
            <w:tcW w:w="4968" w:type="dxa"/>
            <w:vAlign w:val="center"/>
          </w:tcPr>
          <w:p w14:paraId="40BF14A2" w14:textId="77777777" w:rsidR="005C49FE" w:rsidRPr="00E30624" w:rsidRDefault="005C49FE" w:rsidP="005C49FE">
            <w:pPr>
              <w:tabs>
                <w:tab w:val="left" w:pos="540"/>
              </w:tabs>
              <w:spacing w:before="120"/>
              <w:jc w:val="both"/>
              <w:rPr>
                <w:rFonts w:ascii="Times New Roman" w:eastAsia="Times New Roman" w:hAnsi="Times New Roman"/>
                <w:b/>
                <w:sz w:val="24"/>
                <w:szCs w:val="24"/>
                <w:lang w:val="nl-NL"/>
              </w:rPr>
            </w:pPr>
            <w:r w:rsidRPr="00E30624">
              <w:rPr>
                <w:rFonts w:ascii="Times New Roman" w:eastAsia="Times New Roman" w:hAnsi="Times New Roman"/>
                <w:b/>
                <w:sz w:val="24"/>
                <w:szCs w:val="24"/>
                <w:lang w:val="nl-NL"/>
              </w:rPr>
              <w:t>Tổng tăng trưởng/1 đơn vị CCQ</w:t>
            </w:r>
          </w:p>
        </w:tc>
        <w:tc>
          <w:tcPr>
            <w:tcW w:w="1620" w:type="dxa"/>
            <w:vAlign w:val="center"/>
          </w:tcPr>
          <w:p w14:paraId="7D876B5B" w14:textId="5E55A499" w:rsidR="005C49FE" w:rsidRPr="005C49FE" w:rsidRDefault="005C49FE" w:rsidP="005C49FE">
            <w:pPr>
              <w:tabs>
                <w:tab w:val="left" w:pos="540"/>
              </w:tabs>
              <w:spacing w:before="120"/>
              <w:jc w:val="center"/>
              <w:rPr>
                <w:rFonts w:ascii="Times New Roman" w:eastAsia="Times New Roman" w:hAnsi="Times New Roman"/>
                <w:b/>
                <w:bCs/>
                <w:sz w:val="24"/>
                <w:szCs w:val="24"/>
                <w:lang w:val="nl-NL"/>
              </w:rPr>
            </w:pPr>
            <w:r w:rsidRPr="005C49FE">
              <w:rPr>
                <w:rFonts w:ascii="Times New Roman" w:eastAsia="Times New Roman" w:hAnsi="Times New Roman"/>
                <w:b/>
                <w:bCs/>
                <w:sz w:val="24"/>
                <w:szCs w:val="24"/>
                <w:lang w:val="nl-NL"/>
              </w:rPr>
              <w:t>3,92</w:t>
            </w:r>
          </w:p>
        </w:tc>
        <w:tc>
          <w:tcPr>
            <w:tcW w:w="1800" w:type="dxa"/>
            <w:vAlign w:val="center"/>
          </w:tcPr>
          <w:p w14:paraId="4F2E8076" w14:textId="6DF2502A" w:rsidR="005C49FE" w:rsidRPr="005C49FE" w:rsidRDefault="005C49FE" w:rsidP="005C49FE">
            <w:pPr>
              <w:tabs>
                <w:tab w:val="left" w:pos="540"/>
              </w:tabs>
              <w:spacing w:before="120"/>
              <w:jc w:val="center"/>
              <w:rPr>
                <w:rFonts w:ascii="Times New Roman" w:eastAsia="Times New Roman" w:hAnsi="Times New Roman"/>
                <w:b/>
                <w:bCs/>
                <w:sz w:val="24"/>
                <w:szCs w:val="24"/>
                <w:lang w:val="nl-NL"/>
              </w:rPr>
            </w:pPr>
            <w:r w:rsidRPr="005C49FE">
              <w:rPr>
                <w:rFonts w:ascii="Times New Roman" w:eastAsia="Times New Roman" w:hAnsi="Times New Roman"/>
                <w:b/>
                <w:bCs/>
                <w:sz w:val="24"/>
                <w:szCs w:val="24"/>
                <w:lang w:val="nl-NL"/>
              </w:rPr>
              <w:t>N/A</w:t>
            </w:r>
          </w:p>
        </w:tc>
        <w:tc>
          <w:tcPr>
            <w:tcW w:w="1620" w:type="dxa"/>
            <w:vAlign w:val="center"/>
          </w:tcPr>
          <w:p w14:paraId="46031931" w14:textId="31FEC461" w:rsidR="005C49FE" w:rsidRPr="005C49FE" w:rsidRDefault="005C49FE" w:rsidP="005C49FE">
            <w:pPr>
              <w:tabs>
                <w:tab w:val="left" w:pos="540"/>
              </w:tabs>
              <w:spacing w:before="120"/>
              <w:jc w:val="center"/>
              <w:rPr>
                <w:rFonts w:ascii="Times New Roman" w:eastAsia="Times New Roman" w:hAnsi="Times New Roman"/>
                <w:b/>
                <w:bCs/>
                <w:sz w:val="24"/>
                <w:szCs w:val="24"/>
                <w:lang w:val="nl-NL"/>
              </w:rPr>
            </w:pPr>
            <w:r w:rsidRPr="005C49FE">
              <w:rPr>
                <w:rFonts w:ascii="Times New Roman" w:eastAsia="Times New Roman" w:hAnsi="Times New Roman"/>
                <w:b/>
                <w:bCs/>
                <w:sz w:val="24"/>
                <w:szCs w:val="24"/>
                <w:lang w:val="nl-NL"/>
              </w:rPr>
              <w:t>19,82</w:t>
            </w:r>
          </w:p>
        </w:tc>
      </w:tr>
      <w:tr w:rsidR="00E26067" w14:paraId="045C641C" w14:textId="77777777" w:rsidTr="00CB2A8C">
        <w:tc>
          <w:tcPr>
            <w:tcW w:w="4968" w:type="dxa"/>
            <w:vAlign w:val="center"/>
          </w:tcPr>
          <w:p w14:paraId="583203EF" w14:textId="77777777" w:rsidR="00E26067" w:rsidRPr="00E30624" w:rsidRDefault="00E26067" w:rsidP="00E26067">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 xml:space="preserve">Tăng trưởng </w:t>
            </w:r>
            <w:r>
              <w:rPr>
                <w:rFonts w:ascii="Times New Roman" w:eastAsia="Times New Roman" w:hAnsi="Times New Roman"/>
                <w:sz w:val="24"/>
                <w:szCs w:val="24"/>
                <w:lang w:val="nl-NL"/>
              </w:rPr>
              <w:t xml:space="preserve">NAV </w:t>
            </w:r>
            <w:r w:rsidRPr="00E30624">
              <w:rPr>
                <w:rFonts w:ascii="Times New Roman" w:eastAsia="Times New Roman" w:hAnsi="Times New Roman"/>
                <w:sz w:val="24"/>
                <w:szCs w:val="24"/>
                <w:lang w:val="nl-NL"/>
              </w:rPr>
              <w:t>hàng năm (%)/1 đơn vị CCQ</w:t>
            </w:r>
          </w:p>
        </w:tc>
        <w:tc>
          <w:tcPr>
            <w:tcW w:w="1620" w:type="dxa"/>
            <w:vAlign w:val="center"/>
          </w:tcPr>
          <w:p w14:paraId="11CDBBD2" w14:textId="01EEF063" w:rsidR="00E26067" w:rsidRPr="00E30624" w:rsidRDefault="00F27755"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3,92</w:t>
            </w:r>
          </w:p>
        </w:tc>
        <w:tc>
          <w:tcPr>
            <w:tcW w:w="1800" w:type="dxa"/>
            <w:vAlign w:val="center"/>
          </w:tcPr>
          <w:p w14:paraId="1CAB3285" w14:textId="77777777" w:rsidR="00E26067" w:rsidRPr="00E30624" w:rsidRDefault="00E26067" w:rsidP="00E26067">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w:t>
            </w:r>
          </w:p>
        </w:tc>
        <w:tc>
          <w:tcPr>
            <w:tcW w:w="1620" w:type="dxa"/>
            <w:shd w:val="clear" w:color="auto" w:fill="auto"/>
            <w:vAlign w:val="center"/>
          </w:tcPr>
          <w:p w14:paraId="6EBDD9E0" w14:textId="2A96A26D" w:rsidR="00E26067" w:rsidRPr="00382AD3" w:rsidRDefault="00663880"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w:t>
            </w:r>
            <w:r w:rsidR="00F27755">
              <w:rPr>
                <w:rFonts w:ascii="Times New Roman" w:eastAsia="Times New Roman" w:hAnsi="Times New Roman"/>
                <w:sz w:val="24"/>
                <w:szCs w:val="24"/>
                <w:lang w:val="nl-NL"/>
              </w:rPr>
              <w:t>29</w:t>
            </w:r>
          </w:p>
        </w:tc>
      </w:tr>
      <w:tr w:rsidR="00A536DF" w14:paraId="46E6AAD8" w14:textId="77777777" w:rsidTr="00CB2A8C">
        <w:tc>
          <w:tcPr>
            <w:tcW w:w="4968" w:type="dxa"/>
            <w:vAlign w:val="center"/>
          </w:tcPr>
          <w:p w14:paraId="677931DA" w14:textId="77777777" w:rsidR="00A536DF" w:rsidRPr="00E30624" w:rsidRDefault="00A536DF" w:rsidP="00A536DF">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Tăng trưởng của danh mục cơ cấu</w:t>
            </w:r>
          </w:p>
        </w:tc>
        <w:tc>
          <w:tcPr>
            <w:tcW w:w="1620" w:type="dxa"/>
            <w:vAlign w:val="center"/>
          </w:tcPr>
          <w:p w14:paraId="2F7A746E" w14:textId="7777777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800" w:type="dxa"/>
            <w:vAlign w:val="center"/>
          </w:tcPr>
          <w:p w14:paraId="07D15996" w14:textId="7777777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620" w:type="dxa"/>
            <w:vAlign w:val="center"/>
          </w:tcPr>
          <w:p w14:paraId="056676C2" w14:textId="7777777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r>
      <w:tr w:rsidR="00A536DF" w14:paraId="49E107AC" w14:textId="77777777" w:rsidTr="00CB2A8C">
        <w:tc>
          <w:tcPr>
            <w:tcW w:w="4968" w:type="dxa"/>
            <w:vAlign w:val="center"/>
          </w:tcPr>
          <w:p w14:paraId="1A350D6B" w14:textId="77777777" w:rsidR="00A536DF" w:rsidRPr="00E30624" w:rsidRDefault="00A536DF" w:rsidP="00A536DF">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Thay đổi giá trị thị trường của 1 đơn vị CCQ</w:t>
            </w:r>
          </w:p>
        </w:tc>
        <w:tc>
          <w:tcPr>
            <w:tcW w:w="1620" w:type="dxa"/>
            <w:vAlign w:val="center"/>
          </w:tcPr>
          <w:p w14:paraId="00507966" w14:textId="7777777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800" w:type="dxa"/>
            <w:vAlign w:val="center"/>
          </w:tcPr>
          <w:p w14:paraId="2A4DE206" w14:textId="7777777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620" w:type="dxa"/>
            <w:vAlign w:val="center"/>
          </w:tcPr>
          <w:p w14:paraId="08E4BADB" w14:textId="7777777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r>
    </w:tbl>
    <w:p w14:paraId="13E57C5B" w14:textId="77777777" w:rsidR="00D034B8" w:rsidRPr="008978F2"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978F2">
        <w:rPr>
          <w:rFonts w:ascii="Times New Roman" w:hAnsi="Times New Roman"/>
          <w:b/>
          <w:i/>
          <w:sz w:val="24"/>
          <w:szCs w:val="24"/>
          <w:u w:val="single"/>
          <w:lang w:val="nl-NL"/>
        </w:rPr>
        <w:t xml:space="preserve">Ghi chú: </w:t>
      </w:r>
    </w:p>
    <w:p w14:paraId="65E07D35" w14:textId="77777777" w:rsidR="001C4468" w:rsidRPr="004F5C05" w:rsidRDefault="00D034B8" w:rsidP="004F5C05">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lastRenderedPageBreak/>
        <w:t xml:space="preserve">N/A: </w:t>
      </w:r>
      <w:r w:rsidRPr="004F5C05">
        <w:rPr>
          <w:rFonts w:ascii="Times New Roman" w:hAnsi="Times New Roman"/>
          <w:i/>
          <w:sz w:val="24"/>
          <w:szCs w:val="24"/>
          <w:lang w:val="nl-NL"/>
        </w:rPr>
        <w:tab/>
      </w:r>
      <w:r w:rsidRPr="004F5C05">
        <w:rPr>
          <w:rFonts w:ascii="Times New Roman" w:hAnsi="Times New Roman"/>
          <w:i/>
          <w:sz w:val="24"/>
          <w:szCs w:val="24"/>
          <w:lang w:val="nl-NL"/>
        </w:rPr>
        <w:tab/>
        <w:t>Quỹ mới thành lập và đi vào hoạt động từ ngày 03 tháng 04 năm 201</w:t>
      </w:r>
      <w:r w:rsidR="00CC754B" w:rsidRPr="004F5C05">
        <w:rPr>
          <w:rFonts w:ascii="Times New Roman" w:hAnsi="Times New Roman"/>
          <w:i/>
          <w:sz w:val="24"/>
          <w:szCs w:val="24"/>
          <w:lang w:val="nl-NL"/>
        </w:rPr>
        <w:t>9</w:t>
      </w:r>
      <w:r w:rsidRPr="004F5C05">
        <w:rPr>
          <w:rFonts w:ascii="Times New Roman" w:hAnsi="Times New Roman"/>
          <w:i/>
          <w:sz w:val="24"/>
          <w:szCs w:val="24"/>
          <w:lang w:val="nl-NL"/>
        </w:rPr>
        <w:t>, nên các chỉ tiêu không đủ dữ liệu để tính toán</w:t>
      </w:r>
      <w:r w:rsidR="00621E6D" w:rsidRPr="004F5C05">
        <w:rPr>
          <w:rFonts w:ascii="Times New Roman" w:hAnsi="Times New Roman"/>
          <w:i/>
          <w:sz w:val="24"/>
          <w:szCs w:val="24"/>
          <w:lang w:val="nl-NL"/>
        </w:rPr>
        <w:t>.</w:t>
      </w:r>
    </w:p>
    <w:p w14:paraId="70304566" w14:textId="77777777" w:rsidR="00D034B8" w:rsidRPr="004F5C05"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N/A</w:t>
      </w:r>
      <w:r w:rsidR="00CC754B" w:rsidRPr="004F5C05">
        <w:rPr>
          <w:rFonts w:ascii="Times New Roman" w:hAnsi="Times New Roman"/>
          <w:i/>
          <w:sz w:val="24"/>
          <w:szCs w:val="24"/>
          <w:lang w:val="nl-NL"/>
        </w:rPr>
        <w:t xml:space="preserve"> </w:t>
      </w:r>
      <w:r w:rsidRPr="004F5C05">
        <w:rPr>
          <w:rFonts w:ascii="Times New Roman" w:hAnsi="Times New Roman"/>
          <w:i/>
          <w:sz w:val="24"/>
          <w:szCs w:val="24"/>
          <w:lang w:val="nl-NL"/>
        </w:rPr>
        <w:t>(</w:t>
      </w:r>
      <w:r w:rsidR="00A536DF">
        <w:rPr>
          <w:rFonts w:ascii="Times New Roman" w:hAnsi="Times New Roman"/>
          <w:i/>
          <w:sz w:val="24"/>
          <w:szCs w:val="24"/>
          <w:lang w:val="nl-NL"/>
        </w:rPr>
        <w:t>*</w:t>
      </w:r>
      <w:r w:rsidRPr="004F5C05">
        <w:rPr>
          <w:rFonts w:ascii="Times New Roman" w:hAnsi="Times New Roman"/>
          <w:i/>
          <w:sz w:val="24"/>
          <w:szCs w:val="24"/>
          <w:lang w:val="nl-NL"/>
        </w:rPr>
        <w:t>)</w:t>
      </w:r>
      <w:r w:rsidR="00D034B8" w:rsidRPr="004F5C05">
        <w:rPr>
          <w:rFonts w:ascii="Times New Roman" w:hAnsi="Times New Roman"/>
          <w:i/>
          <w:sz w:val="24"/>
          <w:szCs w:val="24"/>
          <w:lang w:val="nl-NL"/>
        </w:rPr>
        <w:t xml:space="preserve">: </w:t>
      </w:r>
      <w:r w:rsidR="00D034B8" w:rsidRPr="004F5C05">
        <w:rPr>
          <w:rFonts w:ascii="Times New Roman" w:hAnsi="Times New Roman"/>
          <w:i/>
          <w:sz w:val="24"/>
          <w:szCs w:val="24"/>
          <w:lang w:val="nl-NL"/>
        </w:rPr>
        <w:tab/>
      </w:r>
      <w:r w:rsidR="00686487" w:rsidRPr="004F5C05">
        <w:rPr>
          <w:rFonts w:ascii="Times New Roman" w:hAnsi="Times New Roman"/>
          <w:i/>
          <w:sz w:val="24"/>
          <w:szCs w:val="24"/>
          <w:lang w:val="nl-NL"/>
        </w:rPr>
        <w:t>Quỹ không sử dụng danh mụ</w:t>
      </w:r>
      <w:r w:rsidR="00686487">
        <w:rPr>
          <w:rFonts w:ascii="Times New Roman" w:hAnsi="Times New Roman"/>
          <w:i/>
          <w:sz w:val="24"/>
          <w:szCs w:val="24"/>
          <w:lang w:val="nl-NL"/>
        </w:rPr>
        <w:t>c cơ cấu.</w:t>
      </w:r>
    </w:p>
    <w:p w14:paraId="06E35085" w14:textId="77777777" w:rsidR="009671DB" w:rsidRPr="004F5C05"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N/A</w:t>
      </w:r>
      <w:r w:rsidR="00CC754B" w:rsidRPr="004F5C05">
        <w:rPr>
          <w:rFonts w:ascii="Times New Roman" w:hAnsi="Times New Roman"/>
          <w:i/>
          <w:sz w:val="24"/>
          <w:szCs w:val="24"/>
          <w:lang w:val="nl-NL"/>
        </w:rPr>
        <w:t xml:space="preserve"> </w:t>
      </w:r>
      <w:r w:rsidRPr="004F5C05">
        <w:rPr>
          <w:rFonts w:ascii="Times New Roman" w:hAnsi="Times New Roman"/>
          <w:i/>
          <w:sz w:val="24"/>
          <w:szCs w:val="24"/>
          <w:lang w:val="nl-NL"/>
        </w:rPr>
        <w:t>(</w:t>
      </w:r>
      <w:r w:rsidR="00A536DF">
        <w:rPr>
          <w:rFonts w:ascii="Times New Roman" w:hAnsi="Times New Roman"/>
          <w:i/>
          <w:sz w:val="24"/>
          <w:szCs w:val="24"/>
          <w:lang w:val="nl-NL"/>
        </w:rPr>
        <w:t>**</w:t>
      </w:r>
      <w:r w:rsidRPr="004F5C05">
        <w:rPr>
          <w:rFonts w:ascii="Times New Roman" w:hAnsi="Times New Roman"/>
          <w:i/>
          <w:sz w:val="24"/>
          <w:szCs w:val="24"/>
          <w:lang w:val="nl-NL"/>
        </w:rPr>
        <w:t>):</w:t>
      </w:r>
      <w:r w:rsidRPr="004F5C05">
        <w:rPr>
          <w:rFonts w:ascii="Times New Roman" w:hAnsi="Times New Roman"/>
          <w:i/>
          <w:sz w:val="24"/>
          <w:szCs w:val="24"/>
          <w:lang w:val="nl-NL"/>
        </w:rPr>
        <w:tab/>
      </w:r>
      <w:r w:rsidR="00686487" w:rsidRPr="004F5C05">
        <w:rPr>
          <w:rFonts w:ascii="Times New Roman" w:hAnsi="Times New Roman"/>
          <w:i/>
          <w:sz w:val="24"/>
          <w:szCs w:val="24"/>
          <w:lang w:val="nl-NL"/>
        </w:rPr>
        <w:t>Chứng chỉ quỹ của Quỹ không được niêm yết trên thị trường chứng khoán.</w:t>
      </w:r>
    </w:p>
    <w:p w14:paraId="5994B889" w14:textId="77777777" w:rsidR="001F1E38" w:rsidRPr="00F2683A" w:rsidRDefault="001F1E38"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highlight w:val="yellow"/>
          <w:lang w:val="nl-NL"/>
        </w:rPr>
      </w:pPr>
    </w:p>
    <w:p w14:paraId="39783EC8" w14:textId="4860DB1C" w:rsidR="001C4468" w:rsidRPr="00115A6F"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115A6F">
        <w:rPr>
          <w:rFonts w:ascii="Times New Roman" w:hAnsi="Times New Roman"/>
          <w:sz w:val="24"/>
          <w:szCs w:val="24"/>
          <w:lang w:val="nl-NL"/>
        </w:rPr>
        <w:t xml:space="preserve">● Biểu đồ tăng trưởng </w:t>
      </w:r>
      <w:r w:rsidR="004E1BA9" w:rsidRPr="00115A6F">
        <w:rPr>
          <w:rFonts w:ascii="Times New Roman" w:hAnsi="Times New Roman"/>
          <w:sz w:val="24"/>
          <w:szCs w:val="24"/>
          <w:lang w:val="nl-NL"/>
        </w:rPr>
        <w:t>NAV/CCQ</w:t>
      </w:r>
      <w:r w:rsidRPr="00115A6F">
        <w:rPr>
          <w:rFonts w:ascii="Times New Roman" w:hAnsi="Times New Roman"/>
          <w:sz w:val="24"/>
          <w:szCs w:val="24"/>
          <w:lang w:val="nl-NL"/>
        </w:rPr>
        <w:t xml:space="preserve"> của Quỹ </w:t>
      </w:r>
      <w:r w:rsidR="0098291B">
        <w:rPr>
          <w:rFonts w:ascii="Times New Roman" w:hAnsi="Times New Roman"/>
          <w:sz w:val="24"/>
          <w:szCs w:val="24"/>
          <w:lang w:val="nl-NL"/>
        </w:rPr>
        <w:t>trong năm 202</w:t>
      </w:r>
      <w:r w:rsidR="00F27755">
        <w:rPr>
          <w:rFonts w:ascii="Times New Roman" w:hAnsi="Times New Roman"/>
          <w:sz w:val="24"/>
          <w:szCs w:val="24"/>
          <w:lang w:val="nl-NL"/>
        </w:rPr>
        <w:t>1</w:t>
      </w:r>
      <w:r w:rsidR="004F5C05" w:rsidRPr="00115A6F">
        <w:rPr>
          <w:rFonts w:ascii="Times New Roman" w:hAnsi="Times New Roman"/>
          <w:sz w:val="24"/>
          <w:szCs w:val="24"/>
          <w:lang w:val="nl-NL"/>
        </w:rPr>
        <w:t>:</w:t>
      </w:r>
    </w:p>
    <w:p w14:paraId="550D3E6B" w14:textId="3B26B8CF" w:rsidR="00E46772" w:rsidRPr="005730AA" w:rsidRDefault="00F27755"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578CA9DA" wp14:editId="57B2D81D">
            <wp:extent cx="6115050" cy="2971800"/>
            <wp:effectExtent l="0" t="0" r="0" b="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207ED0" w14:textId="77777777" w:rsidR="001C4468" w:rsidRPr="00F2683A"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sz w:val="24"/>
          <w:szCs w:val="24"/>
          <w:lang w:val="nl-NL"/>
        </w:rPr>
        <w:t>● Thay đổi giá trị tài sả</w:t>
      </w:r>
      <w:r w:rsidR="004F5C05">
        <w:rPr>
          <w:rFonts w:ascii="Times New Roman" w:hAnsi="Times New Roman"/>
          <w:sz w:val="24"/>
          <w:szCs w:val="24"/>
          <w:lang w:val="nl-NL"/>
        </w:rPr>
        <w:t>n ròng:</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93"/>
        <w:gridCol w:w="1800"/>
        <w:gridCol w:w="1711"/>
        <w:gridCol w:w="1709"/>
      </w:tblGrid>
      <w:tr w:rsidR="001C4468" w:rsidRPr="00F2683A" w14:paraId="3319F71A" w14:textId="77777777" w:rsidTr="001A5984">
        <w:trPr>
          <w:trHeight w:val="521"/>
        </w:trPr>
        <w:tc>
          <w:tcPr>
            <w:tcW w:w="2340" w:type="pct"/>
            <w:shd w:val="clear" w:color="auto" w:fill="auto"/>
          </w:tcPr>
          <w:p w14:paraId="11ADD9A4" w14:textId="77777777" w:rsidR="001C4468" w:rsidRPr="004F5C0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4F5C05">
              <w:rPr>
                <w:rFonts w:ascii="Times New Roman" w:eastAsia="Times New Roman" w:hAnsi="Times New Roman"/>
                <w:b/>
                <w:sz w:val="24"/>
                <w:szCs w:val="24"/>
                <w:lang w:val="nl-NL"/>
              </w:rPr>
              <w:t>Chỉ tiêu</w:t>
            </w:r>
          </w:p>
        </w:tc>
        <w:tc>
          <w:tcPr>
            <w:tcW w:w="917" w:type="pct"/>
            <w:shd w:val="clear" w:color="auto" w:fill="auto"/>
          </w:tcPr>
          <w:p w14:paraId="55832798" w14:textId="0B67AE04" w:rsidR="001C4468" w:rsidRPr="004F5C05" w:rsidRDefault="00941BBC"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37773F">
              <w:rPr>
                <w:rFonts w:ascii="Times New Roman" w:eastAsia="Times New Roman" w:hAnsi="Times New Roman"/>
                <w:b/>
                <w:sz w:val="24"/>
                <w:szCs w:val="24"/>
                <w:lang w:val="nl-NL"/>
              </w:rPr>
              <w:t>/202</w:t>
            </w:r>
            <w:r w:rsidR="000E1383">
              <w:rPr>
                <w:rFonts w:ascii="Times New Roman" w:eastAsia="Times New Roman" w:hAnsi="Times New Roman"/>
                <w:b/>
                <w:sz w:val="24"/>
                <w:szCs w:val="24"/>
                <w:lang w:val="nl-NL"/>
              </w:rPr>
              <w:t>1</w:t>
            </w:r>
          </w:p>
        </w:tc>
        <w:tc>
          <w:tcPr>
            <w:tcW w:w="872" w:type="pct"/>
            <w:shd w:val="clear" w:color="auto" w:fill="auto"/>
          </w:tcPr>
          <w:p w14:paraId="2392C2D8" w14:textId="1D82FAED" w:rsidR="001C4468" w:rsidRPr="004F5C05" w:rsidRDefault="004D151B"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4F5C05">
              <w:rPr>
                <w:rFonts w:ascii="Times New Roman" w:eastAsia="Times New Roman" w:hAnsi="Times New Roman"/>
                <w:b/>
                <w:sz w:val="24"/>
                <w:szCs w:val="24"/>
                <w:lang w:val="nl-NL"/>
              </w:rPr>
              <w:t>/20</w:t>
            </w:r>
            <w:r w:rsidR="000E1383">
              <w:rPr>
                <w:rFonts w:ascii="Times New Roman" w:eastAsia="Times New Roman" w:hAnsi="Times New Roman"/>
                <w:b/>
                <w:sz w:val="24"/>
                <w:szCs w:val="24"/>
                <w:lang w:val="nl-NL"/>
              </w:rPr>
              <w:t>20</w:t>
            </w:r>
          </w:p>
        </w:tc>
        <w:tc>
          <w:tcPr>
            <w:tcW w:w="871" w:type="pct"/>
            <w:shd w:val="clear" w:color="auto" w:fill="auto"/>
          </w:tcPr>
          <w:p w14:paraId="50499D07" w14:textId="77777777" w:rsidR="001C4468" w:rsidRPr="004F5C0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4F5C05">
              <w:rPr>
                <w:rFonts w:ascii="Times New Roman" w:eastAsia="Times New Roman" w:hAnsi="Times New Roman"/>
                <w:b/>
                <w:sz w:val="24"/>
                <w:szCs w:val="24"/>
                <w:lang w:val="nl-NL"/>
              </w:rPr>
              <w:t>Tỷ lệ thay đổi</w:t>
            </w:r>
          </w:p>
        </w:tc>
      </w:tr>
      <w:tr w:rsidR="001C4468" w:rsidRPr="00F2683A" w14:paraId="6FEE55F6" w14:textId="77777777" w:rsidTr="001A5984">
        <w:trPr>
          <w:trHeight w:val="502"/>
        </w:trPr>
        <w:tc>
          <w:tcPr>
            <w:tcW w:w="2340" w:type="pct"/>
            <w:shd w:val="clear" w:color="auto" w:fill="auto"/>
          </w:tcPr>
          <w:p w14:paraId="062966F5"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A</w:t>
            </w:r>
          </w:p>
        </w:tc>
        <w:tc>
          <w:tcPr>
            <w:tcW w:w="917" w:type="pct"/>
            <w:shd w:val="clear" w:color="auto" w:fill="auto"/>
          </w:tcPr>
          <w:p w14:paraId="7D5F758E"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1</w:t>
            </w:r>
          </w:p>
        </w:tc>
        <w:tc>
          <w:tcPr>
            <w:tcW w:w="872" w:type="pct"/>
            <w:shd w:val="clear" w:color="auto" w:fill="auto"/>
          </w:tcPr>
          <w:p w14:paraId="522DBD66"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2</w:t>
            </w:r>
          </w:p>
        </w:tc>
        <w:tc>
          <w:tcPr>
            <w:tcW w:w="871" w:type="pct"/>
            <w:shd w:val="clear" w:color="auto" w:fill="auto"/>
          </w:tcPr>
          <w:p w14:paraId="3FC7D2CA"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3=</w:t>
            </w:r>
            <w:r w:rsidR="00A6709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((1)</w:t>
            </w:r>
            <w:r w:rsidR="00984D4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w:t>
            </w:r>
            <w:r w:rsidR="00984D4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(2))/(2)</w:t>
            </w:r>
          </w:p>
        </w:tc>
      </w:tr>
      <w:tr w:rsidR="000E1383" w:rsidRPr="00F2683A" w14:paraId="64BA6005" w14:textId="77777777" w:rsidTr="001A5984">
        <w:trPr>
          <w:trHeight w:val="521"/>
        </w:trPr>
        <w:tc>
          <w:tcPr>
            <w:tcW w:w="2340" w:type="pct"/>
            <w:shd w:val="clear" w:color="auto" w:fill="auto"/>
          </w:tcPr>
          <w:p w14:paraId="2564C29E" w14:textId="77777777" w:rsidR="000E1383" w:rsidRPr="001A5984" w:rsidRDefault="000E1383" w:rsidP="000E1383">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Giá trị tài sản ròng (NAV) của Quỹ</w:t>
            </w:r>
          </w:p>
        </w:tc>
        <w:tc>
          <w:tcPr>
            <w:tcW w:w="917" w:type="pct"/>
            <w:shd w:val="clear" w:color="auto" w:fill="auto"/>
          </w:tcPr>
          <w:p w14:paraId="258AF1CE" w14:textId="194AD94C" w:rsidR="000E1383" w:rsidRPr="000E1383" w:rsidRDefault="000E1383" w:rsidP="000E1383">
            <w:pPr>
              <w:tabs>
                <w:tab w:val="left" w:pos="540"/>
              </w:tabs>
              <w:spacing w:before="120" w:after="0" w:line="240" w:lineRule="auto"/>
              <w:jc w:val="center"/>
              <w:rPr>
                <w:rFonts w:ascii="Times New Roman" w:eastAsia="Times New Roman" w:hAnsi="Times New Roman"/>
                <w:sz w:val="24"/>
                <w:szCs w:val="24"/>
                <w:lang w:val="nl-NL"/>
              </w:rPr>
            </w:pPr>
            <w:r w:rsidRPr="000E1383">
              <w:rPr>
                <w:rFonts w:ascii="Times New Roman" w:eastAsia="Times New Roman" w:hAnsi="Times New Roman"/>
                <w:sz w:val="24"/>
                <w:szCs w:val="24"/>
                <w:lang w:val="nl-NL"/>
              </w:rPr>
              <w:t>112.298.730.193</w:t>
            </w:r>
          </w:p>
        </w:tc>
        <w:tc>
          <w:tcPr>
            <w:tcW w:w="872" w:type="pct"/>
            <w:shd w:val="clear" w:color="auto" w:fill="auto"/>
          </w:tcPr>
          <w:p w14:paraId="5E6B2D79" w14:textId="17F332CC" w:rsidR="000E1383" w:rsidRPr="001A5984" w:rsidRDefault="000E1383" w:rsidP="000E1383">
            <w:pPr>
              <w:tabs>
                <w:tab w:val="left" w:pos="540"/>
              </w:tabs>
              <w:spacing w:before="120" w:after="0" w:line="240" w:lineRule="auto"/>
              <w:jc w:val="center"/>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108.382.997.578</w:t>
            </w:r>
          </w:p>
        </w:tc>
        <w:tc>
          <w:tcPr>
            <w:tcW w:w="871" w:type="pct"/>
            <w:shd w:val="clear" w:color="auto" w:fill="auto"/>
          </w:tcPr>
          <w:p w14:paraId="50BC594B" w14:textId="53A4D0D1" w:rsidR="000E1383" w:rsidRPr="001A5984" w:rsidRDefault="000E1383" w:rsidP="000E138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3,61</w:t>
            </w:r>
            <w:r w:rsidRPr="001A5984">
              <w:rPr>
                <w:rFonts w:ascii="Times New Roman" w:eastAsia="Times New Roman" w:hAnsi="Times New Roman"/>
                <w:sz w:val="24"/>
                <w:szCs w:val="24"/>
                <w:lang w:val="nl-NL"/>
              </w:rPr>
              <w:t>%</w:t>
            </w:r>
          </w:p>
        </w:tc>
      </w:tr>
      <w:tr w:rsidR="000E1383" w:rsidRPr="00F2683A" w14:paraId="09F61997" w14:textId="77777777" w:rsidTr="001A5984">
        <w:trPr>
          <w:trHeight w:val="508"/>
        </w:trPr>
        <w:tc>
          <w:tcPr>
            <w:tcW w:w="2340" w:type="pct"/>
            <w:shd w:val="clear" w:color="auto" w:fill="auto"/>
          </w:tcPr>
          <w:p w14:paraId="5D028E7C" w14:textId="77777777" w:rsidR="000E1383" w:rsidRPr="001A5984" w:rsidRDefault="000E1383" w:rsidP="000E1383">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Giá trị tài sản ròng (NAV) trên 1 đơn vị CCQ</w:t>
            </w:r>
          </w:p>
        </w:tc>
        <w:tc>
          <w:tcPr>
            <w:tcW w:w="917" w:type="pct"/>
            <w:shd w:val="clear" w:color="auto" w:fill="auto"/>
          </w:tcPr>
          <w:p w14:paraId="46210FC0" w14:textId="0C3C4DC5" w:rsidR="000E1383" w:rsidRPr="000E1383" w:rsidRDefault="000E1383" w:rsidP="000E1383">
            <w:pPr>
              <w:tabs>
                <w:tab w:val="left" w:pos="540"/>
              </w:tabs>
              <w:spacing w:before="120" w:after="0" w:line="240" w:lineRule="auto"/>
              <w:jc w:val="center"/>
              <w:rPr>
                <w:rFonts w:ascii="Times New Roman" w:eastAsia="Times New Roman" w:hAnsi="Times New Roman"/>
                <w:sz w:val="24"/>
                <w:szCs w:val="24"/>
                <w:lang w:val="nl-NL"/>
              </w:rPr>
            </w:pPr>
            <w:r w:rsidRPr="000E1383">
              <w:rPr>
                <w:rFonts w:ascii="Times New Roman" w:eastAsia="Times New Roman" w:hAnsi="Times New Roman"/>
                <w:sz w:val="24"/>
                <w:szCs w:val="24"/>
                <w:lang w:val="nl-NL"/>
              </w:rPr>
              <w:t>11.223,00</w:t>
            </w:r>
          </w:p>
        </w:tc>
        <w:tc>
          <w:tcPr>
            <w:tcW w:w="872" w:type="pct"/>
            <w:shd w:val="clear" w:color="auto" w:fill="auto"/>
          </w:tcPr>
          <w:p w14:paraId="7D661762" w14:textId="0CF8AA8C" w:rsidR="000E1383" w:rsidRPr="001A5984" w:rsidRDefault="000E1383" w:rsidP="000E1383">
            <w:pPr>
              <w:tabs>
                <w:tab w:val="left" w:pos="540"/>
              </w:tabs>
              <w:spacing w:before="120" w:after="0" w:line="240" w:lineRule="auto"/>
              <w:jc w:val="center"/>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10.799,18</w:t>
            </w:r>
          </w:p>
        </w:tc>
        <w:tc>
          <w:tcPr>
            <w:tcW w:w="871" w:type="pct"/>
            <w:shd w:val="clear" w:color="auto" w:fill="auto"/>
          </w:tcPr>
          <w:p w14:paraId="509BF440" w14:textId="35B8C7DF" w:rsidR="000E1383" w:rsidRPr="001A5984" w:rsidRDefault="000E1383" w:rsidP="000E138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3,92</w:t>
            </w:r>
            <w:r w:rsidRPr="001A5984">
              <w:rPr>
                <w:rFonts w:ascii="Times New Roman" w:eastAsia="Times New Roman" w:hAnsi="Times New Roman"/>
                <w:sz w:val="24"/>
                <w:szCs w:val="24"/>
                <w:lang w:val="nl-NL"/>
              </w:rPr>
              <w:t>%</w:t>
            </w:r>
          </w:p>
        </w:tc>
      </w:tr>
    </w:tbl>
    <w:p w14:paraId="41405D45" w14:textId="326A40FD" w:rsidR="001C4468" w:rsidRDefault="0037773F" w:rsidP="00B3750F">
      <w:pPr>
        <w:shd w:val="clear" w:color="auto" w:fill="FFFFFF"/>
        <w:tabs>
          <w:tab w:val="left" w:pos="540"/>
        </w:tabs>
        <w:spacing w:before="120" w:after="0" w:line="360" w:lineRule="auto"/>
        <w:jc w:val="both"/>
        <w:rPr>
          <w:rFonts w:ascii="Times New Roman" w:hAnsi="Times New Roman"/>
          <w:sz w:val="24"/>
          <w:szCs w:val="24"/>
          <w:lang w:val="nl-NL"/>
        </w:rPr>
      </w:pPr>
      <w:r w:rsidRPr="00C35526">
        <w:rPr>
          <w:rFonts w:ascii="Times New Roman" w:hAnsi="Times New Roman"/>
          <w:sz w:val="24"/>
          <w:szCs w:val="24"/>
          <w:lang w:val="nl-NL"/>
        </w:rPr>
        <w:t>Trong giai đoạn từ 31/12/20</w:t>
      </w:r>
      <w:r w:rsidR="000E1383">
        <w:rPr>
          <w:rFonts w:ascii="Times New Roman" w:hAnsi="Times New Roman"/>
          <w:sz w:val="24"/>
          <w:szCs w:val="24"/>
          <w:lang w:val="nl-NL"/>
        </w:rPr>
        <w:t>20</w:t>
      </w:r>
      <w:r w:rsidRPr="00C35526">
        <w:rPr>
          <w:rFonts w:ascii="Times New Roman" w:hAnsi="Times New Roman"/>
          <w:sz w:val="24"/>
          <w:szCs w:val="24"/>
          <w:lang w:val="nl-NL"/>
        </w:rPr>
        <w:t xml:space="preserve"> đến 31/12/202</w:t>
      </w:r>
      <w:r w:rsidR="000E1383">
        <w:rPr>
          <w:rFonts w:ascii="Times New Roman" w:hAnsi="Times New Roman"/>
          <w:sz w:val="24"/>
          <w:szCs w:val="24"/>
          <w:lang w:val="nl-NL"/>
        </w:rPr>
        <w:t>1</w:t>
      </w:r>
      <w:r w:rsidRPr="00C35526">
        <w:rPr>
          <w:rFonts w:ascii="Times New Roman" w:hAnsi="Times New Roman"/>
          <w:sz w:val="24"/>
          <w:szCs w:val="24"/>
          <w:lang w:val="nl-NL"/>
        </w:rPr>
        <w:t xml:space="preserve"> giá trị tài sản ròng của Quỹ tăng </w:t>
      </w:r>
      <w:r w:rsidR="000E1383">
        <w:rPr>
          <w:rFonts w:ascii="Times New Roman" w:hAnsi="Times New Roman"/>
          <w:sz w:val="24"/>
          <w:szCs w:val="24"/>
          <w:lang w:val="nl-NL"/>
        </w:rPr>
        <w:t>3,61</w:t>
      </w:r>
      <w:r w:rsidRPr="00C35526">
        <w:rPr>
          <w:rFonts w:ascii="Times New Roman" w:hAnsi="Times New Roman"/>
          <w:sz w:val="24"/>
          <w:szCs w:val="24"/>
          <w:lang w:val="nl-NL"/>
        </w:rPr>
        <w:t>% chủ yếu do lợi nhuận từ kết quả đầu tư mang lại</w:t>
      </w:r>
      <w:r w:rsidR="008E3939" w:rsidRPr="001A5984">
        <w:rPr>
          <w:rFonts w:ascii="Times New Roman" w:hAnsi="Times New Roman"/>
          <w:sz w:val="24"/>
          <w:szCs w:val="24"/>
          <w:lang w:val="nl-NL"/>
        </w:rPr>
        <w:t>.</w:t>
      </w:r>
    </w:p>
    <w:p w14:paraId="5D46E85F" w14:textId="77777777" w:rsidR="00D94B2B" w:rsidRPr="005B3B10" w:rsidRDefault="001C4468" w:rsidP="00D94B2B">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F2683A">
        <w:rPr>
          <w:rFonts w:ascii="Times New Roman" w:hAnsi="Times New Roman"/>
          <w:b/>
          <w:sz w:val="24"/>
          <w:szCs w:val="24"/>
          <w:lang w:val="nl-NL"/>
        </w:rPr>
        <w:t>Thống kê về Nhà đầu tư nắm giữ Chứng chỉ quỹ tại thời điểm báo cáo (tại thời điểm gần nhất):</w:t>
      </w:r>
    </w:p>
    <w:p w14:paraId="044D6938" w14:textId="77777777" w:rsidR="0087643E" w:rsidRPr="00F2683A" w:rsidRDefault="0087643E" w:rsidP="0087643E">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37773F" w:rsidRPr="00F2683A" w14:paraId="27612BA2" w14:textId="77777777" w:rsidTr="0056734D">
        <w:tc>
          <w:tcPr>
            <w:tcW w:w="1882" w:type="pct"/>
            <w:shd w:val="clear" w:color="auto" w:fill="auto"/>
            <w:vAlign w:val="center"/>
          </w:tcPr>
          <w:p w14:paraId="28CA419E"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Quy mô nắm giữ (Đơn vị)</w:t>
            </w:r>
          </w:p>
        </w:tc>
        <w:tc>
          <w:tcPr>
            <w:tcW w:w="1056" w:type="pct"/>
            <w:shd w:val="clear" w:color="auto" w:fill="auto"/>
            <w:vAlign w:val="center"/>
          </w:tcPr>
          <w:p w14:paraId="72440DAE"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37CDD0C3"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đơn vị Chứng chỉ quỹ nắm giữ</w:t>
            </w:r>
          </w:p>
        </w:tc>
        <w:tc>
          <w:tcPr>
            <w:tcW w:w="869" w:type="pct"/>
            <w:shd w:val="clear" w:color="auto" w:fill="auto"/>
            <w:vAlign w:val="center"/>
          </w:tcPr>
          <w:p w14:paraId="6DCE88C0"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Tỷ lệ nắm giữ</w:t>
            </w:r>
          </w:p>
        </w:tc>
      </w:tr>
      <w:tr w:rsidR="0037773F" w:rsidRPr="00F2683A" w14:paraId="1B8895CC" w14:textId="77777777" w:rsidTr="0056734D">
        <w:tc>
          <w:tcPr>
            <w:tcW w:w="1882" w:type="pct"/>
            <w:shd w:val="clear" w:color="auto" w:fill="auto"/>
            <w:vAlign w:val="center"/>
          </w:tcPr>
          <w:p w14:paraId="55D39F52" w14:textId="77777777" w:rsidR="0037773F" w:rsidRPr="007C77B7" w:rsidRDefault="0037773F" w:rsidP="0037773F">
            <w:pPr>
              <w:tabs>
                <w:tab w:val="left" w:pos="540"/>
              </w:tabs>
              <w:spacing w:before="120" w:after="0" w:line="240" w:lineRule="auto"/>
              <w:jc w:val="center"/>
              <w:rPr>
                <w:rFonts w:ascii="Times New Roman" w:eastAsia="Times New Roman" w:hAnsi="Times New Roman"/>
                <w:i/>
                <w:color w:val="1F497D" w:themeColor="text2"/>
                <w:sz w:val="16"/>
                <w:szCs w:val="16"/>
                <w:lang w:val="nl-NL"/>
              </w:rPr>
            </w:pPr>
          </w:p>
        </w:tc>
        <w:tc>
          <w:tcPr>
            <w:tcW w:w="1056" w:type="pct"/>
            <w:shd w:val="clear" w:color="auto" w:fill="auto"/>
            <w:vAlign w:val="center"/>
          </w:tcPr>
          <w:p w14:paraId="3293F2D8" w14:textId="77777777"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1</w:t>
            </w:r>
          </w:p>
        </w:tc>
        <w:tc>
          <w:tcPr>
            <w:tcW w:w="1193" w:type="pct"/>
            <w:shd w:val="clear" w:color="auto" w:fill="auto"/>
            <w:vAlign w:val="center"/>
          </w:tcPr>
          <w:p w14:paraId="70D80B14" w14:textId="77777777"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2</w:t>
            </w:r>
          </w:p>
        </w:tc>
        <w:tc>
          <w:tcPr>
            <w:tcW w:w="869" w:type="pct"/>
            <w:shd w:val="clear" w:color="auto" w:fill="auto"/>
            <w:vAlign w:val="center"/>
          </w:tcPr>
          <w:p w14:paraId="2B2DEA77" w14:textId="77777777"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3</w:t>
            </w:r>
          </w:p>
        </w:tc>
      </w:tr>
      <w:tr w:rsidR="00DC0890" w:rsidRPr="00F2683A" w14:paraId="37C5F8BA" w14:textId="77777777" w:rsidTr="0056734D">
        <w:tc>
          <w:tcPr>
            <w:tcW w:w="1882" w:type="pct"/>
            <w:shd w:val="clear" w:color="auto" w:fill="auto"/>
            <w:vAlign w:val="center"/>
          </w:tcPr>
          <w:p w14:paraId="61E78049" w14:textId="77777777" w:rsidR="00DC0890" w:rsidRPr="001A5984" w:rsidRDefault="00DC0890" w:rsidP="00DC089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Dưới 5.000</w:t>
            </w:r>
          </w:p>
        </w:tc>
        <w:tc>
          <w:tcPr>
            <w:tcW w:w="1056" w:type="pct"/>
            <w:shd w:val="clear" w:color="auto" w:fill="auto"/>
            <w:vAlign w:val="center"/>
          </w:tcPr>
          <w:p w14:paraId="09314DCF" w14:textId="4F14FAC3"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124</w:t>
            </w:r>
          </w:p>
        </w:tc>
        <w:tc>
          <w:tcPr>
            <w:tcW w:w="1193" w:type="pct"/>
            <w:shd w:val="clear" w:color="auto" w:fill="auto"/>
            <w:vAlign w:val="center"/>
          </w:tcPr>
          <w:p w14:paraId="4382B725" w14:textId="53EEC452"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36.537,37</w:t>
            </w:r>
          </w:p>
        </w:tc>
        <w:tc>
          <w:tcPr>
            <w:tcW w:w="869" w:type="pct"/>
            <w:shd w:val="clear" w:color="auto" w:fill="auto"/>
            <w:vAlign w:val="center"/>
          </w:tcPr>
          <w:p w14:paraId="08B8E215" w14:textId="1720531D"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0,37%</w:t>
            </w:r>
          </w:p>
        </w:tc>
      </w:tr>
      <w:tr w:rsidR="00DC0890" w:rsidRPr="00F2683A" w14:paraId="2B7852DB" w14:textId="77777777" w:rsidTr="0056734D">
        <w:tc>
          <w:tcPr>
            <w:tcW w:w="1882" w:type="pct"/>
            <w:shd w:val="clear" w:color="auto" w:fill="auto"/>
            <w:vAlign w:val="center"/>
          </w:tcPr>
          <w:p w14:paraId="40E3BAC8" w14:textId="77777777" w:rsidR="00DC0890" w:rsidRPr="001A5984" w:rsidRDefault="00DC0890" w:rsidP="00DC089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5.000 - 10.000</w:t>
            </w:r>
          </w:p>
        </w:tc>
        <w:tc>
          <w:tcPr>
            <w:tcW w:w="1056" w:type="pct"/>
            <w:shd w:val="clear" w:color="auto" w:fill="auto"/>
            <w:vAlign w:val="center"/>
          </w:tcPr>
          <w:p w14:paraId="7B8161DF" w14:textId="6A47506A"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2</w:t>
            </w:r>
          </w:p>
        </w:tc>
        <w:tc>
          <w:tcPr>
            <w:tcW w:w="1193" w:type="pct"/>
            <w:shd w:val="clear" w:color="auto" w:fill="auto"/>
            <w:vAlign w:val="center"/>
          </w:tcPr>
          <w:p w14:paraId="2D949256" w14:textId="056B4B5D"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10.100,00</w:t>
            </w:r>
          </w:p>
        </w:tc>
        <w:tc>
          <w:tcPr>
            <w:tcW w:w="869" w:type="pct"/>
            <w:shd w:val="clear" w:color="auto" w:fill="auto"/>
            <w:vAlign w:val="center"/>
          </w:tcPr>
          <w:p w14:paraId="37BEBD7E" w14:textId="5436FA26"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0,10%</w:t>
            </w:r>
          </w:p>
        </w:tc>
      </w:tr>
      <w:tr w:rsidR="00DC0890" w:rsidRPr="00F2683A" w14:paraId="3EBE75AD" w14:textId="77777777" w:rsidTr="0056734D">
        <w:tc>
          <w:tcPr>
            <w:tcW w:w="1882" w:type="pct"/>
            <w:shd w:val="clear" w:color="auto" w:fill="auto"/>
            <w:vAlign w:val="center"/>
          </w:tcPr>
          <w:p w14:paraId="420F6B5C" w14:textId="77777777" w:rsidR="00DC0890" w:rsidRPr="001A5984" w:rsidRDefault="00DC0890" w:rsidP="00DC089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10.000 đến 50.000</w:t>
            </w:r>
          </w:p>
        </w:tc>
        <w:tc>
          <w:tcPr>
            <w:tcW w:w="1056" w:type="pct"/>
            <w:shd w:val="clear" w:color="auto" w:fill="auto"/>
            <w:vAlign w:val="center"/>
          </w:tcPr>
          <w:p w14:paraId="64966D0E" w14:textId="6FB306CE"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w:t>
            </w:r>
          </w:p>
        </w:tc>
        <w:tc>
          <w:tcPr>
            <w:tcW w:w="1193" w:type="pct"/>
            <w:shd w:val="clear" w:color="auto" w:fill="auto"/>
            <w:vAlign w:val="center"/>
          </w:tcPr>
          <w:p w14:paraId="79E29A9C" w14:textId="52E5AF1B"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w:t>
            </w:r>
          </w:p>
        </w:tc>
        <w:tc>
          <w:tcPr>
            <w:tcW w:w="869" w:type="pct"/>
            <w:shd w:val="clear" w:color="auto" w:fill="auto"/>
            <w:vAlign w:val="center"/>
          </w:tcPr>
          <w:p w14:paraId="05523B6D" w14:textId="2FB5BD1A"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0,00%</w:t>
            </w:r>
          </w:p>
        </w:tc>
      </w:tr>
      <w:tr w:rsidR="00DC0890" w:rsidRPr="00F2683A" w14:paraId="3700B597" w14:textId="77777777" w:rsidTr="0056734D">
        <w:tc>
          <w:tcPr>
            <w:tcW w:w="1882" w:type="pct"/>
            <w:shd w:val="clear" w:color="auto" w:fill="auto"/>
            <w:vAlign w:val="center"/>
          </w:tcPr>
          <w:p w14:paraId="2BB546B7" w14:textId="77777777" w:rsidR="00DC0890" w:rsidRPr="001A5984" w:rsidRDefault="00DC0890" w:rsidP="00DC089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lastRenderedPageBreak/>
              <w:t>Từ 50.000 đến 500.000</w:t>
            </w:r>
          </w:p>
        </w:tc>
        <w:tc>
          <w:tcPr>
            <w:tcW w:w="1056" w:type="pct"/>
            <w:shd w:val="clear" w:color="auto" w:fill="auto"/>
            <w:vAlign w:val="center"/>
          </w:tcPr>
          <w:p w14:paraId="64669E4A" w14:textId="101AFD35"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w:t>
            </w:r>
          </w:p>
        </w:tc>
        <w:tc>
          <w:tcPr>
            <w:tcW w:w="1193" w:type="pct"/>
            <w:shd w:val="clear" w:color="auto" w:fill="auto"/>
            <w:vAlign w:val="center"/>
          </w:tcPr>
          <w:p w14:paraId="4FD3657B" w14:textId="55B53F38"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w:t>
            </w:r>
          </w:p>
        </w:tc>
        <w:tc>
          <w:tcPr>
            <w:tcW w:w="869" w:type="pct"/>
            <w:shd w:val="clear" w:color="auto" w:fill="auto"/>
            <w:vAlign w:val="center"/>
          </w:tcPr>
          <w:p w14:paraId="7BE90F66" w14:textId="358E9136"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0,00%</w:t>
            </w:r>
          </w:p>
        </w:tc>
      </w:tr>
      <w:tr w:rsidR="00DC0890" w:rsidRPr="00F2683A" w14:paraId="6BDE021D" w14:textId="77777777" w:rsidTr="0056734D">
        <w:tc>
          <w:tcPr>
            <w:tcW w:w="1882" w:type="pct"/>
            <w:shd w:val="clear" w:color="auto" w:fill="auto"/>
            <w:vAlign w:val="center"/>
          </w:tcPr>
          <w:p w14:paraId="31432D4F" w14:textId="77777777" w:rsidR="00DC0890" w:rsidRPr="001A5984" w:rsidRDefault="00DC0890" w:rsidP="00DC0890">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Trên 500.000</w:t>
            </w:r>
          </w:p>
        </w:tc>
        <w:tc>
          <w:tcPr>
            <w:tcW w:w="1056" w:type="pct"/>
            <w:shd w:val="clear" w:color="auto" w:fill="auto"/>
            <w:vAlign w:val="center"/>
          </w:tcPr>
          <w:p w14:paraId="792E062A" w14:textId="09E746E8"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1</w:t>
            </w:r>
          </w:p>
        </w:tc>
        <w:tc>
          <w:tcPr>
            <w:tcW w:w="1193" w:type="pct"/>
            <w:shd w:val="clear" w:color="auto" w:fill="auto"/>
            <w:vAlign w:val="center"/>
          </w:tcPr>
          <w:p w14:paraId="75AF6A9F" w14:textId="43E37157"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9.959.489,84</w:t>
            </w:r>
          </w:p>
        </w:tc>
        <w:tc>
          <w:tcPr>
            <w:tcW w:w="869" w:type="pct"/>
            <w:shd w:val="clear" w:color="auto" w:fill="auto"/>
            <w:vAlign w:val="center"/>
          </w:tcPr>
          <w:p w14:paraId="659A4F38" w14:textId="548DFC2F" w:rsidR="00DC0890" w:rsidRPr="001A5984" w:rsidRDefault="00DC0890" w:rsidP="00DC0890">
            <w:pPr>
              <w:tabs>
                <w:tab w:val="left" w:pos="540"/>
              </w:tabs>
              <w:spacing w:before="120" w:after="0" w:line="240" w:lineRule="auto"/>
              <w:jc w:val="center"/>
              <w:rPr>
                <w:rFonts w:ascii="Times New Roman" w:eastAsia="Times New Roman" w:hAnsi="Times New Roman"/>
                <w:sz w:val="24"/>
                <w:szCs w:val="24"/>
                <w:lang w:val="nl-NL"/>
              </w:rPr>
            </w:pPr>
            <w:r w:rsidRPr="00265A74">
              <w:rPr>
                <w:rFonts w:ascii="Times New Roman" w:eastAsia="Times New Roman" w:hAnsi="Times New Roman"/>
                <w:sz w:val="24"/>
                <w:szCs w:val="24"/>
                <w:lang w:val="nl-NL"/>
              </w:rPr>
              <w:t>99,53%</w:t>
            </w:r>
          </w:p>
        </w:tc>
      </w:tr>
      <w:tr w:rsidR="00DC0890" w:rsidRPr="00F2683A" w14:paraId="7E2BD25E" w14:textId="77777777" w:rsidTr="0056734D">
        <w:tc>
          <w:tcPr>
            <w:tcW w:w="1882" w:type="pct"/>
            <w:shd w:val="clear" w:color="auto" w:fill="auto"/>
            <w:vAlign w:val="center"/>
          </w:tcPr>
          <w:p w14:paraId="3F040C85" w14:textId="77777777" w:rsidR="00DC0890" w:rsidRPr="001A5984" w:rsidRDefault="00DC0890" w:rsidP="00DC0890">
            <w:pPr>
              <w:tabs>
                <w:tab w:val="left" w:pos="540"/>
              </w:tabs>
              <w:spacing w:before="120" w:after="0" w:line="240" w:lineRule="auto"/>
              <w:jc w:val="both"/>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Tổng cộng</w:t>
            </w:r>
          </w:p>
        </w:tc>
        <w:tc>
          <w:tcPr>
            <w:tcW w:w="1056" w:type="pct"/>
            <w:shd w:val="clear" w:color="auto" w:fill="auto"/>
            <w:vAlign w:val="center"/>
          </w:tcPr>
          <w:p w14:paraId="19611912" w14:textId="237D2801" w:rsidR="00DC0890" w:rsidRPr="001A5984" w:rsidRDefault="00DC0890" w:rsidP="00DC0890">
            <w:pPr>
              <w:tabs>
                <w:tab w:val="left" w:pos="540"/>
              </w:tabs>
              <w:spacing w:before="120" w:after="0" w:line="240" w:lineRule="auto"/>
              <w:jc w:val="center"/>
              <w:rPr>
                <w:rFonts w:ascii="Times New Roman" w:eastAsia="Times New Roman" w:hAnsi="Times New Roman"/>
                <w:b/>
                <w:sz w:val="24"/>
                <w:szCs w:val="24"/>
                <w:lang w:val="nl-NL"/>
              </w:rPr>
            </w:pPr>
            <w:r w:rsidRPr="00265A74">
              <w:rPr>
                <w:rFonts w:ascii="Times New Roman" w:eastAsia="Times New Roman" w:hAnsi="Times New Roman"/>
                <w:b/>
                <w:sz w:val="24"/>
                <w:szCs w:val="24"/>
                <w:lang w:val="nl-NL"/>
              </w:rPr>
              <w:t>127</w:t>
            </w:r>
          </w:p>
        </w:tc>
        <w:tc>
          <w:tcPr>
            <w:tcW w:w="1193" w:type="pct"/>
            <w:shd w:val="clear" w:color="auto" w:fill="auto"/>
            <w:vAlign w:val="center"/>
          </w:tcPr>
          <w:p w14:paraId="3D0B7758" w14:textId="75F3A315" w:rsidR="00DC0890" w:rsidRPr="001A5984" w:rsidRDefault="00DC0890" w:rsidP="00DC0890">
            <w:pPr>
              <w:tabs>
                <w:tab w:val="left" w:pos="540"/>
              </w:tabs>
              <w:spacing w:before="120" w:after="0" w:line="240" w:lineRule="auto"/>
              <w:jc w:val="center"/>
              <w:rPr>
                <w:rFonts w:ascii="Times New Roman" w:eastAsia="Times New Roman" w:hAnsi="Times New Roman"/>
                <w:b/>
                <w:sz w:val="24"/>
                <w:szCs w:val="24"/>
                <w:lang w:val="nl-NL"/>
              </w:rPr>
            </w:pPr>
            <w:r w:rsidRPr="00265A74">
              <w:rPr>
                <w:rFonts w:ascii="Times New Roman" w:eastAsia="Times New Roman" w:hAnsi="Times New Roman"/>
                <w:b/>
                <w:sz w:val="24"/>
                <w:szCs w:val="24"/>
                <w:lang w:val="nl-NL"/>
              </w:rPr>
              <w:t>10.006.127,21</w:t>
            </w:r>
          </w:p>
        </w:tc>
        <w:tc>
          <w:tcPr>
            <w:tcW w:w="869" w:type="pct"/>
            <w:shd w:val="clear" w:color="auto" w:fill="auto"/>
            <w:vAlign w:val="center"/>
          </w:tcPr>
          <w:p w14:paraId="7BEE4075" w14:textId="6A5E94D6" w:rsidR="00DC0890" w:rsidRPr="001A5984" w:rsidRDefault="00DC0890" w:rsidP="00DC0890">
            <w:pPr>
              <w:tabs>
                <w:tab w:val="left" w:pos="540"/>
              </w:tabs>
              <w:spacing w:before="120" w:after="0" w:line="240" w:lineRule="auto"/>
              <w:jc w:val="center"/>
              <w:rPr>
                <w:rFonts w:ascii="Times New Roman" w:eastAsia="Times New Roman" w:hAnsi="Times New Roman"/>
                <w:b/>
                <w:sz w:val="24"/>
                <w:szCs w:val="24"/>
                <w:lang w:val="nl-NL"/>
              </w:rPr>
            </w:pPr>
            <w:r w:rsidRPr="00265A74">
              <w:rPr>
                <w:rFonts w:ascii="Times New Roman" w:eastAsia="Times New Roman" w:hAnsi="Times New Roman"/>
                <w:b/>
                <w:sz w:val="24"/>
                <w:szCs w:val="24"/>
                <w:lang w:val="nl-NL"/>
              </w:rPr>
              <w:t>100,00%</w:t>
            </w:r>
          </w:p>
        </w:tc>
      </w:tr>
    </w:tbl>
    <w:p w14:paraId="723268BD" w14:textId="77777777" w:rsidR="001C4468" w:rsidRPr="00F2683A"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4B07B4">
        <w:rPr>
          <w:rFonts w:ascii="Times New Roman" w:hAnsi="Times New Roman"/>
          <w:b/>
          <w:sz w:val="24"/>
          <w:szCs w:val="24"/>
          <w:u w:val="single"/>
          <w:lang w:val="nl-NL"/>
        </w:rPr>
        <w:t>Ghi chú:</w:t>
      </w:r>
      <w:r w:rsidRPr="00F2683A">
        <w:rPr>
          <w:rFonts w:ascii="Times New Roman" w:hAnsi="Times New Roman"/>
          <w:i/>
          <w:sz w:val="24"/>
          <w:szCs w:val="24"/>
          <w:lang w:val="nl-NL"/>
        </w:rPr>
        <w:t xml:space="preserve"> Trình bày tình hình nắm giữ Chứng chỉ quỹ của Nhà đầu tư từ ít nhất đến nhiều nhất.</w:t>
      </w:r>
    </w:p>
    <w:p w14:paraId="12E91FF6" w14:textId="77777777" w:rsidR="001C4468" w:rsidRPr="00F2683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F2683A">
        <w:rPr>
          <w:rFonts w:ascii="Times New Roman" w:hAnsi="Times New Roman"/>
          <w:b/>
          <w:sz w:val="24"/>
          <w:szCs w:val="24"/>
          <w:lang w:val="nl-NL"/>
        </w:rPr>
        <w:t>Chi phí ngầm và giảm giá</w:t>
      </w:r>
    </w:p>
    <w:p w14:paraId="147BD93E" w14:textId="77777777" w:rsidR="003E4AD7" w:rsidRPr="001A5984" w:rsidRDefault="003E4AD7" w:rsidP="001A5984">
      <w:pPr>
        <w:spacing w:before="240"/>
        <w:jc w:val="both"/>
        <w:rPr>
          <w:rFonts w:ascii="Times New Roman" w:hAnsi="Times New Roman"/>
          <w:sz w:val="24"/>
          <w:szCs w:val="24"/>
          <w:lang w:val="nl-NL"/>
        </w:rPr>
      </w:pPr>
      <w:r w:rsidRPr="001A5984">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206A2199" w14:textId="66ECDE3F" w:rsidR="004B07B4" w:rsidRPr="00173960"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1A5984">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cập dịch vụ cho Quỹ.</w:t>
      </w:r>
    </w:p>
    <w:p w14:paraId="2297AD7F" w14:textId="77777777" w:rsidR="001C4468" w:rsidRPr="00F2683A" w:rsidRDefault="001C4468" w:rsidP="004B07B4">
      <w:pPr>
        <w:shd w:val="clear" w:color="auto" w:fill="FFFFFF"/>
        <w:tabs>
          <w:tab w:val="left" w:pos="540"/>
        </w:tabs>
        <w:spacing w:before="120" w:after="0" w:line="240" w:lineRule="auto"/>
        <w:jc w:val="both"/>
        <w:rPr>
          <w:rFonts w:ascii="Times New Roman" w:hAnsi="Times New Roman"/>
          <w:b/>
          <w:sz w:val="24"/>
          <w:szCs w:val="24"/>
          <w:lang w:val="nl-NL"/>
        </w:rPr>
      </w:pPr>
      <w:r w:rsidRPr="001A5984">
        <w:rPr>
          <w:rFonts w:ascii="Times New Roman" w:hAnsi="Times New Roman"/>
          <w:b/>
          <w:sz w:val="24"/>
          <w:szCs w:val="24"/>
          <w:lang w:val="nl-NL"/>
        </w:rPr>
        <w:t xml:space="preserve">V. </w:t>
      </w:r>
      <w:r w:rsidR="004B07B4">
        <w:rPr>
          <w:rFonts w:ascii="Times New Roman" w:hAnsi="Times New Roman"/>
          <w:b/>
          <w:sz w:val="24"/>
          <w:szCs w:val="24"/>
          <w:lang w:val="nl-NL"/>
        </w:rPr>
        <w:tab/>
      </w:r>
      <w:r w:rsidRPr="001A5984">
        <w:rPr>
          <w:rFonts w:ascii="Times New Roman" w:hAnsi="Times New Roman"/>
          <w:b/>
          <w:sz w:val="24"/>
          <w:szCs w:val="24"/>
          <w:lang w:val="nl-NL"/>
        </w:rPr>
        <w:t>T</w:t>
      </w:r>
      <w:r w:rsidR="004B07B4">
        <w:rPr>
          <w:rFonts w:ascii="Times New Roman" w:hAnsi="Times New Roman"/>
          <w:b/>
          <w:sz w:val="24"/>
          <w:szCs w:val="24"/>
          <w:lang w:val="nl-NL"/>
        </w:rPr>
        <w:t>HÔNG TIN VỀ TRIỂN VỌNG THỊ TRƯỜNG</w:t>
      </w:r>
    </w:p>
    <w:p w14:paraId="50B2F312" w14:textId="77777777" w:rsidR="00DC0890" w:rsidRPr="00DC0890" w:rsidRDefault="00DC0890" w:rsidP="00DC0890">
      <w:pPr>
        <w:shd w:val="clear" w:color="auto" w:fill="FFFFFF"/>
        <w:spacing w:before="120"/>
        <w:jc w:val="both"/>
        <w:rPr>
          <w:rFonts w:ascii="Times New Roman" w:hAnsi="Times New Roman"/>
          <w:sz w:val="24"/>
          <w:szCs w:val="24"/>
          <w:lang w:val="nl-NL"/>
        </w:rPr>
      </w:pPr>
      <w:r w:rsidRPr="00DC0890">
        <w:rPr>
          <w:rFonts w:ascii="Times New Roman" w:hAnsi="Times New Roman"/>
          <w:color w:val="000000"/>
          <w:sz w:val="24"/>
          <w:szCs w:val="24"/>
          <w:lang w:val="nl-NL"/>
        </w:rPr>
        <w:t>Chúng tôi dự báo lợi suất trái phiếu sẽ chững lại đà giảm và đi ngang trong 6 tháng đầu năm dựa trên kỳ vọng (1) Nhu cầu đầu tư TPCP nhằm đảm bảo tỷ lệ an toàn vốn gia tăng theo quy mô tổng tài sản; (2) Chi phí vốn vẫn ở mức thấp trong nửa đầu năm và (3) Tăng trưởng tín dụng và giải ngân đầu tư công dự báo chưa có nhiều đột phá. Tuy nhiên, hoạt động chốt lời và áp lực huy động vốn thông qua phát hành trái phiếu Chính phủ gia tăng cũng như tăng trưởng tín dụng và đầu tư công được cải thiện có thể sẽ đẩy lợi suất đi lên trong nửa cuối năm tới.</w:t>
      </w:r>
    </w:p>
    <w:p w14:paraId="7C23D1F3" w14:textId="77777777" w:rsidR="00DC0890" w:rsidRPr="00DC0890" w:rsidRDefault="00DC0890" w:rsidP="00DC0890">
      <w:pPr>
        <w:shd w:val="clear" w:color="auto" w:fill="FFFFFF"/>
        <w:spacing w:before="120"/>
        <w:jc w:val="both"/>
        <w:rPr>
          <w:rFonts w:ascii="Times New Roman" w:hAnsi="Times New Roman"/>
          <w:sz w:val="24"/>
          <w:szCs w:val="24"/>
          <w:lang w:val="nl-NL"/>
        </w:rPr>
      </w:pPr>
      <w:r w:rsidRPr="00DC0890">
        <w:rPr>
          <w:rFonts w:ascii="Times New Roman" w:hAnsi="Times New Roman"/>
          <w:color w:val="000000"/>
          <w:sz w:val="24"/>
          <w:szCs w:val="24"/>
          <w:lang w:val="nl-NL"/>
        </w:rPr>
        <w:t>Một số yếu tố khác tác động đến thị trường trái phiếu trong năm 2022:</w:t>
      </w:r>
    </w:p>
    <w:p w14:paraId="053A645F" w14:textId="77777777" w:rsidR="00DC0890" w:rsidRPr="00DC0890" w:rsidRDefault="00DC0890" w:rsidP="00DC0890">
      <w:pPr>
        <w:pStyle w:val="ListParagraph"/>
        <w:numPr>
          <w:ilvl w:val="0"/>
          <w:numId w:val="12"/>
        </w:numPr>
        <w:shd w:val="clear" w:color="auto" w:fill="FFFFFF"/>
        <w:spacing w:before="120" w:after="0"/>
        <w:jc w:val="both"/>
        <w:rPr>
          <w:rFonts w:ascii="Times New Roman" w:eastAsia="Times New Roman" w:hAnsi="Times New Roman"/>
          <w:sz w:val="24"/>
          <w:szCs w:val="24"/>
          <w:lang w:val="nl-NL"/>
        </w:rPr>
      </w:pPr>
      <w:r w:rsidRPr="00DC0890">
        <w:rPr>
          <w:rFonts w:ascii="Times New Roman" w:eastAsia="Times New Roman" w:hAnsi="Times New Roman"/>
          <w:color w:val="000000"/>
          <w:sz w:val="24"/>
          <w:szCs w:val="24"/>
          <w:lang w:val="nl-NL"/>
        </w:rPr>
        <w:t>Giải ngân vốn đầu tư công và áp lực phát hành trái phiếu Chính phủ: Theo số liệu của Tổng cục Thống kê, vốn đầu tư toàn xã hội thực hiện năm 2021 tăng 3,2% so với năm 2020, đây là mức tăng thấp nhất trong giai đoạn 2011-2021 nhưng là kết quả khả quan trong bối cảnh đại dịch Covid-19 diễn biến phức tạp trong nước và trên thế giới.</w:t>
      </w:r>
    </w:p>
    <w:p w14:paraId="2C294530" w14:textId="77777777" w:rsidR="00DC0890" w:rsidRPr="00DC0890" w:rsidRDefault="00DC0890" w:rsidP="00DC0890">
      <w:pPr>
        <w:pStyle w:val="ListParagraph"/>
        <w:numPr>
          <w:ilvl w:val="0"/>
          <w:numId w:val="12"/>
        </w:numPr>
        <w:shd w:val="clear" w:color="auto" w:fill="FFFFFF"/>
        <w:spacing w:before="120" w:after="0"/>
        <w:jc w:val="both"/>
        <w:rPr>
          <w:rFonts w:ascii="Times New Roman" w:eastAsia="Times New Roman" w:hAnsi="Times New Roman"/>
          <w:sz w:val="24"/>
          <w:szCs w:val="24"/>
          <w:lang w:val="nl-NL"/>
        </w:rPr>
      </w:pPr>
      <w:r w:rsidRPr="00DC0890">
        <w:rPr>
          <w:rFonts w:ascii="Times New Roman" w:eastAsia="Times New Roman" w:hAnsi="Times New Roman"/>
          <w:color w:val="000000"/>
          <w:sz w:val="24"/>
          <w:szCs w:val="24"/>
          <w:lang w:val="nl-NL"/>
        </w:rPr>
        <w:t>Chính sách tiền tệ: Năm 2021 Ngân hàng Nhà nước kiên định với chính sách nới lỏng tiền tệ nhằm thúc đẩy kinh tế hỗ trợ phục hồi sau đại dịch. Trong bối cảnh khó khăn chưa từng thấy - Dịch bệnh tàn phá khủng khiếp, tăng trưởng kinh tế thấp kỷ lục - NHNN đã hoàn thành xuất sắc mục tiêu của mình là kiểm soát lạm phát ở mức thấp, góp phần ổn định kinh tế vĩ mô. Dự báo: áp lực lạm phát trong năm 2022 dù có tăng nhưng vẫn sẽ được kiểm soát dưới mức 4% giúp NHNN có cơ sở duy trì chính sách nới lỏng tiền tệ một cách linh hoạt.</w:t>
      </w:r>
    </w:p>
    <w:p w14:paraId="46501083" w14:textId="77777777" w:rsidR="00DC0890" w:rsidRPr="00DC0890" w:rsidRDefault="00DC0890" w:rsidP="00DC0890">
      <w:pPr>
        <w:pStyle w:val="ListParagraph"/>
        <w:numPr>
          <w:ilvl w:val="0"/>
          <w:numId w:val="12"/>
        </w:numPr>
        <w:shd w:val="clear" w:color="auto" w:fill="FFFFFF"/>
        <w:spacing w:before="120" w:after="0"/>
        <w:jc w:val="both"/>
        <w:rPr>
          <w:rFonts w:ascii="Times New Roman" w:eastAsia="Times New Roman" w:hAnsi="Times New Roman"/>
          <w:sz w:val="24"/>
          <w:szCs w:val="24"/>
          <w:lang w:val="nl-NL"/>
        </w:rPr>
      </w:pPr>
      <w:r w:rsidRPr="00DC0890">
        <w:rPr>
          <w:rFonts w:ascii="Times New Roman" w:eastAsia="Times New Roman" w:hAnsi="Times New Roman"/>
          <w:color w:val="000000"/>
          <w:sz w:val="24"/>
          <w:szCs w:val="24"/>
          <w:lang w:val="nl-NL"/>
        </w:rPr>
        <w:t>Chính sách tài khóa: Tổng thu NSNN đến ngày 31/12/2021 đạt 1.563,3 nghìn tỷ đồng, vượt 16,4% so với dự toán, tăng 3,7% so với thực hiện năm 2020. Chi NSNN hoàn thành mục tiêu đề ra. Dù còn khó khăn nhưng cả năm, bội chi NSNN thực hiện đạt dưới 4% GDP. Trong bối cảnh các nước trong khu vực đã phải tăng trần nợ công để tạo điều kiện thuận lợi thực hiện các biện pháp hỗ trợ nền kinh tế sau đại dịch Covid-19, không gian tài khóa của Việt Nam vẫn còn đủ mạnh để có thể thực hiện thêm các gói hỗ trợ tài khóa bên cạnh các gói chính sách như hiện tại.</w:t>
      </w:r>
    </w:p>
    <w:p w14:paraId="089655C6" w14:textId="77777777" w:rsidR="00DC0890" w:rsidRPr="00DC0890" w:rsidRDefault="00DC0890" w:rsidP="00DC0890">
      <w:pPr>
        <w:shd w:val="clear" w:color="auto" w:fill="FFFFFF"/>
        <w:spacing w:before="120"/>
        <w:jc w:val="both"/>
        <w:rPr>
          <w:rFonts w:ascii="Times New Roman" w:hAnsi="Times New Roman"/>
          <w:sz w:val="24"/>
          <w:szCs w:val="24"/>
          <w:lang w:val="nl-NL"/>
        </w:rPr>
      </w:pPr>
      <w:r w:rsidRPr="00DC0890">
        <w:rPr>
          <w:rFonts w:ascii="Times New Roman" w:hAnsi="Times New Roman"/>
          <w:color w:val="000000"/>
          <w:sz w:val="24"/>
          <w:szCs w:val="24"/>
          <w:lang w:val="nl-NL"/>
        </w:rPr>
        <w:t>Rủi ro biến động động ngoài dự kiến cho mặt bằng lãi suất có thể sẽ đến từ: (i) chiến tranh thương mại Mỹ- Trung Quốc ;(ii) khả năng kiểm soát Covid-19 trên phạm vi toàn cầu.</w:t>
      </w:r>
    </w:p>
    <w:p w14:paraId="3B48239E" w14:textId="0A653ACA" w:rsidR="004F4712" w:rsidRPr="00DC0890" w:rsidRDefault="00DC0890" w:rsidP="00DC0890">
      <w:pPr>
        <w:shd w:val="clear" w:color="auto" w:fill="FFFFFF"/>
        <w:tabs>
          <w:tab w:val="left" w:pos="540"/>
          <w:tab w:val="right" w:pos="9900"/>
        </w:tabs>
        <w:spacing w:before="120" w:after="0"/>
        <w:jc w:val="both"/>
        <w:rPr>
          <w:rFonts w:ascii="Times New Roman" w:hAnsi="Times New Roman"/>
          <w:sz w:val="24"/>
          <w:szCs w:val="24"/>
          <w:lang w:val="nl-NL"/>
        </w:rPr>
      </w:pPr>
      <w:r w:rsidRPr="00DC0890">
        <w:rPr>
          <w:rFonts w:ascii="Times New Roman" w:hAnsi="Times New Roman"/>
          <w:color w:val="000000"/>
          <w:sz w:val="24"/>
          <w:szCs w:val="24"/>
          <w:lang w:val="nl-NL"/>
        </w:rPr>
        <w:lastRenderedPageBreak/>
        <w:t>Từ các phân tích thị trường, Quỹ CBPF sẽ tiếp tục duy trì chiến lược đầu tư thận trọng, hạ thấp tỉ trọng các tài sản rủi ro trong giai đoạn sắp tới</w:t>
      </w:r>
      <w:r w:rsidR="004F4712" w:rsidRPr="00DC0890">
        <w:rPr>
          <w:rFonts w:ascii="Times New Roman" w:hAnsi="Times New Roman"/>
          <w:sz w:val="24"/>
          <w:szCs w:val="24"/>
          <w:lang w:val="nl-NL"/>
        </w:rPr>
        <w:t>.</w:t>
      </w:r>
    </w:p>
    <w:p w14:paraId="1781CEAE" w14:textId="3EFB6376" w:rsidR="00173960" w:rsidRPr="00DC0890" w:rsidRDefault="004F4712" w:rsidP="004F4712">
      <w:pPr>
        <w:shd w:val="clear" w:color="auto" w:fill="FFFFFF"/>
        <w:tabs>
          <w:tab w:val="left" w:pos="540"/>
        </w:tabs>
        <w:spacing w:before="120" w:after="0" w:line="240" w:lineRule="auto"/>
        <w:jc w:val="both"/>
        <w:rPr>
          <w:rFonts w:ascii="Times New Roman" w:hAnsi="Times New Roman"/>
          <w:sz w:val="24"/>
          <w:szCs w:val="24"/>
          <w:lang w:val="nl-NL"/>
        </w:rPr>
      </w:pPr>
      <w:r w:rsidRPr="00DC0890">
        <w:rPr>
          <w:rFonts w:ascii="Times New Roman" w:hAnsi="Times New Roman"/>
          <w:sz w:val="24"/>
          <w:szCs w:val="24"/>
          <w:lang w:val="nl-NL"/>
        </w:rPr>
        <w:t>Từ các phân tích thị trường, Quỹ CBPF sẽ tiếp tục duy trì chiến lược đầu tư thận trọng, hạ thấp tỉ trọng các tài sản rủi ro trong giai đoạn sắp tới.</w:t>
      </w:r>
    </w:p>
    <w:p w14:paraId="4F43EBCC" w14:textId="77777777" w:rsidR="001C4468" w:rsidRPr="00F2683A" w:rsidRDefault="001C4468" w:rsidP="004F4712">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t xml:space="preserve">VI. </w:t>
      </w:r>
      <w:r w:rsidR="004B07B4">
        <w:rPr>
          <w:rFonts w:ascii="Times New Roman" w:hAnsi="Times New Roman"/>
          <w:b/>
          <w:sz w:val="24"/>
          <w:szCs w:val="24"/>
          <w:lang w:val="nl-NL"/>
        </w:rPr>
        <w:tab/>
      </w:r>
      <w:r w:rsidRPr="00F2683A">
        <w:rPr>
          <w:rFonts w:ascii="Times New Roman" w:hAnsi="Times New Roman"/>
          <w:b/>
          <w:sz w:val="24"/>
          <w:szCs w:val="24"/>
          <w:lang w:val="nl-NL"/>
        </w:rPr>
        <w:t>T</w:t>
      </w:r>
      <w:r w:rsidR="004B07B4">
        <w:rPr>
          <w:rFonts w:ascii="Times New Roman" w:hAnsi="Times New Roman"/>
          <w:b/>
          <w:sz w:val="24"/>
          <w:szCs w:val="24"/>
          <w:lang w:val="nl-NL"/>
        </w:rPr>
        <w:t>HÔNG TIN KHÁC</w:t>
      </w:r>
    </w:p>
    <w:p w14:paraId="61E5FB69" w14:textId="5727BF5D" w:rsidR="005233EA" w:rsidRDefault="00C23979" w:rsidP="00B3750F">
      <w:pPr>
        <w:shd w:val="clear" w:color="auto" w:fill="FFFFFF"/>
        <w:tabs>
          <w:tab w:val="left" w:pos="540"/>
        </w:tabs>
        <w:spacing w:before="120" w:after="0" w:line="240" w:lineRule="auto"/>
        <w:jc w:val="both"/>
        <w:rPr>
          <w:rFonts w:ascii="Times New Roman" w:hAnsi="Times New Roman"/>
          <w:sz w:val="24"/>
          <w:szCs w:val="24"/>
          <w:lang w:val="nl-NL"/>
        </w:rPr>
      </w:pPr>
      <w:r w:rsidRPr="004B07B4">
        <w:rPr>
          <w:rFonts w:ascii="Times New Roman" w:hAnsi="Times New Roman"/>
          <w:sz w:val="24"/>
          <w:szCs w:val="24"/>
          <w:lang w:val="nl-NL"/>
        </w:rPr>
        <w:t>Quỹ không có nhân viên và được quản lý bởi Công ty T</w:t>
      </w:r>
      <w:r w:rsidR="004B07B4">
        <w:rPr>
          <w:rFonts w:ascii="Times New Roman" w:hAnsi="Times New Roman"/>
          <w:sz w:val="24"/>
          <w:szCs w:val="24"/>
          <w:lang w:val="nl-NL"/>
        </w:rPr>
        <w:t>rách Nhiệm Hữu Hạn Một Thành Viên</w:t>
      </w:r>
      <w:r w:rsidRPr="004B07B4">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4B07B4">
        <w:rPr>
          <w:rFonts w:ascii="Times New Roman" w:hAnsi="Times New Roman"/>
          <w:sz w:val="24"/>
          <w:szCs w:val="24"/>
          <w:lang w:val="nl-NL"/>
        </w:rPr>
        <w:t>.</w:t>
      </w:r>
    </w:p>
    <w:p w14:paraId="4EEAD59E" w14:textId="0DC22568" w:rsidR="00444BF6"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4B07B4">
        <w:rPr>
          <w:rFonts w:ascii="Times New Roman" w:hAnsi="Times New Roman"/>
          <w:b/>
          <w:sz w:val="24"/>
          <w:szCs w:val="24"/>
          <w:lang w:val="nl-NL"/>
        </w:rPr>
        <w:t>Nhân sự Ban điều hành công ty Quản lý quỹ gồm có:</w:t>
      </w:r>
    </w:p>
    <w:p w14:paraId="6C21B4EF" w14:textId="77777777" w:rsidR="003D4C55" w:rsidRDefault="003D4C55"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350" w:type="dxa"/>
        <w:tblInd w:w="108" w:type="dxa"/>
        <w:tblLook w:val="04A0" w:firstRow="1" w:lastRow="0" w:firstColumn="1" w:lastColumn="0" w:noHBand="0" w:noVBand="1"/>
      </w:tblPr>
      <w:tblGrid>
        <w:gridCol w:w="1911"/>
        <w:gridCol w:w="1389"/>
        <w:gridCol w:w="1042"/>
        <w:gridCol w:w="6008"/>
      </w:tblGrid>
      <w:tr w:rsidR="003D4C55" w:rsidRPr="00237688" w14:paraId="336FF6E5" w14:textId="77777777" w:rsidTr="00283ED1">
        <w:trPr>
          <w:trHeight w:val="535"/>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FEBC5"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Họ và tên</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1FE4C587"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Chức vụ</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14:paraId="267A812B"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Bằng cấp</w:t>
            </w:r>
          </w:p>
        </w:tc>
        <w:tc>
          <w:tcPr>
            <w:tcW w:w="6008" w:type="dxa"/>
            <w:tcBorders>
              <w:top w:val="single" w:sz="4" w:space="0" w:color="auto"/>
              <w:left w:val="nil"/>
              <w:bottom w:val="single" w:sz="4" w:space="0" w:color="auto"/>
              <w:right w:val="single" w:sz="4" w:space="0" w:color="auto"/>
            </w:tcBorders>
            <w:shd w:val="clear" w:color="auto" w:fill="auto"/>
            <w:noWrap/>
            <w:vAlign w:val="center"/>
            <w:hideMark/>
          </w:tcPr>
          <w:p w14:paraId="44BA2025"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Quá trình công tác</w:t>
            </w:r>
          </w:p>
        </w:tc>
      </w:tr>
      <w:tr w:rsidR="003D4C55" w:rsidRPr="00237688" w14:paraId="7D822E3A" w14:textId="77777777" w:rsidTr="00283ED1">
        <w:trPr>
          <w:trHeight w:val="3625"/>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695F85A8"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Bùi Thanh Hiệp</w:t>
            </w:r>
          </w:p>
        </w:tc>
        <w:tc>
          <w:tcPr>
            <w:tcW w:w="1389" w:type="dxa"/>
            <w:tcBorders>
              <w:top w:val="nil"/>
              <w:left w:val="nil"/>
              <w:bottom w:val="single" w:sz="4" w:space="0" w:color="auto"/>
              <w:right w:val="single" w:sz="4" w:space="0" w:color="auto"/>
            </w:tcBorders>
            <w:shd w:val="clear" w:color="auto" w:fill="auto"/>
            <w:vAlign w:val="center"/>
            <w:hideMark/>
          </w:tcPr>
          <w:p w14:paraId="10976F67" w14:textId="77777777" w:rsidR="003D4C55" w:rsidRPr="00237688" w:rsidRDefault="003D4C55" w:rsidP="00BC7FC4">
            <w:pPr>
              <w:jc w:val="center"/>
              <w:rPr>
                <w:rFonts w:ascii="Times New Roman" w:hAnsi="Times New Roman"/>
                <w:sz w:val="24"/>
                <w:szCs w:val="24"/>
                <w:lang w:val="nl-NL"/>
              </w:rPr>
            </w:pPr>
            <w:r>
              <w:rPr>
                <w:rFonts w:ascii="Times New Roman" w:hAnsi="Times New Roman"/>
                <w:sz w:val="24"/>
                <w:szCs w:val="24"/>
                <w:lang w:val="nl-NL"/>
              </w:rPr>
              <w:t>C</w:t>
            </w:r>
            <w:r w:rsidRPr="00237688">
              <w:rPr>
                <w:rFonts w:ascii="Times New Roman" w:hAnsi="Times New Roman"/>
                <w:sz w:val="24"/>
                <w:szCs w:val="24"/>
                <w:lang w:val="nl-NL"/>
              </w:rPr>
              <w:t>hủ tịch Công ty</w:t>
            </w:r>
          </w:p>
        </w:tc>
        <w:tc>
          <w:tcPr>
            <w:tcW w:w="1042" w:type="dxa"/>
            <w:tcBorders>
              <w:top w:val="nil"/>
              <w:left w:val="nil"/>
              <w:bottom w:val="single" w:sz="4" w:space="0" w:color="auto"/>
              <w:right w:val="single" w:sz="4" w:space="0" w:color="auto"/>
            </w:tcBorders>
            <w:shd w:val="clear" w:color="auto" w:fill="auto"/>
            <w:vAlign w:val="center"/>
            <w:hideMark/>
          </w:tcPr>
          <w:p w14:paraId="1C996F14"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CPA</w:t>
            </w:r>
          </w:p>
        </w:tc>
        <w:tc>
          <w:tcPr>
            <w:tcW w:w="6008" w:type="dxa"/>
            <w:tcBorders>
              <w:top w:val="nil"/>
              <w:left w:val="nil"/>
              <w:bottom w:val="single" w:sz="4" w:space="0" w:color="auto"/>
              <w:right w:val="single" w:sz="4" w:space="0" w:color="auto"/>
            </w:tcBorders>
            <w:shd w:val="clear" w:color="auto" w:fill="auto"/>
            <w:vAlign w:val="center"/>
            <w:hideMark/>
          </w:tcPr>
          <w:p w14:paraId="45470FA2" w14:textId="77777777" w:rsidR="003D4C55" w:rsidRPr="00237688"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Từ 2001 - 2005: Nắm giữ nhiều vị trí khác nhau tại Bộ phận tài chính – Manulife</w:t>
            </w:r>
            <w:r w:rsidRPr="00237688">
              <w:rPr>
                <w:rFonts w:ascii="Times New Roman" w:hAnsi="Times New Roman"/>
                <w:color w:val="000000"/>
                <w:sz w:val="24"/>
                <w:szCs w:val="24"/>
                <w:lang w:val="nl-NL" w:eastAsia="en-SG"/>
              </w:rPr>
              <w:t xml:space="preserve"> Việt Nam</w:t>
            </w:r>
          </w:p>
          <w:p w14:paraId="522F8AA0" w14:textId="77777777" w:rsidR="003D4C55" w:rsidRPr="00237688"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 xml:space="preserve">Từ 2005 - 2010: Kế toán trưởng – ACE </w:t>
            </w:r>
            <w:r w:rsidRPr="00237688">
              <w:rPr>
                <w:rFonts w:ascii="Times New Roman" w:hAnsi="Times New Roman"/>
                <w:color w:val="000000"/>
                <w:sz w:val="24"/>
                <w:szCs w:val="24"/>
                <w:lang w:val="nl-NL" w:eastAsia="en-SG"/>
              </w:rPr>
              <w:t>Life Việt Nam</w:t>
            </w:r>
          </w:p>
          <w:p w14:paraId="04E5EEA0" w14:textId="77777777" w:rsidR="003D4C55" w:rsidRPr="00237688" w:rsidRDefault="003D4C55" w:rsidP="00BC7FC4">
            <w:pPr>
              <w:spacing w:after="0"/>
              <w:jc w:val="both"/>
              <w:rPr>
                <w:rFonts w:ascii="Times New Roman" w:hAnsi="Times New Roman"/>
                <w:sz w:val="24"/>
                <w:szCs w:val="24"/>
                <w:lang w:val="nl-NL" w:eastAsia="en-SG"/>
              </w:rPr>
            </w:pPr>
            <w:r w:rsidRPr="00237688">
              <w:rPr>
                <w:rFonts w:ascii="Times New Roman" w:hAnsi="Times New Roman"/>
                <w:sz w:val="24"/>
                <w:szCs w:val="24"/>
                <w:lang w:val="nl-NL" w:eastAsia="en-SG"/>
              </w:rPr>
              <w:t>Từ 2010 - 2011: Trưởng Bộ phận Tài chính – VPĐD</w:t>
            </w:r>
            <w:r w:rsidRPr="00237688">
              <w:rPr>
                <w:rFonts w:ascii="Times New Roman" w:hAnsi="Times New Roman"/>
                <w:color w:val="000000"/>
                <w:sz w:val="24"/>
                <w:szCs w:val="24"/>
                <w:lang w:val="nl-NL"/>
              </w:rPr>
              <w:t> </w:t>
            </w:r>
            <w:r w:rsidRPr="00237688">
              <w:rPr>
                <w:rFonts w:ascii="Times New Roman" w:hAnsi="Times New Roman"/>
                <w:sz w:val="24"/>
                <w:szCs w:val="24"/>
                <w:lang w:val="nl-NL" w:eastAsia="en-SG"/>
              </w:rPr>
              <w:t>Generali Assicurazioni s.p.A VN</w:t>
            </w:r>
          </w:p>
          <w:p w14:paraId="04002315" w14:textId="77777777" w:rsidR="003D4C55" w:rsidRPr="00237688"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 xml:space="preserve">Từ 2011 - 2012: Kế toán trưởng - </w:t>
            </w:r>
            <w:r w:rsidRPr="00237688">
              <w:rPr>
                <w:rFonts w:ascii="Times New Roman" w:hAnsi="Times New Roman"/>
                <w:color w:val="000000"/>
                <w:sz w:val="24"/>
                <w:szCs w:val="24"/>
                <w:lang w:val="nl-NL" w:eastAsia="en-SG"/>
              </w:rPr>
              <w:t>Chubb Life Việt Nam</w:t>
            </w:r>
          </w:p>
          <w:p w14:paraId="144E7D87" w14:textId="77777777" w:rsidR="003D4C55" w:rsidRPr="00237688"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 xml:space="preserve">Từ 2012 - 2017: Phó chủ tịch - </w:t>
            </w:r>
            <w:r w:rsidRPr="00237688">
              <w:rPr>
                <w:rFonts w:ascii="Times New Roman" w:hAnsi="Times New Roman"/>
                <w:color w:val="000000"/>
                <w:sz w:val="24"/>
                <w:szCs w:val="24"/>
                <w:lang w:val="nl-NL" w:eastAsia="en-SG"/>
              </w:rPr>
              <w:t>Chubb Life Việt Nam</w:t>
            </w:r>
          </w:p>
          <w:p w14:paraId="22324D8E" w14:textId="77777777" w:rsidR="003D4C55" w:rsidRDefault="003D4C55" w:rsidP="00BC7FC4">
            <w:pPr>
              <w:spacing w:after="0"/>
              <w:jc w:val="both"/>
              <w:rPr>
                <w:rFonts w:ascii="Times New Roman" w:hAnsi="Times New Roman"/>
                <w:color w:val="000000"/>
                <w:sz w:val="24"/>
                <w:szCs w:val="24"/>
                <w:lang w:val="nl-NL" w:eastAsia="en-SG"/>
              </w:rPr>
            </w:pPr>
            <w:r w:rsidRPr="00237688">
              <w:rPr>
                <w:rFonts w:ascii="Times New Roman" w:hAnsi="Times New Roman"/>
                <w:sz w:val="24"/>
                <w:szCs w:val="24"/>
                <w:lang w:val="nl-NL" w:eastAsia="en-SG"/>
              </w:rPr>
              <w:t xml:space="preserve">Từ 2018 - nay: Phó </w:t>
            </w:r>
            <w:r w:rsidRPr="00237688">
              <w:rPr>
                <w:rFonts w:ascii="Times New Roman" w:hAnsi="Times New Roman"/>
                <w:color w:val="000000"/>
                <w:sz w:val="24"/>
                <w:szCs w:val="24"/>
                <w:lang w:val="nl-NL" w:eastAsia="en-SG"/>
              </w:rPr>
              <w:t>Tổng Giám đốc - Chubb Life Việt Nam</w:t>
            </w:r>
          </w:p>
          <w:p w14:paraId="7ED60C2F" w14:textId="77777777" w:rsidR="003D4C55" w:rsidRDefault="003D4C55" w:rsidP="00BC7FC4">
            <w:pPr>
              <w:spacing w:after="0"/>
              <w:jc w:val="both"/>
              <w:rPr>
                <w:rFonts w:ascii="Times New Roman" w:hAnsi="Times New Roman"/>
                <w:sz w:val="24"/>
                <w:szCs w:val="24"/>
                <w:lang w:val="nl-NL"/>
              </w:rPr>
            </w:pPr>
            <w:r>
              <w:rPr>
                <w:rFonts w:ascii="Times New Roman" w:hAnsi="Times New Roman"/>
                <w:color w:val="000000"/>
                <w:sz w:val="24"/>
                <w:szCs w:val="24"/>
                <w:lang w:val="nl-NL" w:eastAsia="en-SG"/>
              </w:rPr>
              <w:t xml:space="preserve">Từ 06/2019 - 12/2021: Phó Chủ tịch - </w:t>
            </w:r>
            <w:r w:rsidRPr="00237688">
              <w:rPr>
                <w:rFonts w:ascii="Times New Roman" w:hAnsi="Times New Roman"/>
                <w:sz w:val="24"/>
                <w:szCs w:val="24"/>
                <w:lang w:val="nl-NL"/>
              </w:rPr>
              <w:t>Công ty TNHH MTV Quản lý Quỹ Chubb Life</w:t>
            </w:r>
          </w:p>
          <w:p w14:paraId="749E71D7" w14:textId="77777777" w:rsidR="003D4C55" w:rsidRPr="00237688" w:rsidRDefault="003D4C55" w:rsidP="00BC7FC4">
            <w:pPr>
              <w:spacing w:after="0"/>
              <w:jc w:val="both"/>
              <w:rPr>
                <w:rFonts w:ascii="Times New Roman" w:eastAsiaTheme="minorHAnsi" w:hAnsi="Times New Roman"/>
                <w:sz w:val="24"/>
                <w:szCs w:val="24"/>
                <w:lang w:val="nl-NL" w:eastAsia="en-SG"/>
              </w:rPr>
            </w:pPr>
            <w:r>
              <w:rPr>
                <w:rFonts w:ascii="Times New Roman" w:hAnsi="Times New Roman"/>
                <w:sz w:val="24"/>
                <w:szCs w:val="24"/>
                <w:lang w:val="nl-NL"/>
              </w:rPr>
              <w:t xml:space="preserve">Từ 12/2021- nay: Chủ tịch </w:t>
            </w:r>
            <w:r>
              <w:rPr>
                <w:rFonts w:ascii="Times New Roman" w:hAnsi="Times New Roman"/>
                <w:color w:val="000000"/>
                <w:sz w:val="24"/>
                <w:szCs w:val="24"/>
                <w:lang w:val="nl-NL" w:eastAsia="en-SG"/>
              </w:rPr>
              <w:t xml:space="preserve">- </w:t>
            </w:r>
            <w:r w:rsidRPr="00237688">
              <w:rPr>
                <w:rFonts w:ascii="Times New Roman" w:hAnsi="Times New Roman"/>
                <w:sz w:val="24"/>
                <w:szCs w:val="24"/>
                <w:lang w:val="nl-NL"/>
              </w:rPr>
              <w:t>Công ty TNHH MTV Quản lý Quỹ Chubb Life</w:t>
            </w:r>
            <w:r>
              <w:rPr>
                <w:rFonts w:ascii="Times New Roman" w:hAnsi="Times New Roman"/>
                <w:sz w:val="24"/>
                <w:szCs w:val="24"/>
                <w:lang w:val="nl-NL"/>
              </w:rPr>
              <w:t>.</w:t>
            </w:r>
          </w:p>
        </w:tc>
      </w:tr>
      <w:tr w:rsidR="003D4C55" w:rsidRPr="00237688" w14:paraId="1C2234A2" w14:textId="77777777" w:rsidTr="00283ED1">
        <w:trPr>
          <w:trHeight w:val="2843"/>
        </w:trPr>
        <w:tc>
          <w:tcPr>
            <w:tcW w:w="1911" w:type="dxa"/>
            <w:tcBorders>
              <w:top w:val="nil"/>
              <w:left w:val="single" w:sz="4" w:space="0" w:color="auto"/>
              <w:bottom w:val="single" w:sz="4" w:space="0" w:color="auto"/>
              <w:right w:val="single" w:sz="4" w:space="0" w:color="auto"/>
            </w:tcBorders>
            <w:shd w:val="clear" w:color="auto" w:fill="auto"/>
            <w:vAlign w:val="center"/>
            <w:hideMark/>
          </w:tcPr>
          <w:p w14:paraId="06346148"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Đặng Thị Hồng Loan</w:t>
            </w:r>
          </w:p>
        </w:tc>
        <w:tc>
          <w:tcPr>
            <w:tcW w:w="1389" w:type="dxa"/>
            <w:tcBorders>
              <w:top w:val="nil"/>
              <w:left w:val="nil"/>
              <w:bottom w:val="single" w:sz="4" w:space="0" w:color="auto"/>
              <w:right w:val="single" w:sz="4" w:space="0" w:color="auto"/>
            </w:tcBorders>
            <w:shd w:val="clear" w:color="auto" w:fill="auto"/>
            <w:vAlign w:val="center"/>
            <w:hideMark/>
          </w:tcPr>
          <w:p w14:paraId="2284C486"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Giám đốc Công ty</w:t>
            </w:r>
          </w:p>
        </w:tc>
        <w:tc>
          <w:tcPr>
            <w:tcW w:w="1042" w:type="dxa"/>
            <w:tcBorders>
              <w:top w:val="nil"/>
              <w:left w:val="nil"/>
              <w:bottom w:val="single" w:sz="4" w:space="0" w:color="auto"/>
              <w:right w:val="single" w:sz="4" w:space="0" w:color="auto"/>
            </w:tcBorders>
            <w:shd w:val="clear" w:color="auto" w:fill="auto"/>
            <w:vAlign w:val="center"/>
            <w:hideMark/>
          </w:tcPr>
          <w:p w14:paraId="5A741973" w14:textId="77777777" w:rsidR="003D4C55" w:rsidRPr="00237688" w:rsidRDefault="003D4C55" w:rsidP="00BC7FC4">
            <w:pPr>
              <w:jc w:val="center"/>
              <w:rPr>
                <w:rFonts w:ascii="Times New Roman" w:hAnsi="Times New Roman"/>
                <w:sz w:val="24"/>
                <w:szCs w:val="24"/>
                <w:lang w:val="nl-NL"/>
              </w:rPr>
            </w:pPr>
            <w:r w:rsidRPr="00237688">
              <w:rPr>
                <w:rFonts w:ascii="Times New Roman" w:hAnsi="Times New Roman"/>
                <w:sz w:val="24"/>
                <w:szCs w:val="24"/>
                <w:lang w:val="nl-NL"/>
              </w:rPr>
              <w:t>CFA</w:t>
            </w:r>
          </w:p>
        </w:tc>
        <w:tc>
          <w:tcPr>
            <w:tcW w:w="6008" w:type="dxa"/>
            <w:tcBorders>
              <w:top w:val="nil"/>
              <w:left w:val="nil"/>
              <w:bottom w:val="single" w:sz="4" w:space="0" w:color="auto"/>
              <w:right w:val="single" w:sz="4" w:space="0" w:color="auto"/>
            </w:tcBorders>
            <w:shd w:val="clear" w:color="auto" w:fill="auto"/>
            <w:vAlign w:val="center"/>
            <w:hideMark/>
          </w:tcPr>
          <w:p w14:paraId="330149A3" w14:textId="77777777" w:rsidR="003D4C55" w:rsidRPr="00237688" w:rsidRDefault="003D4C55" w:rsidP="00BC7FC4">
            <w:pPr>
              <w:spacing w:after="0"/>
              <w:jc w:val="both"/>
              <w:rPr>
                <w:rFonts w:ascii="Times New Roman" w:hAnsi="Times New Roman"/>
                <w:sz w:val="24"/>
                <w:szCs w:val="24"/>
                <w:lang w:val="nl-NL"/>
              </w:rPr>
            </w:pPr>
            <w:r w:rsidRPr="00237688">
              <w:rPr>
                <w:rFonts w:ascii="Times New Roman" w:hAnsi="Times New Roman"/>
                <w:sz w:val="24"/>
                <w:szCs w:val="24"/>
                <w:lang w:val="nl-NL"/>
              </w:rPr>
              <w:t>Từ 2010 - 2016: Trưởng phòng cấp cao Đầu tư và Ngân Quỹ Công ty Bảo hiểm nhân thọ Prudential Việt nam</w:t>
            </w:r>
          </w:p>
          <w:p w14:paraId="5372CB87" w14:textId="77777777" w:rsidR="003D4C55" w:rsidRPr="00237688" w:rsidRDefault="003D4C55" w:rsidP="00BC7FC4">
            <w:pPr>
              <w:spacing w:after="0"/>
              <w:jc w:val="both"/>
              <w:rPr>
                <w:rFonts w:ascii="Times New Roman" w:hAnsi="Times New Roman"/>
                <w:sz w:val="24"/>
                <w:szCs w:val="24"/>
                <w:lang w:val="nl-NL"/>
              </w:rPr>
            </w:pPr>
            <w:r w:rsidRPr="00237688">
              <w:rPr>
                <w:rFonts w:ascii="Times New Roman" w:hAnsi="Times New Roman"/>
                <w:sz w:val="24"/>
                <w:szCs w:val="24"/>
                <w:lang w:val="nl-NL"/>
              </w:rPr>
              <w:t>Từ 2016 - 2019: Phó Giám đốc bộ phận chiến lược xây dựng và phân tích Kế hoạch tài chính Công ty tài chính Prudential Việt Nam</w:t>
            </w:r>
          </w:p>
          <w:p w14:paraId="75F6E7A9" w14:textId="77777777" w:rsidR="003D4C55" w:rsidRPr="00237688" w:rsidRDefault="003D4C55" w:rsidP="00BC7FC4">
            <w:pPr>
              <w:spacing w:after="0"/>
              <w:jc w:val="both"/>
              <w:rPr>
                <w:rFonts w:ascii="Times New Roman" w:hAnsi="Times New Roman"/>
                <w:sz w:val="24"/>
                <w:szCs w:val="24"/>
                <w:lang w:val="nl-NL"/>
              </w:rPr>
            </w:pPr>
            <w:r w:rsidRPr="00237688">
              <w:rPr>
                <w:rFonts w:ascii="Times New Roman" w:hAnsi="Times New Roman"/>
                <w:sz w:val="24"/>
                <w:szCs w:val="24"/>
                <w:lang w:val="nl-NL"/>
              </w:rPr>
              <w:t>Từ 12/2019 - nay: Giám đốc - Công ty TNHH MTV Quản lý Quỹ Chubb Life</w:t>
            </w:r>
          </w:p>
        </w:tc>
      </w:tr>
    </w:tbl>
    <w:p w14:paraId="60604796" w14:textId="4D23736B" w:rsidR="00CC3E02" w:rsidRDefault="00CC3E02" w:rsidP="00B3750F">
      <w:pPr>
        <w:tabs>
          <w:tab w:val="left" w:pos="720"/>
        </w:tabs>
        <w:jc w:val="both"/>
        <w:rPr>
          <w:rFonts w:ascii="Times New Roman" w:hAnsi="Times New Roman"/>
          <w:b/>
          <w:sz w:val="24"/>
          <w:szCs w:val="24"/>
          <w:lang w:val="nl-NL"/>
        </w:rPr>
      </w:pPr>
    </w:p>
    <w:p w14:paraId="640FA9A2" w14:textId="47EB9CEB" w:rsidR="00283ED1" w:rsidRDefault="00283ED1" w:rsidP="00B3750F">
      <w:pPr>
        <w:tabs>
          <w:tab w:val="left" w:pos="720"/>
        </w:tabs>
        <w:jc w:val="both"/>
        <w:rPr>
          <w:rFonts w:ascii="Times New Roman" w:hAnsi="Times New Roman"/>
          <w:b/>
          <w:sz w:val="24"/>
          <w:szCs w:val="24"/>
          <w:lang w:val="nl-NL"/>
        </w:rPr>
      </w:pPr>
    </w:p>
    <w:p w14:paraId="34EFC0E2" w14:textId="6CC76BF3" w:rsidR="00283ED1" w:rsidRDefault="00283ED1" w:rsidP="00B3750F">
      <w:pPr>
        <w:tabs>
          <w:tab w:val="left" w:pos="720"/>
        </w:tabs>
        <w:jc w:val="both"/>
        <w:rPr>
          <w:rFonts w:ascii="Times New Roman" w:hAnsi="Times New Roman"/>
          <w:b/>
          <w:sz w:val="24"/>
          <w:szCs w:val="24"/>
          <w:lang w:val="nl-NL"/>
        </w:rPr>
      </w:pPr>
    </w:p>
    <w:p w14:paraId="39853EEA" w14:textId="47CB77BD" w:rsidR="00283ED1" w:rsidRDefault="00283ED1" w:rsidP="00B3750F">
      <w:pPr>
        <w:tabs>
          <w:tab w:val="left" w:pos="720"/>
        </w:tabs>
        <w:jc w:val="both"/>
        <w:rPr>
          <w:rFonts w:ascii="Times New Roman" w:hAnsi="Times New Roman"/>
          <w:b/>
          <w:sz w:val="24"/>
          <w:szCs w:val="24"/>
          <w:lang w:val="nl-NL"/>
        </w:rPr>
      </w:pPr>
    </w:p>
    <w:p w14:paraId="63BD7A9B" w14:textId="77156A31" w:rsidR="00283ED1" w:rsidRDefault="00283ED1" w:rsidP="00B3750F">
      <w:pPr>
        <w:tabs>
          <w:tab w:val="left" w:pos="720"/>
        </w:tabs>
        <w:jc w:val="both"/>
        <w:rPr>
          <w:rFonts w:ascii="Times New Roman" w:hAnsi="Times New Roman"/>
          <w:b/>
          <w:sz w:val="24"/>
          <w:szCs w:val="24"/>
          <w:lang w:val="nl-NL"/>
        </w:rPr>
      </w:pPr>
    </w:p>
    <w:p w14:paraId="0B97CA7F" w14:textId="77777777" w:rsidR="00283ED1" w:rsidRDefault="00283ED1" w:rsidP="00B3750F">
      <w:pPr>
        <w:tabs>
          <w:tab w:val="left" w:pos="720"/>
        </w:tabs>
        <w:jc w:val="both"/>
        <w:rPr>
          <w:rFonts w:ascii="Times New Roman" w:hAnsi="Times New Roman"/>
          <w:b/>
          <w:sz w:val="24"/>
          <w:szCs w:val="24"/>
          <w:lang w:val="nl-NL"/>
        </w:rPr>
      </w:pPr>
    </w:p>
    <w:p w14:paraId="68A71CA2" w14:textId="77777777" w:rsidR="00444BF6" w:rsidRPr="00F2683A" w:rsidRDefault="00444BF6" w:rsidP="00B3750F">
      <w:pPr>
        <w:tabs>
          <w:tab w:val="left" w:pos="720"/>
        </w:tabs>
        <w:jc w:val="both"/>
        <w:rPr>
          <w:rFonts w:ascii="Times New Roman" w:hAnsi="Times New Roman"/>
          <w:sz w:val="24"/>
          <w:szCs w:val="24"/>
          <w:highlight w:val="yellow"/>
          <w:lang w:val="nl-NL"/>
        </w:rPr>
      </w:pPr>
      <w:r w:rsidRPr="00444BF6">
        <w:rPr>
          <w:rFonts w:ascii="Times New Roman" w:hAnsi="Times New Roman"/>
          <w:b/>
          <w:sz w:val="24"/>
          <w:szCs w:val="24"/>
          <w:lang w:val="nl-NL"/>
        </w:rPr>
        <w:lastRenderedPageBreak/>
        <w:t>Ban đại diện quỹ gồm có:</w:t>
      </w:r>
    </w:p>
    <w:tbl>
      <w:tblPr>
        <w:tblW w:w="10350" w:type="dxa"/>
        <w:tblInd w:w="108" w:type="dxa"/>
        <w:tblLook w:val="04A0" w:firstRow="1" w:lastRow="0" w:firstColumn="1" w:lastColumn="0" w:noHBand="0" w:noVBand="1"/>
      </w:tblPr>
      <w:tblGrid>
        <w:gridCol w:w="2160"/>
        <w:gridCol w:w="990"/>
        <w:gridCol w:w="990"/>
        <w:gridCol w:w="6210"/>
      </w:tblGrid>
      <w:tr w:rsidR="00202172" w:rsidRPr="00F2683A" w14:paraId="1BC163F5" w14:textId="77777777" w:rsidTr="00283ED1">
        <w:trPr>
          <w:trHeight w:val="541"/>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25634" w14:textId="77777777" w:rsidR="00202172" w:rsidRPr="00444BF6" w:rsidRDefault="00202172" w:rsidP="00444BF6">
            <w:pPr>
              <w:jc w:val="center"/>
              <w:rPr>
                <w:rFonts w:ascii="Times New Roman" w:hAnsi="Times New Roman"/>
                <w:b/>
                <w:sz w:val="24"/>
                <w:szCs w:val="24"/>
                <w:lang w:val="nl-NL"/>
              </w:rPr>
            </w:pPr>
            <w:bookmarkStart w:id="0" w:name="_Hlk14188218"/>
            <w:r w:rsidRPr="00444BF6">
              <w:rPr>
                <w:rFonts w:ascii="Times New Roman" w:hAnsi="Times New Roman"/>
                <w:b/>
                <w:sz w:val="24"/>
                <w:szCs w:val="24"/>
                <w:lang w:val="nl-NL"/>
              </w:rPr>
              <w:t>Họ và tên</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AB2038C" w14:textId="77777777"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A3EF909" w14:textId="77777777"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6210" w:type="dxa"/>
            <w:tcBorders>
              <w:top w:val="single" w:sz="4" w:space="0" w:color="auto"/>
              <w:left w:val="nil"/>
              <w:bottom w:val="single" w:sz="4" w:space="0" w:color="auto"/>
              <w:right w:val="single" w:sz="4" w:space="0" w:color="auto"/>
            </w:tcBorders>
            <w:shd w:val="clear" w:color="auto" w:fill="auto"/>
            <w:noWrap/>
            <w:vAlign w:val="center"/>
            <w:hideMark/>
          </w:tcPr>
          <w:p w14:paraId="6CE4ACAD" w14:textId="77777777"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202172" w:rsidRPr="00FF00EE" w14:paraId="17DCD3C6" w14:textId="77777777" w:rsidTr="00283ED1">
        <w:trPr>
          <w:trHeight w:val="71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5247243"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Trịnh Thanh Cần</w:t>
            </w:r>
          </w:p>
        </w:tc>
        <w:tc>
          <w:tcPr>
            <w:tcW w:w="990" w:type="dxa"/>
            <w:tcBorders>
              <w:top w:val="nil"/>
              <w:left w:val="nil"/>
              <w:bottom w:val="single" w:sz="4" w:space="0" w:color="auto"/>
              <w:right w:val="single" w:sz="4" w:space="0" w:color="auto"/>
            </w:tcBorders>
            <w:shd w:val="clear" w:color="auto" w:fill="auto"/>
            <w:vAlign w:val="center"/>
            <w:hideMark/>
          </w:tcPr>
          <w:p w14:paraId="42406063"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Chủ tịch </w:t>
            </w:r>
          </w:p>
        </w:tc>
        <w:tc>
          <w:tcPr>
            <w:tcW w:w="990" w:type="dxa"/>
            <w:tcBorders>
              <w:top w:val="nil"/>
              <w:left w:val="nil"/>
              <w:bottom w:val="single" w:sz="4" w:space="0" w:color="auto"/>
              <w:right w:val="single" w:sz="4" w:space="0" w:color="auto"/>
            </w:tcBorders>
            <w:shd w:val="clear" w:color="auto" w:fill="auto"/>
            <w:vAlign w:val="center"/>
            <w:hideMark/>
          </w:tcPr>
          <w:p w14:paraId="3ABE8CF5"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Cử nhân</w:t>
            </w:r>
          </w:p>
        </w:tc>
        <w:tc>
          <w:tcPr>
            <w:tcW w:w="6210" w:type="dxa"/>
            <w:tcBorders>
              <w:top w:val="nil"/>
              <w:left w:val="nil"/>
              <w:bottom w:val="single" w:sz="4" w:space="0" w:color="auto"/>
              <w:right w:val="single" w:sz="4" w:space="0" w:color="auto"/>
            </w:tcBorders>
            <w:shd w:val="clear" w:color="auto" w:fill="auto"/>
            <w:vAlign w:val="bottom"/>
            <w:hideMark/>
          </w:tcPr>
          <w:p w14:paraId="3B32686C" w14:textId="77777777" w:rsidR="00202172" w:rsidRPr="00444BF6" w:rsidRDefault="00D4016D" w:rsidP="00921F23">
            <w:pPr>
              <w:rPr>
                <w:rFonts w:ascii="Times New Roman" w:hAnsi="Times New Roman"/>
                <w:sz w:val="24"/>
                <w:szCs w:val="24"/>
                <w:lang w:val="nl-NL"/>
              </w:rPr>
            </w:pPr>
            <w:r w:rsidRPr="00D4016D">
              <w:rPr>
                <w:rFonts w:ascii="Times New Roman" w:hAnsi="Times New Roman"/>
                <w:sz w:val="24"/>
                <w:szCs w:val="24"/>
                <w:lang w:val="nl-NL"/>
              </w:rPr>
              <w:t>Từ 2000-2002: Trợ lý nghiên cứu -Công ty Quản lý Quỹ Tower Mỹ.</w:t>
            </w:r>
            <w:r w:rsidRPr="00D4016D">
              <w:rPr>
                <w:rFonts w:ascii="Times New Roman" w:hAnsi="Times New Roman"/>
                <w:sz w:val="24"/>
                <w:szCs w:val="24"/>
                <w:lang w:val="nl-NL"/>
              </w:rPr>
              <w:br/>
              <w:t>Từ 2002-2003: Chuyên viên - Ngân hàng Downey Savings-Mỹ.</w:t>
            </w:r>
            <w:r w:rsidRPr="00D4016D">
              <w:rPr>
                <w:rFonts w:ascii="Times New Roman" w:hAnsi="Times New Roman"/>
                <w:sz w:val="24"/>
                <w:szCs w:val="24"/>
                <w:lang w:val="nl-NL"/>
              </w:rPr>
              <w:br/>
              <w:t>Từ 2003-2005: Chuyên viên đầu tư - Công ty Quản lý Quỹ Vinacapital Việt Nam.</w:t>
            </w:r>
            <w:r w:rsidRPr="00D4016D">
              <w:rPr>
                <w:rFonts w:ascii="Times New Roman" w:hAnsi="Times New Roman"/>
                <w:sz w:val="24"/>
                <w:szCs w:val="24"/>
                <w:lang w:val="nl-NL"/>
              </w:rPr>
              <w:br/>
              <w:t>Từ 2005-2006: Giám đốc Quan hệ Khách hàng - Ngân hàng HSBC Việt Nam.</w:t>
            </w:r>
            <w:r w:rsidRPr="00D4016D">
              <w:rPr>
                <w:rFonts w:ascii="Times New Roman" w:hAnsi="Times New Roman"/>
                <w:sz w:val="24"/>
                <w:szCs w:val="24"/>
                <w:lang w:val="nl-NL"/>
              </w:rPr>
              <w:br/>
              <w:t>Từ 2006-2007: Giám đốc đầu tư - Công ty Quản lý Quỹ Bản Việt.</w:t>
            </w:r>
            <w:r w:rsidRPr="00D4016D">
              <w:rPr>
                <w:rFonts w:ascii="Times New Roman" w:hAnsi="Times New Roman"/>
                <w:sz w:val="24"/>
                <w:szCs w:val="24"/>
                <w:lang w:val="nl-NL"/>
              </w:rPr>
              <w:br/>
              <w:t>Từ 2007-2011: Giám đốc phân tích -Công ty C</w:t>
            </w:r>
            <w:r w:rsidR="00921F23">
              <w:rPr>
                <w:rFonts w:ascii="Times New Roman" w:hAnsi="Times New Roman"/>
                <w:sz w:val="24"/>
                <w:szCs w:val="24"/>
                <w:lang w:val="nl-NL"/>
              </w:rPr>
              <w:t>ổ</w:t>
            </w:r>
            <w:r w:rsidRPr="00D4016D">
              <w:rPr>
                <w:rFonts w:ascii="Times New Roman" w:hAnsi="Times New Roman"/>
                <w:sz w:val="24"/>
                <w:szCs w:val="24"/>
                <w:lang w:val="nl-NL"/>
              </w:rPr>
              <w:t xml:space="preserve"> phần Chứng khoán Bản Việt.</w:t>
            </w:r>
            <w:r w:rsidRPr="00D4016D">
              <w:rPr>
                <w:rFonts w:ascii="Times New Roman" w:hAnsi="Times New Roman"/>
                <w:sz w:val="24"/>
                <w:szCs w:val="24"/>
                <w:lang w:val="nl-NL"/>
              </w:rPr>
              <w:br/>
              <w:t>Từ 2011-2015: Giám đốc điều hành khối Tư vấn tài chính doanh nghiệp - Công ty chứng khoán HSC.</w:t>
            </w:r>
            <w:r w:rsidRPr="00D4016D">
              <w:rPr>
                <w:rFonts w:ascii="Times New Roman" w:hAnsi="Times New Roman"/>
                <w:sz w:val="24"/>
                <w:szCs w:val="24"/>
                <w:lang w:val="nl-NL"/>
              </w:rPr>
              <w:br/>
              <w:t>Từ 2015-nay: Tổng giám đốc -Công ty TNHH Chứng khoán ACB</w:t>
            </w:r>
          </w:p>
        </w:tc>
      </w:tr>
      <w:tr w:rsidR="00202172" w:rsidRPr="00031ABF" w14:paraId="7C0FC887" w14:textId="77777777" w:rsidTr="00283ED1">
        <w:trPr>
          <w:trHeight w:val="3529"/>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DB512EC"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Nguyễn Trọng Đức</w:t>
            </w:r>
          </w:p>
        </w:tc>
        <w:tc>
          <w:tcPr>
            <w:tcW w:w="990" w:type="dxa"/>
            <w:tcBorders>
              <w:top w:val="nil"/>
              <w:left w:val="nil"/>
              <w:bottom w:val="single" w:sz="4" w:space="0" w:color="auto"/>
              <w:right w:val="single" w:sz="4" w:space="0" w:color="auto"/>
            </w:tcBorders>
            <w:shd w:val="clear" w:color="auto" w:fill="auto"/>
            <w:noWrap/>
            <w:vAlign w:val="center"/>
            <w:hideMark/>
          </w:tcPr>
          <w:p w14:paraId="76A39FDA"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Thành viên </w:t>
            </w:r>
          </w:p>
        </w:tc>
        <w:tc>
          <w:tcPr>
            <w:tcW w:w="990" w:type="dxa"/>
            <w:tcBorders>
              <w:top w:val="nil"/>
              <w:left w:val="nil"/>
              <w:bottom w:val="single" w:sz="4" w:space="0" w:color="auto"/>
              <w:right w:val="single" w:sz="4" w:space="0" w:color="auto"/>
            </w:tcBorders>
            <w:shd w:val="clear" w:color="auto" w:fill="auto"/>
            <w:noWrap/>
            <w:vAlign w:val="center"/>
            <w:hideMark/>
          </w:tcPr>
          <w:p w14:paraId="7E387044"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Thạc sỹ</w:t>
            </w:r>
          </w:p>
        </w:tc>
        <w:tc>
          <w:tcPr>
            <w:tcW w:w="6210" w:type="dxa"/>
            <w:tcBorders>
              <w:top w:val="nil"/>
              <w:left w:val="nil"/>
              <w:bottom w:val="single" w:sz="4" w:space="0" w:color="auto"/>
              <w:right w:val="single" w:sz="4" w:space="0" w:color="auto"/>
            </w:tcBorders>
            <w:shd w:val="clear" w:color="auto" w:fill="auto"/>
            <w:vAlign w:val="bottom"/>
            <w:hideMark/>
          </w:tcPr>
          <w:p w14:paraId="5637ED7E" w14:textId="77777777" w:rsidR="00D4016D" w:rsidRPr="00D4016D" w:rsidRDefault="00D4016D" w:rsidP="00D4016D">
            <w:pPr>
              <w:spacing w:before="40" w:after="40"/>
              <w:rPr>
                <w:rFonts w:ascii="Times New Roman" w:hAnsi="Times New Roman"/>
                <w:sz w:val="24"/>
                <w:szCs w:val="24"/>
                <w:lang w:val="nl-NL"/>
              </w:rPr>
            </w:pPr>
            <w:r w:rsidRPr="00D4016D">
              <w:rPr>
                <w:rFonts w:ascii="Times New Roman" w:hAnsi="Times New Roman"/>
                <w:sz w:val="24"/>
                <w:szCs w:val="24"/>
                <w:lang w:val="nl-NL"/>
              </w:rPr>
              <w:t>Từ 1995-1999: Kiểm toán viên - Công ty Kiểm toán KPMG.</w:t>
            </w:r>
            <w:r w:rsidRPr="00D4016D">
              <w:rPr>
                <w:rFonts w:ascii="Times New Roman" w:hAnsi="Times New Roman"/>
                <w:sz w:val="24"/>
                <w:szCs w:val="24"/>
                <w:lang w:val="nl-NL"/>
              </w:rPr>
              <w:br/>
              <w:t>Từ 1999-2000: Trưởng phòng Kiểm toán Nội bộ - Công ty Victoria Việt Nam Group</w:t>
            </w:r>
            <w:r w:rsidRPr="00D4016D">
              <w:rPr>
                <w:rFonts w:ascii="Times New Roman" w:hAnsi="Times New Roman"/>
                <w:sz w:val="24"/>
                <w:szCs w:val="24"/>
                <w:lang w:val="nl-NL"/>
              </w:rPr>
              <w:br/>
              <w:t>Từ 2000-2002: Giám đốc tài chính tập đoàn - Công ty Victoria Việt Nam Group</w:t>
            </w:r>
            <w:r w:rsidRPr="00D4016D">
              <w:rPr>
                <w:rFonts w:ascii="Times New Roman" w:hAnsi="Times New Roman"/>
                <w:sz w:val="24"/>
                <w:szCs w:val="24"/>
                <w:lang w:val="nl-NL"/>
              </w:rPr>
              <w:br/>
              <w:t>Từ 2002-2004: Giám đốc tài chính -Công ty Philips Electronics Việt nam</w:t>
            </w:r>
            <w:r w:rsidRPr="00D4016D">
              <w:rPr>
                <w:rFonts w:ascii="Times New Roman" w:hAnsi="Times New Roman"/>
                <w:sz w:val="24"/>
                <w:szCs w:val="24"/>
                <w:lang w:val="nl-NL"/>
              </w:rPr>
              <w:br/>
              <w:t xml:space="preserve">Từ 2004- 2015: Giám đốc tài chính-Công ty Ogilvy &amp; Mather Việt Nam </w:t>
            </w:r>
          </w:p>
          <w:p w14:paraId="3A9EE04D" w14:textId="77777777" w:rsidR="00497DBF" w:rsidRPr="00444BF6" w:rsidRDefault="00D4016D" w:rsidP="00D4016D">
            <w:pPr>
              <w:spacing w:after="0"/>
              <w:rPr>
                <w:rFonts w:ascii="Times New Roman" w:hAnsi="Times New Roman"/>
                <w:sz w:val="24"/>
                <w:szCs w:val="24"/>
                <w:lang w:val="nl-NL"/>
              </w:rPr>
            </w:pPr>
            <w:r w:rsidRPr="00D4016D">
              <w:rPr>
                <w:rFonts w:ascii="Times New Roman" w:hAnsi="Times New Roman"/>
                <w:sz w:val="24"/>
                <w:szCs w:val="24"/>
                <w:lang w:val="nl-NL"/>
              </w:rPr>
              <w:t>Từ</w:t>
            </w:r>
            <w:r w:rsidR="00594B97">
              <w:rPr>
                <w:rFonts w:ascii="Times New Roman" w:hAnsi="Times New Roman"/>
                <w:sz w:val="24"/>
                <w:szCs w:val="24"/>
                <w:lang w:val="nl-NL"/>
              </w:rPr>
              <w:t xml:space="preserve"> 2015- 2018: </w:t>
            </w:r>
            <w:r w:rsidRPr="00D4016D">
              <w:rPr>
                <w:rFonts w:ascii="Times New Roman" w:hAnsi="Times New Roman"/>
                <w:sz w:val="24"/>
                <w:szCs w:val="24"/>
                <w:lang w:val="nl-NL"/>
              </w:rPr>
              <w:t>Giám đốc điều hành hoạt động/Giám đốc tài chính-Công ty Ogilvy &amp; Mather Việt Nam</w:t>
            </w:r>
            <w:r w:rsidRPr="00D4016D">
              <w:rPr>
                <w:rFonts w:ascii="Times New Roman" w:hAnsi="Times New Roman"/>
                <w:sz w:val="24"/>
                <w:szCs w:val="24"/>
                <w:lang w:val="nl-NL"/>
              </w:rPr>
              <w:br/>
              <w:t>Từ</w:t>
            </w:r>
            <w:r w:rsidR="007E37CF">
              <w:rPr>
                <w:rFonts w:ascii="Times New Roman" w:hAnsi="Times New Roman"/>
                <w:sz w:val="24"/>
                <w:szCs w:val="24"/>
                <w:lang w:val="nl-NL"/>
              </w:rPr>
              <w:t xml:space="preserve"> 6/2018- </w:t>
            </w:r>
            <w:r w:rsidR="00B93AED">
              <w:rPr>
                <w:rFonts w:ascii="Times New Roman" w:hAnsi="Times New Roman"/>
                <w:sz w:val="24"/>
                <w:szCs w:val="24"/>
                <w:lang w:val="nl-NL"/>
              </w:rPr>
              <w:t>2019</w:t>
            </w:r>
            <w:r w:rsidR="007E37CF">
              <w:rPr>
                <w:rFonts w:ascii="Times New Roman" w:hAnsi="Times New Roman"/>
                <w:sz w:val="24"/>
                <w:szCs w:val="24"/>
                <w:lang w:val="nl-NL"/>
              </w:rPr>
              <w:t xml:space="preserve">: </w:t>
            </w:r>
            <w:r w:rsidRPr="00D4016D">
              <w:rPr>
                <w:rFonts w:ascii="Times New Roman" w:hAnsi="Times New Roman"/>
                <w:sz w:val="24"/>
                <w:szCs w:val="24"/>
                <w:lang w:val="nl-NL"/>
              </w:rPr>
              <w:t>Tổng giám đốc -Công ty Ogilvy &amp; Mather Việt Nam.</w:t>
            </w:r>
          </w:p>
        </w:tc>
      </w:tr>
      <w:tr w:rsidR="00202172" w:rsidRPr="00031ABF" w14:paraId="0797C3E1" w14:textId="77777777" w:rsidTr="00283ED1">
        <w:trPr>
          <w:trHeight w:val="3213"/>
        </w:trPr>
        <w:tc>
          <w:tcPr>
            <w:tcW w:w="216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048CEC17" w14:textId="77777777"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lastRenderedPageBreak/>
              <w:t>Trần Việt Hương</w:t>
            </w:r>
          </w:p>
        </w:tc>
        <w:tc>
          <w:tcPr>
            <w:tcW w:w="990" w:type="dxa"/>
            <w:tcBorders>
              <w:top w:val="single" w:sz="4" w:space="0" w:color="000000"/>
              <w:left w:val="nil"/>
              <w:bottom w:val="single" w:sz="4" w:space="0" w:color="auto"/>
              <w:right w:val="single" w:sz="4" w:space="0" w:color="auto"/>
            </w:tcBorders>
            <w:shd w:val="clear" w:color="auto" w:fill="auto"/>
            <w:noWrap/>
            <w:vAlign w:val="center"/>
            <w:hideMark/>
          </w:tcPr>
          <w:p w14:paraId="2D49EA60" w14:textId="77777777"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990" w:type="dxa"/>
            <w:tcBorders>
              <w:top w:val="single" w:sz="4" w:space="0" w:color="000000"/>
              <w:left w:val="nil"/>
              <w:bottom w:val="single" w:sz="4" w:space="0" w:color="auto"/>
              <w:right w:val="single" w:sz="4" w:space="0" w:color="auto"/>
            </w:tcBorders>
            <w:shd w:val="clear" w:color="auto" w:fill="auto"/>
            <w:noWrap/>
            <w:vAlign w:val="center"/>
            <w:hideMark/>
          </w:tcPr>
          <w:p w14:paraId="07B12B50" w14:textId="77777777"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Luật sư</w:t>
            </w:r>
          </w:p>
        </w:tc>
        <w:tc>
          <w:tcPr>
            <w:tcW w:w="6210" w:type="dxa"/>
            <w:tcBorders>
              <w:top w:val="single" w:sz="4" w:space="0" w:color="000000"/>
              <w:left w:val="nil"/>
              <w:bottom w:val="single" w:sz="4" w:space="0" w:color="auto"/>
              <w:right w:val="single" w:sz="4" w:space="0" w:color="auto"/>
            </w:tcBorders>
            <w:shd w:val="clear" w:color="auto" w:fill="auto"/>
            <w:vAlign w:val="bottom"/>
            <w:hideMark/>
          </w:tcPr>
          <w:p w14:paraId="32D745A6" w14:textId="77777777" w:rsidR="00202172" w:rsidRPr="00444BF6" w:rsidRDefault="00202172" w:rsidP="00173960">
            <w:pPr>
              <w:spacing w:before="120" w:after="120"/>
              <w:rPr>
                <w:rFonts w:ascii="Times New Roman" w:hAnsi="Times New Roman"/>
                <w:sz w:val="24"/>
                <w:szCs w:val="24"/>
                <w:lang w:val="nl-NL"/>
              </w:rPr>
            </w:pPr>
            <w:r w:rsidRPr="00444BF6">
              <w:rPr>
                <w:rFonts w:ascii="Times New Roman" w:hAnsi="Times New Roman"/>
                <w:sz w:val="24"/>
                <w:szCs w:val="24"/>
                <w:lang w:val="nl-NL"/>
              </w:rPr>
              <w:t>Từ 1995</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1997: Tư vấn thuế &amp; Đầu tư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kiểm toán và tư vấn Cooper &amp; Lybrand – AISC</w:t>
            </w:r>
            <w:r w:rsidRPr="00444BF6">
              <w:rPr>
                <w:rFonts w:ascii="Times New Roman" w:hAnsi="Times New Roman"/>
                <w:sz w:val="24"/>
                <w:szCs w:val="24"/>
                <w:lang w:val="nl-NL"/>
              </w:rPr>
              <w:br/>
              <w:t>Từ 1998</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2000: Tư vấn thuế &amp; Đầu tư</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Kiểm toán KPMG</w:t>
            </w:r>
            <w:r w:rsidRPr="00444BF6">
              <w:rPr>
                <w:rFonts w:ascii="Times New Roman" w:hAnsi="Times New Roman"/>
                <w:sz w:val="24"/>
                <w:szCs w:val="24"/>
                <w:lang w:val="nl-NL"/>
              </w:rPr>
              <w:br/>
              <w:t>Từ 2000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2003: Phó trưởng Đại diện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VPĐD Pacific Rim Enterprises, LLC</w:t>
            </w:r>
            <w:r w:rsidRPr="00444BF6">
              <w:rPr>
                <w:rFonts w:ascii="Times New Roman" w:hAnsi="Times New Roman"/>
                <w:sz w:val="24"/>
                <w:szCs w:val="24"/>
                <w:lang w:val="nl-NL"/>
              </w:rPr>
              <w:br/>
              <w:t>Từ 2003</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2006: Phó giám đốc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Nhiệt Đới</w:t>
            </w:r>
            <w:r w:rsidRPr="00444BF6">
              <w:rPr>
                <w:rFonts w:ascii="Times New Roman" w:hAnsi="Times New Roman"/>
                <w:sz w:val="24"/>
                <w:szCs w:val="24"/>
                <w:lang w:val="nl-NL"/>
              </w:rPr>
              <w:br/>
              <w:t>Từ 2006</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2008: Phó Tổng giám đốc</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CP An Gia</w:t>
            </w:r>
            <w:r w:rsidRPr="00444BF6">
              <w:rPr>
                <w:rFonts w:ascii="Times New Roman" w:hAnsi="Times New Roman"/>
                <w:sz w:val="24"/>
                <w:szCs w:val="24"/>
                <w:lang w:val="nl-NL"/>
              </w:rPr>
              <w:br/>
              <w:t>Từ 2011</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Luật sư thành viên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Công ty </w:t>
            </w:r>
            <w:r w:rsidR="002410E7">
              <w:rPr>
                <w:rFonts w:ascii="Times New Roman" w:hAnsi="Times New Roman"/>
                <w:sz w:val="24"/>
                <w:szCs w:val="24"/>
                <w:lang w:val="nl-NL"/>
              </w:rPr>
              <w:t>L</w:t>
            </w:r>
            <w:r w:rsidRPr="00444BF6">
              <w:rPr>
                <w:rFonts w:ascii="Times New Roman" w:hAnsi="Times New Roman"/>
                <w:sz w:val="24"/>
                <w:szCs w:val="24"/>
                <w:lang w:val="nl-NL"/>
              </w:rPr>
              <w:t>uật Avenir</w:t>
            </w:r>
            <w:r w:rsidRPr="00444BF6">
              <w:rPr>
                <w:rFonts w:ascii="Times New Roman" w:hAnsi="Times New Roman"/>
                <w:sz w:val="24"/>
                <w:szCs w:val="24"/>
                <w:lang w:val="nl-NL"/>
              </w:rPr>
              <w:br/>
              <w:t>Từ 2010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Giám đốc Điều hành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Mễ Tân</w:t>
            </w:r>
          </w:p>
        </w:tc>
      </w:tr>
    </w:tbl>
    <w:bookmarkEnd w:id="0"/>
    <w:p w14:paraId="432D5FCB" w14:textId="585F983E" w:rsidR="003D4C55" w:rsidRDefault="00202172" w:rsidP="00444BF6">
      <w:pPr>
        <w:jc w:val="both"/>
        <w:rPr>
          <w:rFonts w:ascii="Times New Roman" w:hAnsi="Times New Roman"/>
          <w:b/>
          <w:sz w:val="24"/>
          <w:szCs w:val="24"/>
          <w:lang w:val="nl-NL"/>
        </w:rPr>
      </w:pPr>
      <w:r w:rsidRPr="00444BF6">
        <w:rPr>
          <w:rFonts w:ascii="Times New Roman" w:hAnsi="Times New Roman"/>
          <w:b/>
          <w:sz w:val="24"/>
          <w:szCs w:val="24"/>
          <w:lang w:val="nl-NL"/>
        </w:rPr>
        <w:t>Nhân sự điều hành Quỹ gồm có:</w:t>
      </w:r>
    </w:p>
    <w:tbl>
      <w:tblPr>
        <w:tblW w:w="10350" w:type="dxa"/>
        <w:tblInd w:w="108" w:type="dxa"/>
        <w:tblLook w:val="04A0" w:firstRow="1" w:lastRow="0" w:firstColumn="1" w:lastColumn="0" w:noHBand="0" w:noVBand="1"/>
      </w:tblPr>
      <w:tblGrid>
        <w:gridCol w:w="2250"/>
        <w:gridCol w:w="1170"/>
        <w:gridCol w:w="1170"/>
        <w:gridCol w:w="5760"/>
      </w:tblGrid>
      <w:tr w:rsidR="003D4C55" w:rsidRPr="00237688" w14:paraId="5E287A4B" w14:textId="77777777" w:rsidTr="00283ED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1E75"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8A52C9F"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3AD997F"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Bằng cấp</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35E6466C"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Quá trình công tác</w:t>
            </w:r>
          </w:p>
        </w:tc>
      </w:tr>
      <w:tr w:rsidR="003D4C55" w:rsidRPr="00237688" w14:paraId="6BE15FBE" w14:textId="77777777" w:rsidTr="00283ED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88003"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Nguyễn Thị Bích Ngọc</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F83DB17"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Thành viên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078DFB0"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Cử nhân</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182A5714" w14:textId="77777777"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2003 - 2006: Nhân viên giao dịch – Cty Cổ phần Chứng Khoán Mê Kông.</w:t>
            </w:r>
            <w:r w:rsidRPr="003D4C55">
              <w:rPr>
                <w:rFonts w:ascii="Times New Roman" w:hAnsi="Times New Roman"/>
                <w:bCs/>
                <w:sz w:val="24"/>
                <w:szCs w:val="24"/>
                <w:lang w:val="nl-NL"/>
              </w:rPr>
              <w:br/>
              <w:t>Từ 2007 - 2011: Trưởng phòng DVKH – Công ty CP Chứng khoán Quốc tế Việt Nam.</w:t>
            </w:r>
            <w:r w:rsidRPr="003D4C55">
              <w:rPr>
                <w:rFonts w:ascii="Times New Roman" w:hAnsi="Times New Roman"/>
                <w:bCs/>
                <w:sz w:val="24"/>
                <w:szCs w:val="24"/>
                <w:lang w:val="nl-NL"/>
              </w:rPr>
              <w:br/>
              <w:t>Từ 2011 - 2012: Trưởng phòng Môi giới – Cty CP Chứng khoán Golden Bridge.</w:t>
            </w:r>
            <w:r w:rsidRPr="003D4C55">
              <w:rPr>
                <w:rFonts w:ascii="Times New Roman" w:hAnsi="Times New Roman"/>
                <w:bCs/>
                <w:sz w:val="24"/>
                <w:szCs w:val="24"/>
                <w:lang w:val="nl-NL"/>
              </w:rPr>
              <w:br/>
              <w:t>Từ 2013 - 2015: Phụ trách phòng Phát triển khách hàng – Công ty CP Chứng khoán MB.</w:t>
            </w:r>
          </w:p>
          <w:p w14:paraId="2B5B6293" w14:textId="77777777"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2015 – nay: Phó phòng Công ty TNHH MTV Quản lý Quỹ Chubb Life.</w:t>
            </w:r>
          </w:p>
        </w:tc>
      </w:tr>
      <w:tr w:rsidR="003D4C55" w:rsidRPr="00237688" w14:paraId="6C11CFFB" w14:textId="77777777" w:rsidTr="00283ED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2DAA8"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Đinh Thị Hồng Vân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42B48C2"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Thành viên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B92F944"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Cử nhân</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307187C9" w14:textId="77777777"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09/2011-12/2011: Nhân viên phân tích tài chính – Công ty CP Đầu tư Long Quân.</w:t>
            </w:r>
            <w:r w:rsidRPr="003D4C55">
              <w:rPr>
                <w:rFonts w:ascii="Times New Roman" w:hAnsi="Times New Roman"/>
                <w:bCs/>
                <w:sz w:val="24"/>
                <w:szCs w:val="24"/>
                <w:lang w:val="nl-NL"/>
              </w:rPr>
              <w:br/>
              <w:t>Từ 01/2012-01/2020: Nhân viên phân tích đầu tư - Công ty CP Quản lý quỹ Đầu tư chứng khoán Việt Long.</w:t>
            </w:r>
            <w:r w:rsidRPr="003D4C55">
              <w:rPr>
                <w:rFonts w:ascii="Times New Roman" w:hAnsi="Times New Roman"/>
                <w:bCs/>
                <w:sz w:val="24"/>
                <w:szCs w:val="24"/>
                <w:lang w:val="nl-NL"/>
              </w:rPr>
              <w:br/>
              <w:t xml:space="preserve">Từ 02/2020 – 09/2020: Phó Giám đốc Tài chính – Kế hoạch Tổng Công ty Bến Thành TNHH MTV </w:t>
            </w:r>
          </w:p>
          <w:p w14:paraId="0E72FAF2" w14:textId="77777777"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09/2020 đến nay: Giám sát - Công ty TNHH MTV Quản lý Quỹ Chubb Life.</w:t>
            </w:r>
          </w:p>
        </w:tc>
      </w:tr>
    </w:tbl>
    <w:p w14:paraId="708B30D5" w14:textId="192334B4" w:rsidR="001608A7" w:rsidRPr="00BE23E9" w:rsidRDefault="001608A7" w:rsidP="00CB34F6">
      <w:pPr>
        <w:ind w:left="4320"/>
        <w:jc w:val="center"/>
        <w:rPr>
          <w:rFonts w:ascii="Times New Roman" w:hAnsi="Times New Roman"/>
          <w:i/>
          <w:sz w:val="24"/>
          <w:szCs w:val="24"/>
          <w:lang w:val="nl-NL"/>
        </w:rPr>
      </w:pPr>
      <w:r w:rsidRPr="00BE23E9">
        <w:rPr>
          <w:rFonts w:ascii="Times New Roman" w:hAnsi="Times New Roman"/>
          <w:i/>
          <w:sz w:val="24"/>
          <w:szCs w:val="24"/>
          <w:lang w:val="nl-NL"/>
        </w:rPr>
        <w:t>T</w:t>
      </w:r>
      <w:r w:rsidR="006D1E5F" w:rsidRPr="00BE23E9">
        <w:rPr>
          <w:rFonts w:ascii="Times New Roman" w:hAnsi="Times New Roman"/>
          <w:i/>
          <w:sz w:val="24"/>
          <w:szCs w:val="24"/>
          <w:lang w:val="nl-NL"/>
        </w:rPr>
        <w:t xml:space="preserve">P.HCM, ngày </w:t>
      </w:r>
      <w:r w:rsidR="00241E2C">
        <w:rPr>
          <w:rFonts w:ascii="Times New Roman" w:hAnsi="Times New Roman"/>
          <w:i/>
          <w:sz w:val="24"/>
          <w:szCs w:val="24"/>
          <w:lang w:val="nl-NL"/>
        </w:rPr>
        <w:t>29</w:t>
      </w:r>
      <w:r w:rsidR="006D1E5F" w:rsidRPr="00BE23E9">
        <w:rPr>
          <w:rFonts w:ascii="Times New Roman" w:hAnsi="Times New Roman"/>
          <w:i/>
          <w:sz w:val="24"/>
          <w:szCs w:val="24"/>
          <w:lang w:val="nl-NL"/>
        </w:rPr>
        <w:t xml:space="preserve"> tháng 03 năm 202</w:t>
      </w:r>
      <w:r w:rsidR="003D4C55">
        <w:rPr>
          <w:rFonts w:ascii="Times New Roman" w:hAnsi="Times New Roman"/>
          <w:i/>
          <w:sz w:val="24"/>
          <w:szCs w:val="24"/>
          <w:lang w:val="nl-NL"/>
        </w:rPr>
        <w:t>2</w:t>
      </w:r>
    </w:p>
    <w:p w14:paraId="26DD5B5C" w14:textId="77777777" w:rsidR="008731E5" w:rsidRPr="00E15901" w:rsidRDefault="008731E5" w:rsidP="008B26FD">
      <w:pPr>
        <w:ind w:left="3600"/>
        <w:rPr>
          <w:rFonts w:ascii="Times New Roman" w:hAnsi="Times New Roman"/>
          <w:b/>
          <w:sz w:val="24"/>
          <w:szCs w:val="24"/>
          <w:lang w:val="nl-NL"/>
        </w:rPr>
      </w:pPr>
      <w:r w:rsidRPr="00E15901">
        <w:rPr>
          <w:rFonts w:ascii="Times New Roman" w:hAnsi="Times New Roman"/>
          <w:b/>
          <w:sz w:val="24"/>
          <w:szCs w:val="24"/>
          <w:lang w:val="nl-NL"/>
        </w:rPr>
        <w:t xml:space="preserve">ĐẠI DIỆN CÔNG TY </w:t>
      </w:r>
      <w:r w:rsidR="008B26FD">
        <w:rPr>
          <w:rFonts w:ascii="Times New Roman" w:hAnsi="Times New Roman"/>
          <w:b/>
          <w:sz w:val="24"/>
          <w:szCs w:val="24"/>
          <w:lang w:val="nl-NL"/>
        </w:rPr>
        <w:t xml:space="preserve">TNHH MTV </w:t>
      </w:r>
      <w:r w:rsidRPr="00E15901">
        <w:rPr>
          <w:rFonts w:ascii="Times New Roman" w:hAnsi="Times New Roman"/>
          <w:b/>
          <w:sz w:val="24"/>
          <w:szCs w:val="24"/>
          <w:lang w:val="nl-NL"/>
        </w:rPr>
        <w:t>QLQ CHUBB LIFE</w:t>
      </w:r>
    </w:p>
    <w:p w14:paraId="15069531" w14:textId="76A99103" w:rsidR="008731E5" w:rsidRPr="00E15901" w:rsidRDefault="008731E5" w:rsidP="008731E5">
      <w:pPr>
        <w:jc w:val="center"/>
        <w:rPr>
          <w:rFonts w:ascii="Times New Roman" w:hAnsi="Times New Roman"/>
          <w:b/>
          <w:sz w:val="24"/>
          <w:szCs w:val="24"/>
          <w:lang w:val="nl-NL"/>
        </w:rPr>
      </w:pPr>
      <w:r>
        <w:rPr>
          <w:rFonts w:ascii="Times New Roman" w:hAnsi="Times New Roman"/>
          <w:b/>
          <w:sz w:val="24"/>
          <w:szCs w:val="24"/>
          <w:lang w:val="nl-NL"/>
        </w:rPr>
        <w:t xml:space="preserve">                                 </w:t>
      </w:r>
      <w:r w:rsidR="008B26FD">
        <w:rPr>
          <w:rFonts w:ascii="Times New Roman" w:hAnsi="Times New Roman"/>
          <w:b/>
          <w:sz w:val="24"/>
          <w:szCs w:val="24"/>
          <w:lang w:val="nl-NL"/>
        </w:rPr>
        <w:t xml:space="preserve">                         </w:t>
      </w:r>
      <w:r>
        <w:rPr>
          <w:rFonts w:ascii="Times New Roman" w:hAnsi="Times New Roman"/>
          <w:b/>
          <w:sz w:val="24"/>
          <w:szCs w:val="24"/>
          <w:lang w:val="nl-NL"/>
        </w:rPr>
        <w:t xml:space="preserve">  Chủ tịch Công ty</w:t>
      </w:r>
    </w:p>
    <w:p w14:paraId="38963831" w14:textId="77777777" w:rsidR="008731E5" w:rsidRDefault="008731E5" w:rsidP="008731E5">
      <w:pPr>
        <w:rPr>
          <w:rFonts w:ascii="Times New Roman" w:hAnsi="Times New Roman"/>
          <w:b/>
          <w:sz w:val="24"/>
          <w:szCs w:val="24"/>
          <w:lang w:val="nl-NL"/>
        </w:rPr>
      </w:pPr>
    </w:p>
    <w:p w14:paraId="75F67CE6" w14:textId="77777777" w:rsidR="00594B97" w:rsidRPr="004D11B4" w:rsidRDefault="00594B97" w:rsidP="00594B97">
      <w:pPr>
        <w:rPr>
          <w:rFonts w:ascii="Times New Roman" w:hAnsi="Times New Roman"/>
          <w:b/>
          <w:sz w:val="24"/>
          <w:szCs w:val="24"/>
          <w:lang w:val="nl-NL"/>
        </w:rPr>
      </w:pPr>
    </w:p>
    <w:p w14:paraId="0C22803D" w14:textId="77777777" w:rsidR="00271514" w:rsidRPr="002B4AF3" w:rsidRDefault="008731E5" w:rsidP="008731E5">
      <w:pPr>
        <w:tabs>
          <w:tab w:val="left" w:pos="540"/>
        </w:tabs>
        <w:spacing w:before="120"/>
        <w:jc w:val="center"/>
        <w:rPr>
          <w:rFonts w:ascii="Times New Roman" w:hAnsi="Times New Roman"/>
          <w:b/>
          <w:sz w:val="24"/>
          <w:szCs w:val="24"/>
          <w:lang w:val="nl-NL"/>
        </w:rPr>
      </w:pPr>
      <w:r>
        <w:rPr>
          <w:rFonts w:ascii="Times New Roman" w:hAnsi="Times New Roman"/>
          <w:b/>
          <w:sz w:val="24"/>
          <w:szCs w:val="24"/>
          <w:lang w:val="nl-NL"/>
        </w:rPr>
        <w:t xml:space="preserve">                                  </w:t>
      </w:r>
      <w:r w:rsidR="008B26FD">
        <w:rPr>
          <w:rFonts w:ascii="Times New Roman" w:hAnsi="Times New Roman"/>
          <w:b/>
          <w:sz w:val="24"/>
          <w:szCs w:val="24"/>
          <w:lang w:val="nl-NL"/>
        </w:rPr>
        <w:t xml:space="preserve">                          </w:t>
      </w:r>
      <w:r>
        <w:rPr>
          <w:rFonts w:ascii="Times New Roman" w:hAnsi="Times New Roman"/>
          <w:b/>
          <w:sz w:val="24"/>
          <w:szCs w:val="24"/>
          <w:lang w:val="nl-NL"/>
        </w:rPr>
        <w:t xml:space="preserve">   Bùi Thanh Hiệp</w:t>
      </w:r>
    </w:p>
    <w:sectPr w:rsidR="00271514" w:rsidRPr="002B4AF3" w:rsidSect="00173960">
      <w:headerReference w:type="even" r:id="rId16"/>
      <w:headerReference w:type="default" r:id="rId17"/>
      <w:footerReference w:type="even" r:id="rId18"/>
      <w:footerReference w:type="default" r:id="rId19"/>
      <w:headerReference w:type="first" r:id="rId20"/>
      <w:footerReference w:type="first" r:id="rId21"/>
      <w:pgSz w:w="12240" w:h="15840"/>
      <w:pgMar w:top="450" w:right="90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C23D8" w14:textId="77777777" w:rsidR="00007344" w:rsidRDefault="00007344" w:rsidP="00621E6D">
      <w:pPr>
        <w:spacing w:after="0" w:line="240" w:lineRule="auto"/>
      </w:pPr>
      <w:r>
        <w:separator/>
      </w:r>
    </w:p>
  </w:endnote>
  <w:endnote w:type="continuationSeparator" w:id="0">
    <w:p w14:paraId="117B3C37" w14:textId="77777777" w:rsidR="00007344" w:rsidRDefault="00007344"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3069A" w14:textId="77777777" w:rsidR="00D23C76" w:rsidRDefault="00D23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217581"/>
      <w:docPartObj>
        <w:docPartGallery w:val="Page Numbers (Bottom of Page)"/>
        <w:docPartUnique/>
      </w:docPartObj>
    </w:sdtPr>
    <w:sdtEndPr>
      <w:rPr>
        <w:noProof/>
      </w:rPr>
    </w:sdtEndPr>
    <w:sdtContent>
      <w:p w14:paraId="21562796" w14:textId="77777777" w:rsidR="00007344" w:rsidRDefault="00007344">
        <w:pPr>
          <w:pStyle w:val="Footer"/>
          <w:jc w:val="right"/>
        </w:pPr>
        <w:r>
          <w:fldChar w:fldCharType="begin"/>
        </w:r>
        <w:r>
          <w:instrText xml:space="preserve"> PAGE   \* MERGEFORMAT </w:instrText>
        </w:r>
        <w:r>
          <w:fldChar w:fldCharType="separate"/>
        </w:r>
        <w:r w:rsidR="00D23C76">
          <w:rPr>
            <w:noProof/>
          </w:rPr>
          <w:t>1</w:t>
        </w:r>
        <w:r>
          <w:rPr>
            <w:noProof/>
          </w:rPr>
          <w:fldChar w:fldCharType="end"/>
        </w:r>
      </w:p>
    </w:sdtContent>
  </w:sdt>
  <w:p w14:paraId="013970E0" w14:textId="77777777" w:rsidR="00007344" w:rsidRDefault="00007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75410" w14:textId="77777777" w:rsidR="00D23C76" w:rsidRDefault="00D23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81F00" w14:textId="77777777" w:rsidR="00007344" w:rsidRDefault="00007344" w:rsidP="00621E6D">
      <w:pPr>
        <w:spacing w:after="0" w:line="240" w:lineRule="auto"/>
      </w:pPr>
      <w:r>
        <w:separator/>
      </w:r>
    </w:p>
  </w:footnote>
  <w:footnote w:type="continuationSeparator" w:id="0">
    <w:p w14:paraId="2A8D1B16" w14:textId="77777777" w:rsidR="00007344" w:rsidRDefault="00007344"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D79D" w14:textId="77777777" w:rsidR="00D23C76" w:rsidRDefault="00D23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ED6DA" w14:textId="77777777" w:rsidR="00D23C76" w:rsidRDefault="00D23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072B7" w14:textId="77777777" w:rsidR="00D23C76" w:rsidRDefault="00D23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25E724A"/>
    <w:multiLevelType w:val="hybridMultilevel"/>
    <w:tmpl w:val="95541BAA"/>
    <w:lvl w:ilvl="0" w:tplc="B944E788">
      <w:numFmt w:val="bullet"/>
      <w:lvlText w:val="-"/>
      <w:lvlJc w:val="left"/>
      <w:pPr>
        <w:ind w:left="360" w:hanging="360"/>
      </w:pPr>
      <w:rPr>
        <w:rFonts w:ascii="Times New Roman" w:eastAsia="Times New Roman"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760571C8"/>
    <w:multiLevelType w:val="hybridMultilevel"/>
    <w:tmpl w:val="433E2138"/>
    <w:lvl w:ilvl="0" w:tplc="BB785E3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4"/>
  </w:num>
  <w:num w:numId="5">
    <w:abstractNumId w:val="1"/>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468"/>
    <w:rsid w:val="000043FD"/>
    <w:rsid w:val="00007344"/>
    <w:rsid w:val="00010261"/>
    <w:rsid w:val="00021451"/>
    <w:rsid w:val="00030D0A"/>
    <w:rsid w:val="00031ABF"/>
    <w:rsid w:val="00040519"/>
    <w:rsid w:val="00045DF3"/>
    <w:rsid w:val="00056620"/>
    <w:rsid w:val="00064131"/>
    <w:rsid w:val="0007217A"/>
    <w:rsid w:val="000769A6"/>
    <w:rsid w:val="00096D9B"/>
    <w:rsid w:val="000B7C35"/>
    <w:rsid w:val="000C5DD7"/>
    <w:rsid w:val="000D2026"/>
    <w:rsid w:val="000D5E12"/>
    <w:rsid w:val="000E1383"/>
    <w:rsid w:val="000E3736"/>
    <w:rsid w:val="000E3955"/>
    <w:rsid w:val="000F213A"/>
    <w:rsid w:val="00115A6F"/>
    <w:rsid w:val="00117484"/>
    <w:rsid w:val="0015672E"/>
    <w:rsid w:val="001608A7"/>
    <w:rsid w:val="001724E2"/>
    <w:rsid w:val="00173960"/>
    <w:rsid w:val="001812EE"/>
    <w:rsid w:val="001950F7"/>
    <w:rsid w:val="001A5984"/>
    <w:rsid w:val="001B0DD1"/>
    <w:rsid w:val="001B58E9"/>
    <w:rsid w:val="001C4468"/>
    <w:rsid w:val="001C6E0D"/>
    <w:rsid w:val="001D1D63"/>
    <w:rsid w:val="001F1E38"/>
    <w:rsid w:val="001F3B0D"/>
    <w:rsid w:val="00202172"/>
    <w:rsid w:val="002033D8"/>
    <w:rsid w:val="002339E4"/>
    <w:rsid w:val="002410E7"/>
    <w:rsid w:val="00241E2C"/>
    <w:rsid w:val="0024670A"/>
    <w:rsid w:val="00263B02"/>
    <w:rsid w:val="00271514"/>
    <w:rsid w:val="00283ED1"/>
    <w:rsid w:val="00287AF8"/>
    <w:rsid w:val="00291449"/>
    <w:rsid w:val="002A4F5B"/>
    <w:rsid w:val="002B20C8"/>
    <w:rsid w:val="002B4AF3"/>
    <w:rsid w:val="002B5A29"/>
    <w:rsid w:val="002C3C5E"/>
    <w:rsid w:val="003001EE"/>
    <w:rsid w:val="00303B1E"/>
    <w:rsid w:val="00307C42"/>
    <w:rsid w:val="00313261"/>
    <w:rsid w:val="00321DBE"/>
    <w:rsid w:val="0032281B"/>
    <w:rsid w:val="003264EF"/>
    <w:rsid w:val="00332909"/>
    <w:rsid w:val="0034115C"/>
    <w:rsid w:val="0034255B"/>
    <w:rsid w:val="003464D6"/>
    <w:rsid w:val="00363061"/>
    <w:rsid w:val="00366773"/>
    <w:rsid w:val="0037324A"/>
    <w:rsid w:val="0037773F"/>
    <w:rsid w:val="003800B1"/>
    <w:rsid w:val="00383FC3"/>
    <w:rsid w:val="003B2C6F"/>
    <w:rsid w:val="003C26EA"/>
    <w:rsid w:val="003D48E7"/>
    <w:rsid w:val="003D4C55"/>
    <w:rsid w:val="003D7C0D"/>
    <w:rsid w:val="003E47A2"/>
    <w:rsid w:val="003E4AD7"/>
    <w:rsid w:val="003E509B"/>
    <w:rsid w:val="003F1FA0"/>
    <w:rsid w:val="00402F00"/>
    <w:rsid w:val="0041082D"/>
    <w:rsid w:val="004122D4"/>
    <w:rsid w:val="00427B00"/>
    <w:rsid w:val="00430277"/>
    <w:rsid w:val="004336D0"/>
    <w:rsid w:val="0043581D"/>
    <w:rsid w:val="00436680"/>
    <w:rsid w:val="00444BF6"/>
    <w:rsid w:val="00454E48"/>
    <w:rsid w:val="00461ED9"/>
    <w:rsid w:val="004777E3"/>
    <w:rsid w:val="004914EB"/>
    <w:rsid w:val="00492605"/>
    <w:rsid w:val="00497DBF"/>
    <w:rsid w:val="004A5AA7"/>
    <w:rsid w:val="004B07B4"/>
    <w:rsid w:val="004C1CFB"/>
    <w:rsid w:val="004D151B"/>
    <w:rsid w:val="004D4AB0"/>
    <w:rsid w:val="004D6659"/>
    <w:rsid w:val="004E1BA9"/>
    <w:rsid w:val="004E7A62"/>
    <w:rsid w:val="004F4712"/>
    <w:rsid w:val="004F5C05"/>
    <w:rsid w:val="00504A87"/>
    <w:rsid w:val="00504C11"/>
    <w:rsid w:val="00514D8B"/>
    <w:rsid w:val="005233EA"/>
    <w:rsid w:val="00530319"/>
    <w:rsid w:val="00542EC7"/>
    <w:rsid w:val="005526F1"/>
    <w:rsid w:val="0056734D"/>
    <w:rsid w:val="005730AA"/>
    <w:rsid w:val="00573378"/>
    <w:rsid w:val="00577F49"/>
    <w:rsid w:val="00594B97"/>
    <w:rsid w:val="005A136A"/>
    <w:rsid w:val="005A1B83"/>
    <w:rsid w:val="005A3A09"/>
    <w:rsid w:val="005B10AD"/>
    <w:rsid w:val="005B2BDA"/>
    <w:rsid w:val="005B3B10"/>
    <w:rsid w:val="005B430F"/>
    <w:rsid w:val="005C4036"/>
    <w:rsid w:val="005C49FE"/>
    <w:rsid w:val="005E577E"/>
    <w:rsid w:val="005F0B26"/>
    <w:rsid w:val="00605309"/>
    <w:rsid w:val="00606209"/>
    <w:rsid w:val="00621E6D"/>
    <w:rsid w:val="006334E3"/>
    <w:rsid w:val="00636709"/>
    <w:rsid w:val="0065494C"/>
    <w:rsid w:val="00655BF0"/>
    <w:rsid w:val="006566B3"/>
    <w:rsid w:val="00663880"/>
    <w:rsid w:val="0066715B"/>
    <w:rsid w:val="00667F7B"/>
    <w:rsid w:val="006740D4"/>
    <w:rsid w:val="0067519C"/>
    <w:rsid w:val="006758CF"/>
    <w:rsid w:val="00685F5A"/>
    <w:rsid w:val="00686487"/>
    <w:rsid w:val="00692A69"/>
    <w:rsid w:val="006A6370"/>
    <w:rsid w:val="006B4466"/>
    <w:rsid w:val="006B5AA7"/>
    <w:rsid w:val="006C673A"/>
    <w:rsid w:val="006D1E5F"/>
    <w:rsid w:val="006E26E5"/>
    <w:rsid w:val="006E3CFF"/>
    <w:rsid w:val="006F77D6"/>
    <w:rsid w:val="00701051"/>
    <w:rsid w:val="007244FA"/>
    <w:rsid w:val="0074088D"/>
    <w:rsid w:val="007440B3"/>
    <w:rsid w:val="00784124"/>
    <w:rsid w:val="00785B67"/>
    <w:rsid w:val="007C2E9E"/>
    <w:rsid w:val="007C77B7"/>
    <w:rsid w:val="007D6CE8"/>
    <w:rsid w:val="007E37CF"/>
    <w:rsid w:val="007E57B0"/>
    <w:rsid w:val="007F59F0"/>
    <w:rsid w:val="00831D28"/>
    <w:rsid w:val="008321C8"/>
    <w:rsid w:val="00846481"/>
    <w:rsid w:val="00853353"/>
    <w:rsid w:val="008562EA"/>
    <w:rsid w:val="00870529"/>
    <w:rsid w:val="00871A73"/>
    <w:rsid w:val="008731E5"/>
    <w:rsid w:val="0087643E"/>
    <w:rsid w:val="008978F2"/>
    <w:rsid w:val="008A22CE"/>
    <w:rsid w:val="008B26FD"/>
    <w:rsid w:val="008B57D9"/>
    <w:rsid w:val="008E0341"/>
    <w:rsid w:val="008E16C8"/>
    <w:rsid w:val="008E20AF"/>
    <w:rsid w:val="008E250F"/>
    <w:rsid w:val="008E3939"/>
    <w:rsid w:val="00907186"/>
    <w:rsid w:val="0091649D"/>
    <w:rsid w:val="00921F23"/>
    <w:rsid w:val="00941BBC"/>
    <w:rsid w:val="009437F0"/>
    <w:rsid w:val="00950CFA"/>
    <w:rsid w:val="00951AA5"/>
    <w:rsid w:val="009535E9"/>
    <w:rsid w:val="009671DB"/>
    <w:rsid w:val="009777A8"/>
    <w:rsid w:val="0098291B"/>
    <w:rsid w:val="00984D45"/>
    <w:rsid w:val="009A353C"/>
    <w:rsid w:val="009B6D55"/>
    <w:rsid w:val="009C5C88"/>
    <w:rsid w:val="00A1471B"/>
    <w:rsid w:val="00A227A3"/>
    <w:rsid w:val="00A27F98"/>
    <w:rsid w:val="00A46383"/>
    <w:rsid w:val="00A536DF"/>
    <w:rsid w:val="00A67095"/>
    <w:rsid w:val="00A754CD"/>
    <w:rsid w:val="00A75631"/>
    <w:rsid w:val="00A76BD1"/>
    <w:rsid w:val="00A926B4"/>
    <w:rsid w:val="00A92DD8"/>
    <w:rsid w:val="00A962C0"/>
    <w:rsid w:val="00AA4AF1"/>
    <w:rsid w:val="00AA4C6A"/>
    <w:rsid w:val="00AC3F03"/>
    <w:rsid w:val="00AC77D2"/>
    <w:rsid w:val="00AE1160"/>
    <w:rsid w:val="00AF3360"/>
    <w:rsid w:val="00B26C90"/>
    <w:rsid w:val="00B3750F"/>
    <w:rsid w:val="00B40151"/>
    <w:rsid w:val="00B61872"/>
    <w:rsid w:val="00B701A2"/>
    <w:rsid w:val="00B77ECA"/>
    <w:rsid w:val="00B80564"/>
    <w:rsid w:val="00B84DD0"/>
    <w:rsid w:val="00B85125"/>
    <w:rsid w:val="00B93AED"/>
    <w:rsid w:val="00B953F5"/>
    <w:rsid w:val="00BA4FB3"/>
    <w:rsid w:val="00BB23BF"/>
    <w:rsid w:val="00BD0161"/>
    <w:rsid w:val="00BD2872"/>
    <w:rsid w:val="00BD584D"/>
    <w:rsid w:val="00BE23E9"/>
    <w:rsid w:val="00BE2769"/>
    <w:rsid w:val="00BF6CD7"/>
    <w:rsid w:val="00C00270"/>
    <w:rsid w:val="00C1755A"/>
    <w:rsid w:val="00C17D8E"/>
    <w:rsid w:val="00C20DA6"/>
    <w:rsid w:val="00C23979"/>
    <w:rsid w:val="00C272AB"/>
    <w:rsid w:val="00C30443"/>
    <w:rsid w:val="00C40D96"/>
    <w:rsid w:val="00C473D5"/>
    <w:rsid w:val="00C47BEE"/>
    <w:rsid w:val="00C505F1"/>
    <w:rsid w:val="00C52630"/>
    <w:rsid w:val="00C67909"/>
    <w:rsid w:val="00C81099"/>
    <w:rsid w:val="00C82293"/>
    <w:rsid w:val="00C86129"/>
    <w:rsid w:val="00CA1215"/>
    <w:rsid w:val="00CA45A9"/>
    <w:rsid w:val="00CB2A8C"/>
    <w:rsid w:val="00CB2B53"/>
    <w:rsid w:val="00CB34F6"/>
    <w:rsid w:val="00CB6775"/>
    <w:rsid w:val="00CB7930"/>
    <w:rsid w:val="00CC3E02"/>
    <w:rsid w:val="00CC47F3"/>
    <w:rsid w:val="00CC754B"/>
    <w:rsid w:val="00CD5D53"/>
    <w:rsid w:val="00CE1694"/>
    <w:rsid w:val="00CE2813"/>
    <w:rsid w:val="00CF356C"/>
    <w:rsid w:val="00CF72C6"/>
    <w:rsid w:val="00D034B8"/>
    <w:rsid w:val="00D05C9B"/>
    <w:rsid w:val="00D23C76"/>
    <w:rsid w:val="00D2587C"/>
    <w:rsid w:val="00D35C0A"/>
    <w:rsid w:val="00D36045"/>
    <w:rsid w:val="00D37B3D"/>
    <w:rsid w:val="00D4016D"/>
    <w:rsid w:val="00D506DC"/>
    <w:rsid w:val="00D544CC"/>
    <w:rsid w:val="00D62166"/>
    <w:rsid w:val="00D7400D"/>
    <w:rsid w:val="00D75CED"/>
    <w:rsid w:val="00D76221"/>
    <w:rsid w:val="00D77F79"/>
    <w:rsid w:val="00D86A2D"/>
    <w:rsid w:val="00D92B1C"/>
    <w:rsid w:val="00D94B2B"/>
    <w:rsid w:val="00DA597D"/>
    <w:rsid w:val="00DC0890"/>
    <w:rsid w:val="00DD002F"/>
    <w:rsid w:val="00DD0266"/>
    <w:rsid w:val="00DD6707"/>
    <w:rsid w:val="00DE01D9"/>
    <w:rsid w:val="00DE1630"/>
    <w:rsid w:val="00E02249"/>
    <w:rsid w:val="00E1409D"/>
    <w:rsid w:val="00E17481"/>
    <w:rsid w:val="00E25CCB"/>
    <w:rsid w:val="00E26067"/>
    <w:rsid w:val="00E27DDB"/>
    <w:rsid w:val="00E30624"/>
    <w:rsid w:val="00E31237"/>
    <w:rsid w:val="00E42ABC"/>
    <w:rsid w:val="00E46772"/>
    <w:rsid w:val="00E51BEA"/>
    <w:rsid w:val="00E67159"/>
    <w:rsid w:val="00E81F37"/>
    <w:rsid w:val="00E8252E"/>
    <w:rsid w:val="00E86ACF"/>
    <w:rsid w:val="00E9742F"/>
    <w:rsid w:val="00EA3A3A"/>
    <w:rsid w:val="00EB123F"/>
    <w:rsid w:val="00EC62B9"/>
    <w:rsid w:val="00ED2EC6"/>
    <w:rsid w:val="00EE577F"/>
    <w:rsid w:val="00F13479"/>
    <w:rsid w:val="00F14D5B"/>
    <w:rsid w:val="00F243A6"/>
    <w:rsid w:val="00F2683A"/>
    <w:rsid w:val="00F269D0"/>
    <w:rsid w:val="00F27755"/>
    <w:rsid w:val="00F27ABE"/>
    <w:rsid w:val="00F27AF7"/>
    <w:rsid w:val="00F4320B"/>
    <w:rsid w:val="00F50B89"/>
    <w:rsid w:val="00F534B9"/>
    <w:rsid w:val="00F62336"/>
    <w:rsid w:val="00F743B6"/>
    <w:rsid w:val="00F75DB6"/>
    <w:rsid w:val="00F85FD9"/>
    <w:rsid w:val="00FB22A6"/>
    <w:rsid w:val="00FD3BD7"/>
    <w:rsid w:val="00FF00EE"/>
    <w:rsid w:val="00FF0C62"/>
    <w:rsid w:val="00FF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48A94A"/>
  <w15:docId w15:val="{3ED58C84-4F67-474E-A531-ED4CB0BF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basedOn w:val="Normal"/>
    <w:rsid w:val="007F59F0"/>
    <w:pPr>
      <w:autoSpaceDE w:val="0"/>
      <w:autoSpaceDN w:val="0"/>
      <w:spacing w:after="0" w:line="240" w:lineRule="auto"/>
    </w:pPr>
    <w:rPr>
      <w:rFonts w:ascii="Arial" w:eastAsiaTheme="minorHAnsi" w:hAnsi="Arial" w:cs="Arial"/>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58303">
      <w:bodyDiv w:val="1"/>
      <w:marLeft w:val="0"/>
      <w:marRight w:val="0"/>
      <w:marTop w:val="0"/>
      <w:marBottom w:val="0"/>
      <w:divBdr>
        <w:top w:val="none" w:sz="0" w:space="0" w:color="auto"/>
        <w:left w:val="none" w:sz="0" w:space="0" w:color="auto"/>
        <w:bottom w:val="none" w:sz="0" w:space="0" w:color="auto"/>
        <w:right w:val="none" w:sz="0" w:space="0" w:color="auto"/>
      </w:divBdr>
    </w:div>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867327684">
      <w:bodyDiv w:val="1"/>
      <w:marLeft w:val="0"/>
      <w:marRight w:val="0"/>
      <w:marTop w:val="0"/>
      <w:marBottom w:val="0"/>
      <w:divBdr>
        <w:top w:val="none" w:sz="0" w:space="0" w:color="auto"/>
        <w:left w:val="none" w:sz="0" w:space="0" w:color="auto"/>
        <w:bottom w:val="none" w:sz="0" w:space="0" w:color="auto"/>
        <w:right w:val="none" w:sz="0" w:space="0" w:color="auto"/>
      </w:divBdr>
    </w:div>
    <w:div w:id="1043673687">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3.jpg@01D82740.7ADA80C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82740.7ADA80C0"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1.jpg@01D82740.7ADA80C0" TargetMode="External"/><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1%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NAV'!$B$2:$AY$2</c:f>
              <c:strCache>
                <c:ptCount val="50"/>
                <c:pt idx="0">
                  <c:v>Tuần 1</c:v>
                </c:pt>
                <c:pt idx="1">
                  <c:v>Tuần 2</c:v>
                </c:pt>
                <c:pt idx="2">
                  <c:v>Tuần 3</c:v>
                </c:pt>
                <c:pt idx="3">
                  <c:v>Tuần 4</c:v>
                </c:pt>
                <c:pt idx="4">
                  <c:v>Tuần 5</c:v>
                </c:pt>
                <c:pt idx="5">
                  <c:v>Tuần 6</c:v>
                </c:pt>
                <c:pt idx="6">
                  <c:v>Tuần 7</c:v>
                </c:pt>
                <c:pt idx="7">
                  <c:v>Tuần 8</c:v>
                </c:pt>
                <c:pt idx="8">
                  <c:v>Tuần 9</c:v>
                </c:pt>
                <c:pt idx="9">
                  <c:v>Tuần 10</c:v>
                </c:pt>
                <c:pt idx="10">
                  <c:v>Tuần 11</c:v>
                </c:pt>
                <c:pt idx="11">
                  <c:v>Tuần 12</c:v>
                </c:pt>
                <c:pt idx="12">
                  <c:v>Tuần 13</c:v>
                </c:pt>
                <c:pt idx="13">
                  <c:v>Tuần 14</c:v>
                </c:pt>
                <c:pt idx="14">
                  <c:v>Tuần 15</c:v>
                </c:pt>
                <c:pt idx="15">
                  <c:v>Tuần 16</c:v>
                </c:pt>
                <c:pt idx="16">
                  <c:v>Tuần 17</c:v>
                </c:pt>
                <c:pt idx="17">
                  <c:v>Tuần 18</c:v>
                </c:pt>
                <c:pt idx="18">
                  <c:v>Tuần 19</c:v>
                </c:pt>
                <c:pt idx="19">
                  <c:v>Tuần 20</c:v>
                </c:pt>
                <c:pt idx="20">
                  <c:v>Tuần 21</c:v>
                </c:pt>
                <c:pt idx="21">
                  <c:v>Tuần 22</c:v>
                </c:pt>
                <c:pt idx="22">
                  <c:v>Tuần 23</c:v>
                </c:pt>
                <c:pt idx="23">
                  <c:v>Tuần 24</c:v>
                </c:pt>
                <c:pt idx="24">
                  <c:v>Tuần 25</c:v>
                </c:pt>
                <c:pt idx="25">
                  <c:v>Tuần 26</c:v>
                </c:pt>
                <c:pt idx="26">
                  <c:v>Tuần 27</c:v>
                </c:pt>
                <c:pt idx="27">
                  <c:v>Tuần 28</c:v>
                </c:pt>
                <c:pt idx="28">
                  <c:v>Tuần 29</c:v>
                </c:pt>
                <c:pt idx="29">
                  <c:v>Tuần 30</c:v>
                </c:pt>
                <c:pt idx="30">
                  <c:v>Tuần 31</c:v>
                </c:pt>
                <c:pt idx="31">
                  <c:v>Tuần 32</c:v>
                </c:pt>
                <c:pt idx="32">
                  <c:v>Tuần 33</c:v>
                </c:pt>
                <c:pt idx="33">
                  <c:v>Tuần 34</c:v>
                </c:pt>
                <c:pt idx="34">
                  <c:v>Tuần 35</c:v>
                </c:pt>
                <c:pt idx="35">
                  <c:v>Tuần 36</c:v>
                </c:pt>
                <c:pt idx="36">
                  <c:v>Tuần 37</c:v>
                </c:pt>
                <c:pt idx="37">
                  <c:v>Tuần 38</c:v>
                </c:pt>
                <c:pt idx="38">
                  <c:v>Tuần 39</c:v>
                </c:pt>
                <c:pt idx="39">
                  <c:v>Tuần 40</c:v>
                </c:pt>
                <c:pt idx="40">
                  <c:v>Tuần 41</c:v>
                </c:pt>
                <c:pt idx="41">
                  <c:v>Tuần 42</c:v>
                </c:pt>
                <c:pt idx="42">
                  <c:v>Tuần 43</c:v>
                </c:pt>
                <c:pt idx="43">
                  <c:v>Tuần 44</c:v>
                </c:pt>
                <c:pt idx="44">
                  <c:v>Tuần 45</c:v>
                </c:pt>
                <c:pt idx="45">
                  <c:v>Tuần 46</c:v>
                </c:pt>
                <c:pt idx="46">
                  <c:v>Tuần 47</c:v>
                </c:pt>
                <c:pt idx="47">
                  <c:v>Tuần 48</c:v>
                </c:pt>
                <c:pt idx="48">
                  <c:v>Tuần 49</c:v>
                </c:pt>
                <c:pt idx="49">
                  <c:v>Tuần 50</c:v>
                </c:pt>
              </c:strCache>
            </c:strRef>
          </c:cat>
          <c:val>
            <c:numRef>
              <c:f>'Chart NAV'!$B$3:$AY$3</c:f>
              <c:numCache>
                <c:formatCode>_(* #,##0_);_(* \(#,##0\);_(* "-"??_);_(@_)</c:formatCode>
                <c:ptCount val="50"/>
                <c:pt idx="0">
                  <c:v>10805.78</c:v>
                </c:pt>
                <c:pt idx="1">
                  <c:v>10815.02</c:v>
                </c:pt>
                <c:pt idx="2">
                  <c:v>10824.25</c:v>
                </c:pt>
                <c:pt idx="3">
                  <c:v>10833.48</c:v>
                </c:pt>
                <c:pt idx="4">
                  <c:v>10842.65</c:v>
                </c:pt>
                <c:pt idx="5">
                  <c:v>10851.67</c:v>
                </c:pt>
                <c:pt idx="6">
                  <c:v>10860.68</c:v>
                </c:pt>
                <c:pt idx="7">
                  <c:v>10869.69</c:v>
                </c:pt>
                <c:pt idx="8">
                  <c:v>10878.76</c:v>
                </c:pt>
                <c:pt idx="9">
                  <c:v>10887.99</c:v>
                </c:pt>
                <c:pt idx="10">
                  <c:v>10895.9</c:v>
                </c:pt>
                <c:pt idx="11">
                  <c:v>10904.88</c:v>
                </c:pt>
                <c:pt idx="12">
                  <c:v>10913.89</c:v>
                </c:pt>
                <c:pt idx="13">
                  <c:v>10922.76</c:v>
                </c:pt>
                <c:pt idx="14">
                  <c:v>10931.59</c:v>
                </c:pt>
                <c:pt idx="15">
                  <c:v>10941.33</c:v>
                </c:pt>
                <c:pt idx="16">
                  <c:v>10948.73</c:v>
                </c:pt>
                <c:pt idx="17">
                  <c:v>10957.21</c:v>
                </c:pt>
                <c:pt idx="18">
                  <c:v>10964.57</c:v>
                </c:pt>
                <c:pt idx="19">
                  <c:v>10972.24</c:v>
                </c:pt>
                <c:pt idx="20">
                  <c:v>10980.73</c:v>
                </c:pt>
                <c:pt idx="21">
                  <c:v>10989.2</c:v>
                </c:pt>
                <c:pt idx="22">
                  <c:v>10997.57</c:v>
                </c:pt>
                <c:pt idx="23">
                  <c:v>11005.94</c:v>
                </c:pt>
                <c:pt idx="24">
                  <c:v>11014.3</c:v>
                </c:pt>
                <c:pt idx="25">
                  <c:v>11022.08</c:v>
                </c:pt>
                <c:pt idx="26">
                  <c:v>11030.02</c:v>
                </c:pt>
                <c:pt idx="27">
                  <c:v>11037.06</c:v>
                </c:pt>
                <c:pt idx="28">
                  <c:v>11044.1</c:v>
                </c:pt>
                <c:pt idx="29">
                  <c:v>11051.92</c:v>
                </c:pt>
                <c:pt idx="30">
                  <c:v>11060</c:v>
                </c:pt>
                <c:pt idx="31">
                  <c:v>11068.05</c:v>
                </c:pt>
                <c:pt idx="32">
                  <c:v>11076.08</c:v>
                </c:pt>
                <c:pt idx="33">
                  <c:v>11083.97</c:v>
                </c:pt>
                <c:pt idx="34">
                  <c:v>11099.87</c:v>
                </c:pt>
                <c:pt idx="35">
                  <c:v>11107.79</c:v>
                </c:pt>
                <c:pt idx="36">
                  <c:v>11115.7</c:v>
                </c:pt>
                <c:pt idx="37">
                  <c:v>11123.61</c:v>
                </c:pt>
                <c:pt idx="38">
                  <c:v>11131.57</c:v>
                </c:pt>
                <c:pt idx="39">
                  <c:v>11139.55</c:v>
                </c:pt>
                <c:pt idx="40">
                  <c:v>11146.99</c:v>
                </c:pt>
                <c:pt idx="41">
                  <c:v>11154.42</c:v>
                </c:pt>
                <c:pt idx="42">
                  <c:v>11161.88</c:v>
                </c:pt>
                <c:pt idx="43">
                  <c:v>11169.28</c:v>
                </c:pt>
                <c:pt idx="44">
                  <c:v>11176.68</c:v>
                </c:pt>
                <c:pt idx="45">
                  <c:v>11184.09</c:v>
                </c:pt>
                <c:pt idx="46">
                  <c:v>11196.82</c:v>
                </c:pt>
                <c:pt idx="47">
                  <c:v>11203.46</c:v>
                </c:pt>
                <c:pt idx="48">
                  <c:v>11211.27</c:v>
                </c:pt>
                <c:pt idx="49">
                  <c:v>11219.13</c:v>
                </c:pt>
              </c:numCache>
            </c:numRef>
          </c:val>
          <c:smooth val="0"/>
          <c:extLst>
            <c:ext xmlns:c16="http://schemas.microsoft.com/office/drawing/2014/chart" uri="{C3380CC4-5D6E-409C-BE32-E72D297353CC}">
              <c16:uniqueId val="{00000000-2591-4221-AB40-C598DE7280F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YlVyorWNCweju5vx2KymmZVZjrk=</DigestValue>
    </Reference>
    <Reference Type="http://www.w3.org/2000/09/xmldsig#Object" URI="#idOfficeObject">
      <DigestMethod Algorithm="http://www.w3.org/2000/09/xmldsig#sha1"/>
      <DigestValue>TETmlcFuTvMSMwmOp3Zjq1jSA8E=</DigestValue>
    </Reference>
    <Reference Type="http://uri.etsi.org/01903#SignedProperties" URI="#idSignedProperties">
      <Transforms>
        <Transform Algorithm="http://www.w3.org/TR/2001/REC-xml-c14n-20010315"/>
      </Transforms>
      <DigestMethod Algorithm="http://www.w3.org/2000/09/xmldsig#sha1"/>
      <DigestValue>PdJ/OuSVY/UhUL/5HNhMoqdIkFw=</DigestValue>
    </Reference>
  </SignedInfo>
  <SignatureValue>yQh+K1DsdGsvn+p/3YPRSfxBM2j3nejvF8WHUOVBWrzF9B818JeXazbk1iP7FpjA+HdR9Rno1ifi
lG6ohj2sARPDUWLgX44rBpcSEY7cHkB7gesoKeftdrmFk+uDK12zLgDIEFiYCTG/h0Afsy7jzawp
wNhZPhqcVgRBuMRORZo=</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0/09/xmldsig#sha1"/>
        <DigestValue>hdOLc7PkayJDdvLwuMWhwVhzOj4=</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lcjiJ9MDNANN+X3fB0LKexMfIBo=</DigestValue>
      </Reference>
      <Reference URI="/word/charts/chart1.xml?ContentType=application/vnd.openxmlformats-officedocument.drawingml.chart+xml">
        <DigestMethod Algorithm="http://www.w3.org/2000/09/xmldsig#sha1"/>
        <DigestValue>z6L7/z+QbmxQzH5tmhYYYlZ5T5c=</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JHx66bXPpJmtsg0bpRXtUdEX3hw=</DigestValue>
      </Reference>
      <Reference URI="/word/document.xml?ContentType=application/vnd.openxmlformats-officedocument.wordprocessingml.document.main+xml">
        <DigestMethod Algorithm="http://www.w3.org/2000/09/xmldsig#sha1"/>
        <DigestValue>qdetVyYGkuNq6Q3Bd05OKIbchAo=</DigestValue>
      </Reference>
      <Reference URI="/word/endnotes.xml?ContentType=application/vnd.openxmlformats-officedocument.wordprocessingml.endnotes+xml">
        <DigestMethod Algorithm="http://www.w3.org/2000/09/xmldsig#sha1"/>
        <DigestValue>vm6y78Z4izgnv/Z7R4jytd1lEnY=</DigestValue>
      </Reference>
      <Reference URI="/word/fontTable.xml?ContentType=application/vnd.openxmlformats-officedocument.wordprocessingml.fontTable+xml">
        <DigestMethod Algorithm="http://www.w3.org/2000/09/xmldsig#sha1"/>
        <DigestValue>Jyp70R4xvjRc1UvTgYTX9j/8w1M=</DigestValue>
      </Reference>
      <Reference URI="/word/footer1.xml?ContentType=application/vnd.openxmlformats-officedocument.wordprocessingml.footer+xml">
        <DigestMethod Algorithm="http://www.w3.org/2000/09/xmldsig#sha1"/>
        <DigestValue>BTB+oosSKtqnVCOI9iIsp9q8b8k=</DigestValue>
      </Reference>
      <Reference URI="/word/footer2.xml?ContentType=application/vnd.openxmlformats-officedocument.wordprocessingml.footer+xml">
        <DigestMethod Algorithm="http://www.w3.org/2000/09/xmldsig#sha1"/>
        <DigestValue>oMTlASFnyoXSpWsxNoWz6+77re0=</DigestValue>
      </Reference>
      <Reference URI="/word/footer3.xml?ContentType=application/vnd.openxmlformats-officedocument.wordprocessingml.footer+xml">
        <DigestMethod Algorithm="http://www.w3.org/2000/09/xmldsig#sha1"/>
        <DigestValue>kP1f/10om7xIh7q84fdpPNMIkQM=</DigestValue>
      </Reference>
      <Reference URI="/word/footnotes.xml?ContentType=application/vnd.openxmlformats-officedocument.wordprocessingml.footnotes+xml">
        <DigestMethod Algorithm="http://www.w3.org/2000/09/xmldsig#sha1"/>
        <DigestValue>N8HOEyhEUDoXwsokrx73kfZdv7g=</DigestValue>
      </Reference>
      <Reference URI="/word/header1.xml?ContentType=application/vnd.openxmlformats-officedocument.wordprocessingml.header+xml">
        <DigestMethod Algorithm="http://www.w3.org/2000/09/xmldsig#sha1"/>
        <DigestValue>OIXzTQ5Sp7ksvr09jXR1wJXFT20=</DigestValue>
      </Reference>
      <Reference URI="/word/header2.xml?ContentType=application/vnd.openxmlformats-officedocument.wordprocessingml.header+xml">
        <DigestMethod Algorithm="http://www.w3.org/2000/09/xmldsig#sha1"/>
        <DigestValue>MnHx7dGSe2V88HCf7G6B6NOdkaE=</DigestValue>
      </Reference>
      <Reference URI="/word/header3.xml?ContentType=application/vnd.openxmlformats-officedocument.wordprocessingml.header+xml">
        <DigestMethod Algorithm="http://www.w3.org/2000/09/xmldsig#sha1"/>
        <DigestValue>DYjKui/+E01iVf3ETjH5zf8TH7Y=</DigestValue>
      </Reference>
      <Reference URI="/word/media/image1.jpeg?ContentType=image/jpeg">
        <DigestMethod Algorithm="http://www.w3.org/2000/09/xmldsig#sha1"/>
        <DigestValue>GFVhMKGYVsTUGfbPIsdfxvd7oBo=</DigestValue>
      </Reference>
      <Reference URI="/word/media/image2.jpeg?ContentType=image/jpeg">
        <DigestMethod Algorithm="http://www.w3.org/2000/09/xmldsig#sha1"/>
        <DigestValue>6uTTC2cEy7EentSx5gLHm6drxT4=</DigestValue>
      </Reference>
      <Reference URI="/word/media/image3.jpeg?ContentType=image/jpeg">
        <DigestMethod Algorithm="http://www.w3.org/2000/09/xmldsig#sha1"/>
        <DigestValue>vB2zWtPrdYR4jbcvxJuWciMGGRU=</DigestValue>
      </Reference>
      <Reference URI="/word/media/image4.png?ContentType=image/png">
        <DigestMethod Algorithm="http://www.w3.org/2000/09/xmldsig#sha1"/>
        <DigestValue>bjDACUCmpz7enAvt/eUNAu/qP7E=</DigestValue>
      </Reference>
      <Reference URI="/word/numbering.xml?ContentType=application/vnd.openxmlformats-officedocument.wordprocessingml.numbering+xml">
        <DigestMethod Algorithm="http://www.w3.org/2000/09/xmldsig#sha1"/>
        <DigestValue>IRf0jruTvuGxHJf6CdYUT6tiYSc=</DigestValue>
      </Reference>
      <Reference URI="/word/settings.xml?ContentType=application/vnd.openxmlformats-officedocument.wordprocessingml.settings+xml">
        <DigestMethod Algorithm="http://www.w3.org/2000/09/xmldsig#sha1"/>
        <DigestValue>/IC4EqYr6kehBkaABSnvljt/Lmg=</DigestValue>
      </Reference>
      <Reference URI="/word/styles.xml?ContentType=application/vnd.openxmlformats-officedocument.wordprocessingml.styles+xml">
        <DigestMethod Algorithm="http://www.w3.org/2000/09/xmldsig#sha1"/>
        <DigestValue>ObM53pVEa7cIGNJhEU4GwwGvANQ=</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VoTIb7LpxFZUb+LM/KgC1VQYApg=</DigestValue>
      </Reference>
    </Manifest>
    <SignatureProperties>
      <SignatureProperty Id="idSignatureTime" Target="#idPackageSignature">
        <mdssi:SignatureTime xmlns:mdssi="http://schemas.openxmlformats.org/package/2006/digital-signature">
          <mdssi:Format>YYYY-MM-DDThh:mm:ssTZD</mdssi:Format>
          <mdssi:Value>2022-03-29T08:06:59Z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2022-03-29T08:06:59Z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58658-24CF-447C-8737-B6A54963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13</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 - CFMC Vietnam</cp:lastModifiedBy>
  <cp:revision>79</cp:revision>
  <cp:lastPrinted>2021-04-02T02:33:00Z</cp:lastPrinted>
  <dcterms:created xsi:type="dcterms:W3CDTF">2020-03-27T03:04:00Z</dcterms:created>
  <dcterms:modified xsi:type="dcterms:W3CDTF">2022-02-25T09:54:00Z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2021-04-02T02:32:32Z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7932c2ac-b81a-44bd-8972-29c4c264ee7e</vt:lpwstr>
  </property>
  <property fmtid="{D5CDD505-2E9C-101B-9397-08002B2CF9AE}" pid="8" name="MSIP_Label_b279a5b4-1824-49e3-a612-20b3893cf696_ContentBits">
    <vt:lpwstr>0</vt:lpwstr>
  </property>
</Properties>
</file>