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harts/style1.xml" ContentType="application/vnd.ms-office.chartstyle+xml"/>
  <Override PartName="/word/charts/colors1.xml" ContentType="application/vnd.ms-office.chartcolorsty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1B0DD1" w:rsidRDefault="00C17D8E" w:rsidP="00FF0C6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 xml:space="preserve">(Quý </w:t>
      </w:r>
      <w:r w:rsidR="00980853">
        <w:rPr>
          <w:rFonts w:ascii="Arial" w:hAnsi="Arial" w:cs="Arial"/>
          <w:b/>
          <w:i/>
          <w:sz w:val="20"/>
          <w:szCs w:val="26"/>
          <w:lang w:val="nl-NL"/>
        </w:rPr>
        <w:t>3</w:t>
      </w:r>
      <w:r w:rsidRPr="001B0DD1">
        <w:rPr>
          <w:rFonts w:ascii="Arial" w:hAnsi="Arial" w:cs="Arial"/>
          <w:b/>
          <w:i/>
          <w:sz w:val="20"/>
          <w:szCs w:val="26"/>
          <w:lang w:val="nl-NL"/>
        </w:rPr>
        <w:t>/2019)</w:t>
      </w:r>
    </w:p>
    <w:p w:rsidR="00C17D8E" w:rsidRPr="001264C4" w:rsidRDefault="00C17D8E" w:rsidP="00B3750F">
      <w:pPr>
        <w:shd w:val="clear" w:color="auto" w:fill="FFFFFF"/>
        <w:tabs>
          <w:tab w:val="left" w:pos="540"/>
        </w:tabs>
        <w:spacing w:before="120" w:after="0" w:line="240" w:lineRule="auto"/>
        <w:jc w:val="both"/>
        <w:rPr>
          <w:rFonts w:ascii="Arial" w:hAnsi="Arial" w:cs="Arial"/>
          <w:b/>
          <w:sz w:val="20"/>
          <w:szCs w:val="26"/>
          <w:lang w:val="nl-NL"/>
        </w:rPr>
      </w:pP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 xml:space="preserve">Tên quỹ: </w:t>
      </w:r>
      <w:r w:rsidRPr="008D6682">
        <w:rPr>
          <w:rFonts w:ascii="Times New Roman" w:eastAsia="Times New Roman" w:hAnsi="Times New Roman"/>
          <w:b/>
          <w:bCs/>
          <w:color w:val="000000"/>
          <w:sz w:val="24"/>
          <w:szCs w:val="24"/>
          <w:lang w:val="nl-NL" w:eastAsia="en-SG"/>
        </w:rPr>
        <w:t>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 xml:space="preserve">Loại hình quỹ: </w:t>
      </w:r>
      <w:r w:rsidR="00C17D8E" w:rsidRPr="008D6682">
        <w:rPr>
          <w:rFonts w:ascii="Times New Roman" w:eastAsia="Times New Roman" w:hAnsi="Times New Roman"/>
          <w:b/>
          <w:bCs/>
          <w:color w:val="000000"/>
          <w:sz w:val="24"/>
          <w:szCs w:val="24"/>
          <w:lang w:val="nl-NL" w:eastAsia="en-SG"/>
        </w:rPr>
        <w:t>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335" w:type="dxa"/>
        <w:jc w:val="center"/>
        <w:tblLook w:val="04A0" w:firstRow="1" w:lastRow="0" w:firstColumn="1" w:lastColumn="0" w:noHBand="0" w:noVBand="1"/>
      </w:tblPr>
      <w:tblGrid>
        <w:gridCol w:w="3780"/>
        <w:gridCol w:w="3555"/>
      </w:tblGrid>
      <w:tr w:rsidR="00C17D8E" w:rsidRPr="006B6149" w:rsidTr="005676E2">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6B6149" w:rsidRDefault="00C17D8E" w:rsidP="00DD002F">
            <w:pPr>
              <w:spacing w:after="0" w:line="240" w:lineRule="auto"/>
              <w:jc w:val="center"/>
              <w:rPr>
                <w:rFonts w:ascii="Times New Roman" w:eastAsia="Times New Roman" w:hAnsi="Times New Roman"/>
                <w:bCs/>
                <w:color w:val="000000"/>
                <w:sz w:val="24"/>
                <w:szCs w:val="24"/>
                <w:lang w:val="nl-NL" w:eastAsia="en-SG"/>
              </w:rPr>
            </w:pPr>
            <w:r w:rsidRPr="006B6149">
              <w:rPr>
                <w:rFonts w:ascii="Times New Roman" w:eastAsia="Times New Roman" w:hAnsi="Times New Roman"/>
                <w:bCs/>
                <w:color w:val="000000"/>
                <w:sz w:val="24"/>
                <w:szCs w:val="24"/>
                <w:lang w:val="nl-NL" w:eastAsia="en-SG"/>
              </w:rPr>
              <w:t xml:space="preserve">NAV </w:t>
            </w:r>
            <w:r w:rsidR="00F62198" w:rsidRPr="006B6149">
              <w:rPr>
                <w:rFonts w:ascii="Times New Roman" w:eastAsia="Times New Roman" w:hAnsi="Times New Roman"/>
                <w:bCs/>
                <w:color w:val="000000"/>
                <w:sz w:val="24"/>
                <w:szCs w:val="24"/>
                <w:lang w:val="nl-NL" w:eastAsia="en-SG"/>
              </w:rPr>
              <w:t>ngày 30/06/2019</w:t>
            </w:r>
            <w:r w:rsidR="00045DF3" w:rsidRPr="006B6149">
              <w:rPr>
                <w:rFonts w:ascii="Times New Roman" w:eastAsia="Times New Roman" w:hAnsi="Times New Roman"/>
                <w:bCs/>
                <w:color w:val="000000"/>
                <w:sz w:val="24"/>
                <w:szCs w:val="24"/>
                <w:lang w:val="nl-NL" w:eastAsia="en-SG"/>
              </w:rPr>
              <w:t xml:space="preserve"> (VNĐ)</w:t>
            </w:r>
          </w:p>
        </w:tc>
        <w:tc>
          <w:tcPr>
            <w:tcW w:w="3555" w:type="dxa"/>
            <w:tcBorders>
              <w:top w:val="single" w:sz="4" w:space="0" w:color="auto"/>
              <w:left w:val="nil"/>
              <w:bottom w:val="single" w:sz="4" w:space="0" w:color="auto"/>
              <w:right w:val="single" w:sz="4" w:space="0" w:color="auto"/>
            </w:tcBorders>
            <w:shd w:val="clear" w:color="000000" w:fill="DCE6F1"/>
            <w:vAlign w:val="center"/>
            <w:hideMark/>
          </w:tcPr>
          <w:p w:rsidR="00C17D8E" w:rsidRPr="006B6149" w:rsidRDefault="00C17D8E" w:rsidP="00DD002F">
            <w:pPr>
              <w:spacing w:after="0" w:line="240" w:lineRule="auto"/>
              <w:jc w:val="center"/>
              <w:rPr>
                <w:rFonts w:ascii="Times New Roman" w:eastAsia="Times New Roman" w:hAnsi="Times New Roman"/>
                <w:bCs/>
                <w:color w:val="000000"/>
                <w:sz w:val="24"/>
                <w:szCs w:val="24"/>
                <w:lang w:val="en-SG" w:eastAsia="en-SG"/>
              </w:rPr>
            </w:pPr>
            <w:r w:rsidRPr="006B6149">
              <w:rPr>
                <w:rFonts w:ascii="Times New Roman" w:eastAsia="Times New Roman" w:hAnsi="Times New Roman"/>
                <w:bCs/>
                <w:color w:val="000000"/>
                <w:sz w:val="24"/>
                <w:szCs w:val="24"/>
                <w:lang w:val="en-SG" w:eastAsia="en-SG"/>
              </w:rPr>
              <w:t xml:space="preserve">NAV ngày </w:t>
            </w:r>
            <w:r w:rsidR="00980853" w:rsidRPr="006B6149">
              <w:rPr>
                <w:rFonts w:ascii="Times New Roman" w:eastAsia="Times New Roman" w:hAnsi="Times New Roman"/>
                <w:bCs/>
                <w:color w:val="000000"/>
                <w:sz w:val="24"/>
                <w:szCs w:val="24"/>
                <w:lang w:val="en-SG" w:eastAsia="en-SG"/>
              </w:rPr>
              <w:t>30</w:t>
            </w:r>
            <w:r w:rsidRPr="006B6149">
              <w:rPr>
                <w:rFonts w:ascii="Times New Roman" w:eastAsia="Times New Roman" w:hAnsi="Times New Roman"/>
                <w:bCs/>
                <w:color w:val="000000"/>
                <w:sz w:val="24"/>
                <w:szCs w:val="24"/>
                <w:lang w:val="en-SG" w:eastAsia="en-SG"/>
              </w:rPr>
              <w:t>/0</w:t>
            </w:r>
            <w:r w:rsidR="00980853" w:rsidRPr="006B6149">
              <w:rPr>
                <w:rFonts w:ascii="Times New Roman" w:eastAsia="Times New Roman" w:hAnsi="Times New Roman"/>
                <w:bCs/>
                <w:color w:val="000000"/>
                <w:sz w:val="24"/>
                <w:szCs w:val="24"/>
                <w:lang w:val="en-SG" w:eastAsia="en-SG"/>
              </w:rPr>
              <w:t>9</w:t>
            </w:r>
            <w:r w:rsidRPr="006B6149">
              <w:rPr>
                <w:rFonts w:ascii="Times New Roman" w:eastAsia="Times New Roman" w:hAnsi="Times New Roman"/>
                <w:bCs/>
                <w:color w:val="000000"/>
                <w:sz w:val="24"/>
                <w:szCs w:val="24"/>
                <w:lang w:val="en-SG" w:eastAsia="en-SG"/>
              </w:rPr>
              <w:t>/2019</w:t>
            </w:r>
            <w:r w:rsidR="00045DF3" w:rsidRPr="006B6149">
              <w:rPr>
                <w:rFonts w:ascii="Times New Roman" w:eastAsia="Times New Roman" w:hAnsi="Times New Roman"/>
                <w:bCs/>
                <w:color w:val="000000"/>
                <w:sz w:val="24"/>
                <w:szCs w:val="24"/>
                <w:lang w:val="en-SG" w:eastAsia="en-SG"/>
              </w:rPr>
              <w:t xml:space="preserve"> (VNĐ)</w:t>
            </w:r>
          </w:p>
        </w:tc>
      </w:tr>
      <w:tr w:rsidR="00C17D8E" w:rsidRPr="00F2683A" w:rsidTr="005676E2">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rsidR="00C17D8E" w:rsidRPr="006B6149" w:rsidRDefault="00C31871" w:rsidP="00DD002F">
            <w:pPr>
              <w:spacing w:after="0" w:line="240" w:lineRule="auto"/>
              <w:jc w:val="center"/>
              <w:rPr>
                <w:rFonts w:ascii="Times New Roman" w:eastAsia="Times New Roman" w:hAnsi="Times New Roman"/>
                <w:color w:val="000000"/>
                <w:sz w:val="24"/>
                <w:szCs w:val="24"/>
                <w:lang w:val="en-SG" w:eastAsia="en-SG"/>
              </w:rPr>
            </w:pPr>
            <w:r w:rsidRPr="006B6149">
              <w:rPr>
                <w:rFonts w:ascii="Times New Roman" w:eastAsia="Times New Roman" w:hAnsi="Times New Roman"/>
                <w:color w:val="000000"/>
                <w:sz w:val="24"/>
                <w:szCs w:val="24"/>
                <w:lang w:val="en-SG" w:eastAsia="en-SG"/>
              </w:rPr>
              <w:t>101.063.414.836</w:t>
            </w:r>
          </w:p>
        </w:tc>
        <w:tc>
          <w:tcPr>
            <w:tcW w:w="3555" w:type="dxa"/>
            <w:tcBorders>
              <w:top w:val="nil"/>
              <w:left w:val="nil"/>
              <w:bottom w:val="single" w:sz="4" w:space="0" w:color="auto"/>
              <w:right w:val="single" w:sz="4" w:space="0" w:color="auto"/>
            </w:tcBorders>
            <w:shd w:val="clear" w:color="000000" w:fill="DCE6F1"/>
            <w:noWrap/>
            <w:vAlign w:val="center"/>
            <w:hideMark/>
          </w:tcPr>
          <w:p w:rsidR="00C17D8E" w:rsidRPr="00045DF3" w:rsidRDefault="00093EA6" w:rsidP="00DD002F">
            <w:pPr>
              <w:spacing w:after="0" w:line="240" w:lineRule="auto"/>
              <w:jc w:val="center"/>
              <w:rPr>
                <w:rFonts w:ascii="Times New Roman" w:eastAsia="Times New Roman" w:hAnsi="Times New Roman"/>
                <w:color w:val="000000"/>
                <w:sz w:val="24"/>
                <w:szCs w:val="24"/>
                <w:lang w:val="en-SG" w:eastAsia="en-SG"/>
              </w:rPr>
            </w:pPr>
            <w:r w:rsidRPr="006B6149">
              <w:rPr>
                <w:rFonts w:ascii="Times New Roman" w:eastAsia="Times New Roman" w:hAnsi="Times New Roman"/>
                <w:color w:val="000000"/>
                <w:sz w:val="24"/>
                <w:szCs w:val="24"/>
                <w:lang w:val="en-SG" w:eastAsia="en-SG"/>
              </w:rPr>
              <w:t>102.254.834.329</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Tính đến kỳ báo cáo, giá trị tài sản ròng (NAV) của Quỹ tăng </w:t>
      </w:r>
      <w:r w:rsidR="00C31871">
        <w:rPr>
          <w:rFonts w:ascii="Times New Roman" w:hAnsi="Times New Roman"/>
          <w:sz w:val="24"/>
          <w:szCs w:val="24"/>
          <w:lang w:val="nl-NL"/>
        </w:rPr>
        <w:t>1,18</w:t>
      </w:r>
      <w:r w:rsidRPr="00045DF3">
        <w:rPr>
          <w:rFonts w:ascii="Times New Roman" w:hAnsi="Times New Roman"/>
          <w:sz w:val="24"/>
          <w:szCs w:val="24"/>
          <w:lang w:val="nl-NL"/>
        </w:rPr>
        <w:t xml:space="preserve">% so với giá trị tài sản ròng (NAV) của Quỹ </w:t>
      </w:r>
      <w:r w:rsidR="00D873D0">
        <w:rPr>
          <w:rFonts w:ascii="Times New Roman" w:hAnsi="Times New Roman"/>
          <w:sz w:val="24"/>
          <w:szCs w:val="24"/>
          <w:lang w:val="nl-NL"/>
        </w:rPr>
        <w:t xml:space="preserve">cuối </w:t>
      </w:r>
      <w:r w:rsidR="00C31871">
        <w:rPr>
          <w:rFonts w:ascii="Times New Roman" w:hAnsi="Times New Roman"/>
          <w:sz w:val="24"/>
          <w:szCs w:val="24"/>
          <w:lang w:val="nl-NL"/>
        </w:rPr>
        <w:t>Quý 2</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được thành lập tại Việt Nam dưới hình thức Quỹ mở theo Giấy chứng nhận chào bán chứng chỉ quỹ đầu tư chứng khoán ra công chúng số 58/GCN-UBCK do Ủy ban Chứng khoán Nhà nước cấp </w:t>
      </w:r>
      <w:r w:rsidRPr="00045DF3">
        <w:rPr>
          <w:rFonts w:ascii="Times New Roman" w:hAnsi="Times New Roman"/>
          <w:sz w:val="24"/>
          <w:szCs w:val="24"/>
          <w:lang w:val="nl-NL"/>
        </w:rPr>
        <w:lastRenderedPageBreak/>
        <w:t>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2683A"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9C5C88" w:rsidP="00276FF6">
            <w:pPr>
              <w:spacing w:after="0" w:line="240" w:lineRule="auto"/>
              <w:jc w:val="center"/>
              <w:rPr>
                <w:rFonts w:ascii="Times New Roman" w:hAnsi="Times New Roman"/>
                <w:sz w:val="24"/>
                <w:szCs w:val="24"/>
                <w:lang w:val="nl-NL"/>
              </w:rPr>
            </w:pPr>
            <w:r w:rsidRPr="00045DF3">
              <w:rPr>
                <w:rFonts w:ascii="Times New Roman" w:hAnsi="Times New Roman"/>
                <w:sz w:val="24"/>
                <w:szCs w:val="24"/>
                <w:lang w:val="nl-NL"/>
              </w:rPr>
              <w:t>100</w:t>
            </w:r>
            <w:r w:rsidR="00CC754B" w:rsidRPr="00045DF3">
              <w:rPr>
                <w:rFonts w:ascii="Times New Roman" w:hAnsi="Times New Roman"/>
                <w:sz w:val="24"/>
                <w:szCs w:val="24"/>
                <w:lang w:val="nl-NL"/>
              </w:rPr>
              <w:t>.</w:t>
            </w:r>
            <w:r w:rsidR="00FB61DD">
              <w:rPr>
                <w:rFonts w:ascii="Times New Roman" w:hAnsi="Times New Roman"/>
                <w:sz w:val="24"/>
                <w:szCs w:val="24"/>
                <w:lang w:val="nl-NL"/>
              </w:rPr>
              <w:t>610.954.000</w:t>
            </w:r>
          </w:p>
        </w:tc>
      </w:tr>
      <w:tr w:rsidR="009C5C88" w:rsidRPr="00F2683A"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9C5C88" w:rsidP="00276FF6">
            <w:pPr>
              <w:spacing w:after="0" w:line="240" w:lineRule="auto"/>
              <w:jc w:val="center"/>
              <w:rPr>
                <w:rFonts w:ascii="Times New Roman" w:hAnsi="Times New Roman"/>
                <w:sz w:val="24"/>
                <w:szCs w:val="24"/>
                <w:lang w:val="nl-NL"/>
              </w:rPr>
            </w:pPr>
            <w:r w:rsidRPr="00045DF3">
              <w:rPr>
                <w:rFonts w:ascii="Times New Roman" w:hAnsi="Times New Roman"/>
                <w:sz w:val="24"/>
                <w:szCs w:val="24"/>
                <w:lang w:val="nl-NL"/>
              </w:rPr>
              <w:t>10</w:t>
            </w:r>
            <w:r w:rsidR="00CC754B" w:rsidRPr="00045DF3">
              <w:rPr>
                <w:rFonts w:ascii="Times New Roman" w:hAnsi="Times New Roman"/>
                <w:sz w:val="24"/>
                <w:szCs w:val="24"/>
                <w:lang w:val="nl-NL"/>
              </w:rPr>
              <w:t>.</w:t>
            </w:r>
            <w:r w:rsidRPr="00045DF3">
              <w:rPr>
                <w:rFonts w:ascii="Times New Roman" w:hAnsi="Times New Roman"/>
                <w:sz w:val="24"/>
                <w:szCs w:val="24"/>
                <w:lang w:val="nl-NL"/>
              </w:rPr>
              <w:t>0</w:t>
            </w:r>
            <w:r w:rsidR="00FB61DD">
              <w:rPr>
                <w:rFonts w:ascii="Times New Roman" w:hAnsi="Times New Roman"/>
                <w:sz w:val="24"/>
                <w:szCs w:val="24"/>
                <w:lang w:val="nl-NL"/>
              </w:rPr>
              <w:t>61</w:t>
            </w:r>
            <w:r w:rsidR="00CC754B" w:rsidRPr="00045DF3">
              <w:rPr>
                <w:rFonts w:ascii="Times New Roman" w:hAnsi="Times New Roman"/>
                <w:sz w:val="24"/>
                <w:szCs w:val="24"/>
                <w:lang w:val="nl-NL"/>
              </w:rPr>
              <w:t>.</w:t>
            </w:r>
            <w:r w:rsidRPr="00045DF3">
              <w:rPr>
                <w:rFonts w:ascii="Times New Roman" w:hAnsi="Times New Roman"/>
                <w:sz w:val="24"/>
                <w:szCs w:val="24"/>
                <w:lang w:val="nl-NL"/>
              </w:rPr>
              <w:t>0</w:t>
            </w:r>
            <w:r w:rsidR="00FB61DD">
              <w:rPr>
                <w:rFonts w:ascii="Times New Roman" w:hAnsi="Times New Roman"/>
                <w:sz w:val="24"/>
                <w:szCs w:val="24"/>
                <w:lang w:val="nl-NL"/>
              </w:rPr>
              <w:t>95</w:t>
            </w:r>
            <w:r w:rsidR="00CC754B" w:rsidRPr="00045DF3">
              <w:rPr>
                <w:rFonts w:ascii="Times New Roman" w:hAnsi="Times New Roman"/>
                <w:sz w:val="24"/>
                <w:szCs w:val="24"/>
                <w:lang w:val="nl-NL"/>
              </w:rPr>
              <w:t>,</w:t>
            </w:r>
            <w:r w:rsidR="00FB61DD">
              <w:rPr>
                <w:rFonts w:ascii="Times New Roman" w:hAnsi="Times New Roman"/>
                <w:sz w:val="24"/>
                <w:szCs w:val="24"/>
                <w:lang w:val="nl-NL"/>
              </w:rPr>
              <w:t>40</w:t>
            </w:r>
          </w:p>
        </w:tc>
      </w:tr>
    </w:tbl>
    <w:p w:rsidR="004D4AB0" w:rsidRPr="00F2683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Tại ngày 30 tháng 0</w:t>
      </w:r>
      <w:r w:rsidR="00C10822">
        <w:rPr>
          <w:rFonts w:ascii="Times New Roman" w:hAnsi="Times New Roman"/>
          <w:sz w:val="24"/>
          <w:szCs w:val="24"/>
          <w:lang w:val="nl-NL"/>
        </w:rPr>
        <w:t>9</w:t>
      </w:r>
      <w:r w:rsidRPr="00685F5A">
        <w:rPr>
          <w:rFonts w:ascii="Times New Roman" w:hAnsi="Times New Roman"/>
          <w:sz w:val="24"/>
          <w:szCs w:val="24"/>
          <w:lang w:val="nl-NL"/>
        </w:rPr>
        <w:t xml:space="preserve"> năm 2019, số lượng Chứng chỉ quỹ (“CCQ”) đang lưu hành của Quỹ là </w:t>
      </w:r>
      <w:r w:rsidR="009C5C88" w:rsidRPr="00685F5A">
        <w:rPr>
          <w:rFonts w:ascii="Times New Roman" w:hAnsi="Times New Roman"/>
          <w:sz w:val="24"/>
          <w:szCs w:val="24"/>
          <w:lang w:val="nl-NL"/>
        </w:rPr>
        <w:t>10</w:t>
      </w:r>
      <w:r w:rsidR="00CC754B" w:rsidRPr="00685F5A">
        <w:rPr>
          <w:rFonts w:ascii="Times New Roman" w:hAnsi="Times New Roman"/>
          <w:sz w:val="24"/>
          <w:szCs w:val="24"/>
          <w:lang w:val="nl-NL"/>
        </w:rPr>
        <w:t>.</w:t>
      </w:r>
      <w:r w:rsidR="00C10822">
        <w:rPr>
          <w:rFonts w:ascii="Times New Roman" w:hAnsi="Times New Roman"/>
          <w:sz w:val="24"/>
          <w:szCs w:val="24"/>
          <w:lang w:val="nl-NL"/>
        </w:rPr>
        <w:t>061.095,40</w:t>
      </w:r>
      <w:r w:rsidRPr="00685F5A">
        <w:rPr>
          <w:rFonts w:ascii="Times New Roman" w:hAnsi="Times New Roman"/>
          <w:sz w:val="24"/>
          <w:szCs w:val="24"/>
          <w:lang w:val="nl-NL"/>
        </w:rPr>
        <w:t xml:space="preserve"> CCQ, tương đương với quy mô vốn của Quỹ theo mệnh giá là </w:t>
      </w:r>
      <w:r w:rsidR="009C5C88" w:rsidRPr="00685F5A">
        <w:rPr>
          <w:rFonts w:ascii="Times New Roman" w:hAnsi="Times New Roman"/>
          <w:sz w:val="24"/>
          <w:szCs w:val="24"/>
          <w:lang w:val="nl-NL"/>
        </w:rPr>
        <w:t>100</w:t>
      </w:r>
      <w:r w:rsidR="00CC754B" w:rsidRPr="00685F5A">
        <w:rPr>
          <w:rFonts w:ascii="Times New Roman" w:hAnsi="Times New Roman"/>
          <w:sz w:val="24"/>
          <w:szCs w:val="24"/>
          <w:lang w:val="nl-NL"/>
        </w:rPr>
        <w:t>.</w:t>
      </w:r>
      <w:r w:rsidR="00C10822">
        <w:rPr>
          <w:rFonts w:ascii="Times New Roman" w:hAnsi="Times New Roman"/>
          <w:sz w:val="24"/>
          <w:szCs w:val="24"/>
          <w:lang w:val="nl-NL"/>
        </w:rPr>
        <w:t>6</w:t>
      </w:r>
      <w:r w:rsidR="009C5C88" w:rsidRPr="00685F5A">
        <w:rPr>
          <w:rFonts w:ascii="Times New Roman" w:hAnsi="Times New Roman"/>
          <w:sz w:val="24"/>
          <w:szCs w:val="24"/>
          <w:lang w:val="nl-NL"/>
        </w:rPr>
        <w:t>10</w:t>
      </w:r>
      <w:r w:rsidR="00CC754B" w:rsidRPr="00685F5A">
        <w:rPr>
          <w:rFonts w:ascii="Times New Roman" w:hAnsi="Times New Roman"/>
          <w:sz w:val="24"/>
          <w:szCs w:val="24"/>
          <w:lang w:val="nl-NL"/>
        </w:rPr>
        <w:t>.</w:t>
      </w:r>
      <w:r w:rsidR="00C10822">
        <w:rPr>
          <w:rFonts w:ascii="Times New Roman" w:hAnsi="Times New Roman"/>
          <w:sz w:val="24"/>
          <w:szCs w:val="24"/>
          <w:lang w:val="nl-NL"/>
        </w:rPr>
        <w:t>954.000</w:t>
      </w:r>
      <w:r w:rsidRPr="00685F5A">
        <w:rPr>
          <w:rFonts w:ascii="Times New Roman" w:hAnsi="Times New Roman"/>
          <w:sz w:val="24"/>
          <w:szCs w:val="24"/>
          <w:lang w:val="nl-NL"/>
        </w:rPr>
        <w:t xml:space="preserve"> VN</w:t>
      </w:r>
      <w:r w:rsidR="00CC754B" w:rsidRPr="00685F5A">
        <w:rPr>
          <w:rFonts w:ascii="Times New Roman" w:hAnsi="Times New Roman"/>
          <w:sz w:val="24"/>
          <w:szCs w:val="24"/>
          <w:lang w:val="nl-NL"/>
        </w:rPr>
        <w:t>Đ</w:t>
      </w:r>
      <w:r w:rsidR="009C5C88"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30 tháng </w:t>
      </w:r>
      <w:r w:rsidR="00C10822">
        <w:rPr>
          <w:rFonts w:ascii="Times New Roman" w:hAnsi="Times New Roman"/>
          <w:sz w:val="24"/>
          <w:szCs w:val="24"/>
          <w:lang w:val="nl-NL"/>
        </w:rPr>
        <w:t>9</w:t>
      </w:r>
      <w:r w:rsidRPr="00685F5A">
        <w:rPr>
          <w:rFonts w:ascii="Times New Roman" w:hAnsi="Times New Roman"/>
          <w:sz w:val="24"/>
          <w:szCs w:val="24"/>
          <w:lang w:val="nl-NL"/>
        </w:rPr>
        <w:t xml:space="preserve"> năm 2019, lợi nhuận thuần thực tế phân phối trên một đơn vị CCQ là 0 VNĐ</w:t>
      </w:r>
      <w:r w:rsidR="00685F5A">
        <w:rPr>
          <w:rFonts w:ascii="Times New Roman" w:hAnsi="Times New Roman"/>
          <w:sz w:val="24"/>
          <w:szCs w:val="24"/>
          <w:lang w:val="nl-NL"/>
        </w:rPr>
        <w:t>.</w:t>
      </w:r>
    </w:p>
    <w:p w:rsidR="00685F5A" w:rsidRPr="00685F5A" w:rsidRDefault="00685F5A"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0" w:type="auto"/>
        <w:tblInd w:w="108" w:type="dxa"/>
        <w:tblLook w:val="04A0" w:firstRow="1" w:lastRow="0" w:firstColumn="1" w:lastColumn="0" w:noHBand="0" w:noVBand="1"/>
      </w:tblPr>
      <w:tblGrid>
        <w:gridCol w:w="4770"/>
        <w:gridCol w:w="1890"/>
        <w:gridCol w:w="1620"/>
        <w:gridCol w:w="1710"/>
      </w:tblGrid>
      <w:tr w:rsidR="00E25CCB" w:rsidTr="00B3750F">
        <w:tc>
          <w:tcPr>
            <w:tcW w:w="4770"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9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w:t>
            </w:r>
            <w:r w:rsidR="00C10822">
              <w:rPr>
                <w:rFonts w:ascii="Times New Roman" w:eastAsia="Times New Roman" w:hAnsi="Times New Roman"/>
                <w:b/>
                <w:sz w:val="24"/>
                <w:szCs w:val="24"/>
                <w:lang w:val="nl-NL"/>
              </w:rPr>
              <w:t>9</w:t>
            </w:r>
            <w:r w:rsidRPr="003D7C0D">
              <w:rPr>
                <w:rFonts w:ascii="Times New Roman" w:eastAsia="Times New Roman" w:hAnsi="Times New Roman"/>
                <w:b/>
                <w:sz w:val="24"/>
                <w:szCs w:val="24"/>
                <w:lang w:val="nl-NL"/>
              </w:rPr>
              <w:t>/2019</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w:t>
            </w:r>
            <w:r w:rsidR="00C10822">
              <w:rPr>
                <w:rFonts w:ascii="Times New Roman" w:eastAsia="Times New Roman" w:hAnsi="Times New Roman"/>
                <w:b/>
                <w:sz w:val="24"/>
                <w:szCs w:val="24"/>
                <w:lang w:val="nl-NL"/>
              </w:rPr>
              <w:t>9</w:t>
            </w:r>
            <w:r w:rsidRPr="003D7C0D">
              <w:rPr>
                <w:rFonts w:ascii="Times New Roman" w:eastAsia="Times New Roman" w:hAnsi="Times New Roman"/>
                <w:b/>
                <w:sz w:val="24"/>
                <w:szCs w:val="24"/>
                <w:lang w:val="nl-NL"/>
              </w:rPr>
              <w:t>/2018</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w:t>
            </w:r>
            <w:r w:rsidR="00C10822">
              <w:rPr>
                <w:rFonts w:ascii="Times New Roman" w:eastAsia="Times New Roman" w:hAnsi="Times New Roman"/>
                <w:b/>
                <w:sz w:val="24"/>
                <w:szCs w:val="24"/>
                <w:lang w:val="nl-NL"/>
              </w:rPr>
              <w:t>9</w:t>
            </w:r>
            <w:r w:rsidRPr="003D7C0D">
              <w:rPr>
                <w:rFonts w:ascii="Times New Roman" w:eastAsia="Times New Roman" w:hAnsi="Times New Roman"/>
                <w:b/>
                <w:sz w:val="24"/>
                <w:szCs w:val="24"/>
                <w:lang w:val="nl-NL"/>
              </w:rPr>
              <w:t>/2017</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D568D3" w:rsidTr="00D568D3">
        <w:tc>
          <w:tcPr>
            <w:tcW w:w="4770" w:type="dxa"/>
            <w:vAlign w:val="center"/>
          </w:tcPr>
          <w:p w:rsidR="00D568D3" w:rsidRPr="00EA1E3D" w:rsidRDefault="00D568D3" w:rsidP="00D568D3">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90" w:type="dxa"/>
            <w:vAlign w:val="center"/>
          </w:tcPr>
          <w:p w:rsidR="00D568D3" w:rsidRPr="00D568D3" w:rsidRDefault="00D568D3" w:rsidP="00D568D3">
            <w:pPr>
              <w:tabs>
                <w:tab w:val="left" w:pos="540"/>
              </w:tabs>
              <w:spacing w:before="120"/>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D568D3">
              <w:rPr>
                <w:rFonts w:ascii="Times New Roman" w:eastAsia="Times New Roman" w:hAnsi="Times New Roman"/>
                <w:sz w:val="24"/>
                <w:szCs w:val="24"/>
                <w:lang w:val="nl-NL"/>
              </w:rPr>
              <w:t>2</w:t>
            </w:r>
            <w:r>
              <w:rPr>
                <w:rFonts w:ascii="Times New Roman" w:eastAsia="Times New Roman" w:hAnsi="Times New Roman"/>
                <w:sz w:val="24"/>
                <w:szCs w:val="24"/>
                <w:lang w:val="nl-NL"/>
              </w:rPr>
              <w:t>4</w:t>
            </w:r>
          </w:p>
        </w:tc>
        <w:tc>
          <w:tcPr>
            <w:tcW w:w="1620" w:type="dxa"/>
            <w:vAlign w:val="center"/>
          </w:tcPr>
          <w:p w:rsidR="00D568D3" w:rsidRPr="00D568D3" w:rsidRDefault="00D568D3" w:rsidP="00D568D3">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c>
          <w:tcPr>
            <w:tcW w:w="1710" w:type="dxa"/>
            <w:vAlign w:val="center"/>
          </w:tcPr>
          <w:p w:rsidR="00D568D3" w:rsidRPr="00D568D3" w:rsidRDefault="00D568D3" w:rsidP="00D568D3">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r>
      <w:tr w:rsidR="00D568D3" w:rsidTr="00D568D3">
        <w:tc>
          <w:tcPr>
            <w:tcW w:w="4770" w:type="dxa"/>
            <w:vAlign w:val="center"/>
          </w:tcPr>
          <w:p w:rsidR="00D568D3" w:rsidRPr="00EA1E3D" w:rsidRDefault="00D568D3" w:rsidP="00D568D3">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Các khoản tương đương tiền</w:t>
            </w:r>
          </w:p>
        </w:tc>
        <w:tc>
          <w:tcPr>
            <w:tcW w:w="1890" w:type="dxa"/>
            <w:vAlign w:val="center"/>
          </w:tcPr>
          <w:p w:rsidR="00D568D3" w:rsidRPr="008321C8" w:rsidRDefault="00D568D3"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19,</w:t>
            </w:r>
            <w:r w:rsidR="006B6149">
              <w:rPr>
                <w:rFonts w:ascii="Times New Roman" w:hAnsi="Times New Roman"/>
                <w:sz w:val="24"/>
                <w:szCs w:val="24"/>
                <w:lang w:val="nl-NL"/>
              </w:rPr>
              <w:t>95</w:t>
            </w:r>
          </w:p>
        </w:tc>
        <w:tc>
          <w:tcPr>
            <w:tcW w:w="1620" w:type="dxa"/>
            <w:vAlign w:val="center"/>
          </w:tcPr>
          <w:p w:rsidR="00D568D3" w:rsidRPr="008321C8" w:rsidRDefault="00D568D3" w:rsidP="00D568D3">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N/A</w:t>
            </w:r>
          </w:p>
        </w:tc>
        <w:tc>
          <w:tcPr>
            <w:tcW w:w="1710"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D568D3">
        <w:tc>
          <w:tcPr>
            <w:tcW w:w="4770" w:type="dxa"/>
            <w:vAlign w:val="center"/>
          </w:tcPr>
          <w:p w:rsidR="00D568D3" w:rsidRPr="00EA1E3D" w:rsidRDefault="00D568D3" w:rsidP="00D568D3">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có kỳ hạn trên 3 tháng</w:t>
            </w:r>
          </w:p>
        </w:tc>
        <w:tc>
          <w:tcPr>
            <w:tcW w:w="1890" w:type="dxa"/>
            <w:vAlign w:val="center"/>
          </w:tcPr>
          <w:p w:rsidR="00D568D3" w:rsidRPr="008321C8" w:rsidRDefault="006B6149"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49,88</w:t>
            </w:r>
          </w:p>
        </w:tc>
        <w:tc>
          <w:tcPr>
            <w:tcW w:w="1620"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D568D3">
        <w:tc>
          <w:tcPr>
            <w:tcW w:w="4770" w:type="dxa"/>
            <w:vAlign w:val="center"/>
          </w:tcPr>
          <w:p w:rsidR="00D568D3" w:rsidRPr="00EA1E3D" w:rsidRDefault="00D568D3" w:rsidP="00D568D3">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Chứng chỉ tiền gửi</w:t>
            </w:r>
          </w:p>
        </w:tc>
        <w:tc>
          <w:tcPr>
            <w:tcW w:w="1890" w:type="dxa"/>
            <w:vAlign w:val="center"/>
          </w:tcPr>
          <w:p w:rsidR="00D568D3" w:rsidRPr="008321C8" w:rsidRDefault="00D568D3"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29,</w:t>
            </w:r>
            <w:r w:rsidR="006B6149">
              <w:rPr>
                <w:rFonts w:ascii="Times New Roman" w:hAnsi="Times New Roman"/>
                <w:sz w:val="24"/>
                <w:szCs w:val="24"/>
                <w:lang w:val="nl-NL"/>
              </w:rPr>
              <w:t>93</w:t>
            </w:r>
          </w:p>
        </w:tc>
        <w:tc>
          <w:tcPr>
            <w:tcW w:w="1620"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D568D3">
        <w:tc>
          <w:tcPr>
            <w:tcW w:w="4770" w:type="dxa"/>
            <w:vAlign w:val="center"/>
          </w:tcPr>
          <w:p w:rsidR="00D568D3" w:rsidRPr="00EA1E3D" w:rsidRDefault="00D568D3" w:rsidP="00D568D3">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90" w:type="dxa"/>
            <w:vAlign w:val="center"/>
          </w:tcPr>
          <w:p w:rsidR="00D568D3" w:rsidRPr="008321C8"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0" w:type="dxa"/>
            <w:vAlign w:val="center"/>
          </w:tcPr>
          <w:p w:rsidR="00D568D3" w:rsidRPr="008321C8"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c>
          <w:tcPr>
            <w:tcW w:w="1710" w:type="dxa"/>
            <w:vAlign w:val="center"/>
          </w:tcPr>
          <w:p w:rsidR="00D568D3" w:rsidRPr="008321C8"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Pr="00E25CCB" w:rsidRDefault="00E25CCB"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770"/>
        <w:gridCol w:w="1890"/>
        <w:gridCol w:w="1620"/>
        <w:gridCol w:w="1728"/>
      </w:tblGrid>
      <w:tr w:rsidR="00F4320B" w:rsidTr="00B3750F">
        <w:tc>
          <w:tcPr>
            <w:tcW w:w="4770"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90" w:type="dxa"/>
            <w:vAlign w:val="center"/>
          </w:tcPr>
          <w:p w:rsidR="00F4320B" w:rsidRPr="00F4320B" w:rsidRDefault="00EA1E3D"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30/09</w:t>
            </w:r>
            <w:r w:rsidR="00F4320B" w:rsidRPr="00F4320B">
              <w:rPr>
                <w:rFonts w:ascii="Times New Roman" w:eastAsia="Times New Roman" w:hAnsi="Times New Roman"/>
                <w:b/>
                <w:sz w:val="24"/>
                <w:szCs w:val="24"/>
                <w:lang w:val="nl-NL"/>
              </w:rPr>
              <w:t>/2019</w:t>
            </w:r>
          </w:p>
        </w:tc>
        <w:tc>
          <w:tcPr>
            <w:tcW w:w="1620"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w:t>
            </w:r>
            <w:r w:rsidR="00EA1E3D">
              <w:rPr>
                <w:rFonts w:ascii="Times New Roman" w:eastAsia="Times New Roman" w:hAnsi="Times New Roman"/>
                <w:b/>
                <w:sz w:val="24"/>
                <w:szCs w:val="24"/>
                <w:lang w:val="nl-NL"/>
              </w:rPr>
              <w:t>9</w:t>
            </w:r>
            <w:r w:rsidRPr="00F4320B">
              <w:rPr>
                <w:rFonts w:ascii="Times New Roman" w:eastAsia="Times New Roman" w:hAnsi="Times New Roman"/>
                <w:b/>
                <w:sz w:val="24"/>
                <w:szCs w:val="24"/>
                <w:lang w:val="nl-NL"/>
              </w:rPr>
              <w:t>/2018</w:t>
            </w:r>
          </w:p>
        </w:tc>
        <w:tc>
          <w:tcPr>
            <w:tcW w:w="1728" w:type="dxa"/>
            <w:vAlign w:val="center"/>
          </w:tcPr>
          <w:p w:rsidR="00F4320B" w:rsidRPr="00F4320B" w:rsidRDefault="00EA1E3D"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30/09</w:t>
            </w:r>
            <w:r w:rsidR="00F4320B" w:rsidRPr="00F4320B">
              <w:rPr>
                <w:rFonts w:ascii="Times New Roman" w:eastAsia="Times New Roman" w:hAnsi="Times New Roman"/>
                <w:b/>
                <w:sz w:val="24"/>
                <w:szCs w:val="24"/>
                <w:lang w:val="nl-NL"/>
              </w:rPr>
              <w:t>/2017</w:t>
            </w:r>
          </w:p>
        </w:tc>
      </w:tr>
      <w:tr w:rsidR="00F4320B" w:rsidTr="00DD002F">
        <w:trPr>
          <w:trHeight w:val="647"/>
        </w:trPr>
        <w:tc>
          <w:tcPr>
            <w:tcW w:w="4770" w:type="dxa"/>
            <w:vAlign w:val="center"/>
          </w:tcPr>
          <w:p w:rsidR="004777E3" w:rsidRDefault="00F4320B" w:rsidP="004777E3">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sidR="00B3750F">
              <w:rPr>
                <w:rFonts w:ascii="Times New Roman" w:hAnsi="Times New Roman"/>
                <w:sz w:val="24"/>
                <w:szCs w:val="24"/>
                <w:lang w:val="nl-NL"/>
              </w:rPr>
              <w:t xml:space="preserve"> (VNĐ)</w:t>
            </w:r>
            <w:r w:rsidR="00DD002F">
              <w:rPr>
                <w:rFonts w:ascii="Times New Roman" w:hAnsi="Times New Roman"/>
                <w:sz w:val="24"/>
                <w:szCs w:val="24"/>
                <w:lang w:val="nl-NL"/>
              </w:rPr>
              <w:t xml:space="preserve"> </w:t>
            </w:r>
          </w:p>
        </w:tc>
        <w:tc>
          <w:tcPr>
            <w:tcW w:w="1890" w:type="dxa"/>
            <w:vAlign w:val="center"/>
          </w:tcPr>
          <w:p w:rsidR="00F4320B" w:rsidRDefault="00505C83" w:rsidP="00505C83">
            <w:pPr>
              <w:tabs>
                <w:tab w:val="left" w:pos="540"/>
              </w:tabs>
              <w:spacing w:before="120" w:line="276" w:lineRule="auto"/>
              <w:rPr>
                <w:rFonts w:ascii="Times New Roman" w:hAnsi="Times New Roman"/>
                <w:b/>
                <w:sz w:val="24"/>
                <w:szCs w:val="24"/>
                <w:lang w:val="nl-NL"/>
              </w:rPr>
            </w:pPr>
            <w:r>
              <w:rPr>
                <w:rFonts w:ascii="Times New Roman" w:hAnsi="Times New Roman"/>
                <w:sz w:val="24"/>
                <w:szCs w:val="24"/>
                <w:lang w:val="nl-NL"/>
              </w:rPr>
              <w:t>102.254.834.329</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4777E3">
        <w:tc>
          <w:tcPr>
            <w:tcW w:w="4770" w:type="dxa"/>
          </w:tcPr>
          <w:p w:rsid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sidR="00B3750F">
              <w:rPr>
                <w:rFonts w:ascii="Times New Roman" w:hAnsi="Times New Roman"/>
                <w:sz w:val="24"/>
                <w:szCs w:val="24"/>
                <w:lang w:val="nl-NL"/>
              </w:rPr>
              <w:t xml:space="preserve"> (CCQ)</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w:t>
            </w:r>
            <w:r w:rsidR="00505C83">
              <w:rPr>
                <w:rFonts w:ascii="Times New Roman" w:hAnsi="Times New Roman"/>
                <w:sz w:val="24"/>
                <w:szCs w:val="24"/>
                <w:lang w:val="nl-NL"/>
              </w:rPr>
              <w:t>61</w:t>
            </w:r>
            <w:r w:rsidRPr="00F4320B">
              <w:rPr>
                <w:rFonts w:ascii="Times New Roman" w:hAnsi="Times New Roman"/>
                <w:sz w:val="24"/>
                <w:szCs w:val="24"/>
                <w:lang w:val="nl-NL"/>
              </w:rPr>
              <w:t>.0</w:t>
            </w:r>
            <w:r w:rsidR="00505C83">
              <w:rPr>
                <w:rFonts w:ascii="Times New Roman" w:hAnsi="Times New Roman"/>
                <w:sz w:val="24"/>
                <w:szCs w:val="24"/>
                <w:lang w:val="nl-NL"/>
              </w:rPr>
              <w:t>95,40</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sidR="00B3750F">
              <w:rPr>
                <w:rFonts w:ascii="Times New Roman" w:hAnsi="Times New Roman"/>
                <w:sz w:val="24"/>
                <w:szCs w:val="24"/>
                <w:lang w:val="nl-NL"/>
              </w:rPr>
              <w:t xml:space="preserve"> (VNĐ)</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w:t>
            </w:r>
            <w:r w:rsidR="00505C83">
              <w:rPr>
                <w:rFonts w:ascii="Times New Roman" w:hAnsi="Times New Roman"/>
                <w:sz w:val="24"/>
                <w:szCs w:val="24"/>
                <w:lang w:val="nl-NL"/>
              </w:rPr>
              <w:t>163,39</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sidR="00B3750F">
              <w:rPr>
                <w:rFonts w:ascii="Times New Roman" w:hAnsi="Times New Roman"/>
                <w:sz w:val="24"/>
                <w:szCs w:val="24"/>
                <w:lang w:val="nl-NL"/>
              </w:rPr>
              <w:t xml:space="preserve"> (VNĐ)</w:t>
            </w:r>
          </w:p>
        </w:tc>
        <w:tc>
          <w:tcPr>
            <w:tcW w:w="1890" w:type="dxa"/>
            <w:vAlign w:val="center"/>
          </w:tcPr>
          <w:p w:rsidR="00F4320B" w:rsidRP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w:t>
            </w:r>
            <w:r w:rsidR="00505C83">
              <w:rPr>
                <w:rFonts w:ascii="Times New Roman" w:hAnsi="Times New Roman"/>
                <w:sz w:val="24"/>
                <w:szCs w:val="24"/>
                <w:lang w:val="nl-NL"/>
              </w:rPr>
              <w:t>163,39</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244FFB" w:rsidP="004777E3">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10.056,25</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rPr>
          <w:trHeight w:val="665"/>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1890" w:type="dxa"/>
            <w:shd w:val="clear" w:color="auto" w:fill="auto"/>
            <w:vAlign w:val="center"/>
          </w:tcPr>
          <w:p w:rsidR="00B3750F" w:rsidRPr="004336D0" w:rsidRDefault="00321C3D" w:rsidP="004777E3">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w:t>
            </w:r>
            <w:r w:rsidR="00B3750F" w:rsidRPr="00321C3D">
              <w:rPr>
                <w:rFonts w:ascii="Times New Roman" w:hAnsi="Times New Roman"/>
                <w:sz w:val="24"/>
                <w:szCs w:val="24"/>
                <w:lang w:val="nl-NL"/>
              </w:rPr>
              <w:t>,</w:t>
            </w:r>
            <w:r w:rsidRPr="00321C3D">
              <w:rPr>
                <w:rFonts w:ascii="Times New Roman" w:hAnsi="Times New Roman"/>
                <w:sz w:val="24"/>
                <w:szCs w:val="24"/>
                <w:lang w:val="nl-NL"/>
              </w:rPr>
              <w:t>18</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1890" w:type="dxa"/>
            <w:shd w:val="clear" w:color="auto" w:fill="auto"/>
            <w:vAlign w:val="center"/>
          </w:tcPr>
          <w:p w:rsidR="00B3750F" w:rsidRPr="004336D0" w:rsidRDefault="00321C3D" w:rsidP="004777E3">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w:t>
            </w:r>
            <w:r w:rsidR="00B3750F" w:rsidRPr="00321C3D">
              <w:rPr>
                <w:rFonts w:ascii="Times New Roman" w:hAnsi="Times New Roman"/>
                <w:sz w:val="24"/>
                <w:szCs w:val="24"/>
                <w:lang w:val="nl-NL"/>
              </w:rPr>
              <w:t>,</w:t>
            </w:r>
            <w:r w:rsidRPr="00321C3D">
              <w:rPr>
                <w:rFonts w:ascii="Times New Roman" w:hAnsi="Times New Roman"/>
                <w:sz w:val="24"/>
                <w:szCs w:val="24"/>
                <w:lang w:val="nl-NL"/>
              </w:rPr>
              <w:t>18</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65"/>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90" w:type="dxa"/>
            <w:vAlign w:val="center"/>
          </w:tcPr>
          <w:p w:rsidR="00B3750F" w:rsidRPr="00244FFB" w:rsidRDefault="00426C3F" w:rsidP="004777E3">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2,1</w:t>
            </w:r>
            <w:r w:rsidR="00B3750F" w:rsidRPr="00426C3F">
              <w:rPr>
                <w:rFonts w:ascii="Times New Roman" w:hAnsi="Times New Roman"/>
                <w:sz w:val="24"/>
                <w:szCs w:val="24"/>
                <w:lang w:val="nl-NL"/>
              </w:rPr>
              <w:t>4</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71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sidR="004777E3">
              <w:rPr>
                <w:rFonts w:ascii="Times New Roman" w:hAnsi="Times New Roman"/>
                <w:sz w:val="24"/>
                <w:szCs w:val="24"/>
                <w:lang w:val="nl-NL"/>
              </w:rPr>
              <w:t>%)</w:t>
            </w:r>
          </w:p>
        </w:tc>
        <w:tc>
          <w:tcPr>
            <w:tcW w:w="1890" w:type="dxa"/>
            <w:vAlign w:val="center"/>
          </w:tcPr>
          <w:p w:rsidR="00B3750F" w:rsidRPr="00244FFB" w:rsidRDefault="00426C3F" w:rsidP="004777E3">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19,67</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FF0C62" w:rsidRDefault="00FF0C62"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DD002F" w:rsidRDefault="00DD002F"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500"/>
        <w:gridCol w:w="2610"/>
        <w:gridCol w:w="2700"/>
      </w:tblGrid>
      <w:tr w:rsidR="001F3B0D" w:rsidRPr="00321C3D" w:rsidTr="001F3B0D">
        <w:tc>
          <w:tcPr>
            <w:tcW w:w="45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tcPr>
          <w:p w:rsidR="001F3B0D" w:rsidRPr="001F3B0D" w:rsidRDefault="001F3B0D" w:rsidP="001F3B0D">
            <w:pPr>
              <w:spacing w:before="120" w:line="360" w:lineRule="auto"/>
              <w:jc w:val="center"/>
              <w:rPr>
                <w:rFonts w:ascii="Times New Roman" w:hAnsi="Times New Roman"/>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tcPr>
          <w:p w:rsidR="001F3B0D" w:rsidRPr="00244FFB" w:rsidRDefault="0058004F" w:rsidP="001F3B0D">
            <w:pPr>
              <w:spacing w:before="120" w:line="360" w:lineRule="auto"/>
              <w:jc w:val="center"/>
              <w:rPr>
                <w:rFonts w:ascii="Times New Roman" w:hAnsi="Times New Roman"/>
                <w:sz w:val="24"/>
                <w:szCs w:val="24"/>
                <w:highlight w:val="yellow"/>
                <w:lang w:val="nl-NL"/>
              </w:rPr>
            </w:pPr>
            <w:r w:rsidRPr="0058004F">
              <w:rPr>
                <w:rFonts w:ascii="Times New Roman" w:hAnsi="Times New Roman"/>
                <w:sz w:val="24"/>
                <w:szCs w:val="24"/>
                <w:lang w:val="nl-NL"/>
              </w:rPr>
              <w:t>1</w:t>
            </w:r>
            <w:r w:rsidR="001E60C9">
              <w:rPr>
                <w:rFonts w:ascii="Times New Roman" w:hAnsi="Times New Roman"/>
                <w:sz w:val="24"/>
                <w:szCs w:val="24"/>
                <w:lang w:val="nl-NL"/>
              </w:rPr>
              <w:t>,</w:t>
            </w:r>
            <w:r w:rsidRPr="0058004F">
              <w:rPr>
                <w:rFonts w:ascii="Times New Roman" w:hAnsi="Times New Roman"/>
                <w:sz w:val="24"/>
                <w:szCs w:val="24"/>
                <w:lang w:val="nl-NL"/>
              </w:rPr>
              <w:t>63</w:t>
            </w:r>
            <w:r w:rsidR="001F3B0D" w:rsidRPr="0058004F">
              <w:rPr>
                <w:rFonts w:ascii="Times New Roman" w:hAnsi="Times New Roman"/>
                <w:sz w:val="24"/>
                <w:szCs w:val="24"/>
                <w:lang w:val="nl-NL"/>
              </w:rPr>
              <w:t>%</w:t>
            </w:r>
          </w:p>
        </w:tc>
        <w:tc>
          <w:tcPr>
            <w:tcW w:w="2700" w:type="dxa"/>
          </w:tcPr>
          <w:p w:rsidR="001F3B0D" w:rsidRPr="00244FFB" w:rsidRDefault="00A1471B" w:rsidP="001F3B0D">
            <w:pPr>
              <w:spacing w:before="120" w:line="360" w:lineRule="auto"/>
              <w:jc w:val="center"/>
              <w:rPr>
                <w:rFonts w:ascii="Times New Roman" w:hAnsi="Times New Roman"/>
                <w:sz w:val="24"/>
                <w:szCs w:val="24"/>
                <w:highlight w:val="yellow"/>
                <w:lang w:val="nl-NL"/>
              </w:rPr>
            </w:pPr>
            <w:r w:rsidRPr="0058004F">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tcPr>
          <w:p w:rsidR="001F3B0D" w:rsidRPr="002455BF" w:rsidRDefault="000710EE" w:rsidP="001F3B0D">
            <w:pPr>
              <w:spacing w:before="120" w:line="360" w:lineRule="auto"/>
              <w:jc w:val="center"/>
              <w:rPr>
                <w:rFonts w:ascii="Times New Roman" w:hAnsi="Times New Roman"/>
                <w:sz w:val="24"/>
                <w:szCs w:val="24"/>
                <w:lang w:val="nl-NL"/>
              </w:rPr>
            </w:pPr>
            <w:r w:rsidRPr="002455BF">
              <w:rPr>
                <w:rFonts w:ascii="Times New Roman" w:hAnsi="Times New Roman"/>
                <w:sz w:val="24"/>
                <w:szCs w:val="24"/>
                <w:lang w:val="nl-NL"/>
              </w:rPr>
              <w:t>5,38</w:t>
            </w:r>
            <w:r w:rsidR="000769A6" w:rsidRPr="002455BF">
              <w:rPr>
                <w:rFonts w:ascii="Times New Roman" w:hAnsi="Times New Roman"/>
                <w:sz w:val="24"/>
                <w:szCs w:val="24"/>
                <w:lang w:val="nl-NL"/>
              </w:rPr>
              <w:t>% (***)</w:t>
            </w:r>
          </w:p>
        </w:tc>
        <w:tc>
          <w:tcPr>
            <w:tcW w:w="2700" w:type="dxa"/>
          </w:tcPr>
          <w:p w:rsidR="001F3B0D" w:rsidRPr="002455BF" w:rsidRDefault="00F71E06" w:rsidP="001F3B0D">
            <w:pPr>
              <w:spacing w:before="120" w:line="360" w:lineRule="auto"/>
              <w:jc w:val="center"/>
              <w:rPr>
                <w:rFonts w:ascii="Times New Roman" w:hAnsi="Times New Roman"/>
                <w:sz w:val="24"/>
                <w:szCs w:val="24"/>
                <w:lang w:val="nl-NL"/>
              </w:rPr>
            </w:pPr>
            <w:r w:rsidRPr="002455BF">
              <w:rPr>
                <w:rFonts w:ascii="Times New Roman" w:hAnsi="Times New Roman"/>
                <w:sz w:val="24"/>
                <w:szCs w:val="24"/>
                <w:lang w:val="nl-NL"/>
              </w:rPr>
              <w:t>10</w:t>
            </w:r>
            <w:r w:rsidR="000710EE" w:rsidRPr="002455BF">
              <w:rPr>
                <w:rFonts w:ascii="Times New Roman" w:hAnsi="Times New Roman"/>
                <w:sz w:val="24"/>
                <w:szCs w:val="24"/>
                <w:lang w:val="nl-NL"/>
              </w:rPr>
              <w:t>,20</w:t>
            </w:r>
            <w:r w:rsidR="00F75DB6" w:rsidRPr="002455BF">
              <w:rPr>
                <w:rFonts w:ascii="Times New Roman" w:hAnsi="Times New Roman"/>
                <w:sz w:val="24"/>
                <w:szCs w:val="24"/>
                <w:lang w:val="nl-NL"/>
              </w:rPr>
              <w:t>%</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320"/>
        <w:gridCol w:w="1350"/>
        <w:gridCol w:w="1350"/>
        <w:gridCol w:w="1350"/>
        <w:gridCol w:w="1548"/>
      </w:tblGrid>
      <w:tr w:rsidR="001F3B0D"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w:t>
            </w:r>
            <w:r w:rsidR="002F09D5">
              <w:rPr>
                <w:rFonts w:ascii="Times New Roman" w:eastAsia="Times New Roman" w:hAnsi="Times New Roman"/>
                <w:b/>
                <w:sz w:val="24"/>
                <w:szCs w:val="24"/>
                <w:lang w:val="nl-NL"/>
              </w:rPr>
              <w:t>9</w:t>
            </w:r>
            <w:r w:rsidRPr="001F3B0D">
              <w:rPr>
                <w:rFonts w:ascii="Times New Roman" w:eastAsia="Times New Roman" w:hAnsi="Times New Roman"/>
                <w:b/>
                <w:sz w:val="24"/>
                <w:szCs w:val="24"/>
                <w:lang w:val="nl-NL"/>
              </w:rPr>
              <w:t>/2019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w:t>
            </w:r>
            <w:r w:rsidR="002F09D5">
              <w:rPr>
                <w:rFonts w:ascii="Times New Roman" w:eastAsia="Times New Roman" w:hAnsi="Times New Roman"/>
                <w:b/>
                <w:sz w:val="24"/>
                <w:szCs w:val="24"/>
                <w:lang w:val="nl-NL"/>
              </w:rPr>
              <w:t>9</w:t>
            </w:r>
            <w:r w:rsidRPr="001F3B0D">
              <w:rPr>
                <w:rFonts w:ascii="Times New Roman" w:eastAsia="Times New Roman" w:hAnsi="Times New Roman"/>
                <w:b/>
                <w:sz w:val="24"/>
                <w:szCs w:val="24"/>
                <w:lang w:val="nl-NL"/>
              </w:rPr>
              <w:t>/2018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w:t>
            </w:r>
            <w:r w:rsidR="002F09D5">
              <w:rPr>
                <w:rFonts w:ascii="Times New Roman" w:eastAsia="Times New Roman" w:hAnsi="Times New Roman"/>
                <w:b/>
                <w:sz w:val="24"/>
                <w:szCs w:val="24"/>
                <w:lang w:val="nl-NL"/>
              </w:rPr>
              <w:t>9</w:t>
            </w:r>
            <w:r w:rsidRPr="001F3B0D">
              <w:rPr>
                <w:rFonts w:ascii="Times New Roman" w:eastAsia="Times New Roman" w:hAnsi="Times New Roman"/>
                <w:b/>
                <w:sz w:val="24"/>
                <w:szCs w:val="24"/>
                <w:lang w:val="nl-NL"/>
              </w:rPr>
              <w:t>/2017</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w:t>
            </w:r>
            <w:r w:rsidR="002F09D5">
              <w:rPr>
                <w:rFonts w:ascii="Times New Roman" w:eastAsia="Times New Roman" w:hAnsi="Times New Roman"/>
                <w:b/>
                <w:sz w:val="24"/>
                <w:szCs w:val="24"/>
                <w:lang w:val="nl-NL"/>
              </w:rPr>
              <w:t>9</w:t>
            </w:r>
            <w:r w:rsidRPr="001F3B0D">
              <w:rPr>
                <w:rFonts w:ascii="Times New Roman" w:eastAsia="Times New Roman" w:hAnsi="Times New Roman"/>
                <w:b/>
                <w:sz w:val="24"/>
                <w:szCs w:val="24"/>
                <w:lang w:val="nl-NL"/>
              </w:rPr>
              <w:t>/2016</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1F3B0D"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1E60C9"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1,63</w:t>
            </w:r>
          </w:p>
        </w:tc>
        <w:tc>
          <w:tcPr>
            <w:tcW w:w="1350" w:type="dxa"/>
          </w:tcPr>
          <w:p w:rsidR="001F3B0D" w:rsidRPr="004B07B4" w:rsidRDefault="001F3B0D" w:rsidP="001F3B0D">
            <w:pPr>
              <w:shd w:val="clear" w:color="auto" w:fill="FFFFFF"/>
              <w:tabs>
                <w:tab w:val="left" w:pos="540"/>
              </w:tabs>
              <w:spacing w:before="120"/>
              <w:jc w:val="center"/>
              <w:rPr>
                <w:rFonts w:ascii="Times New Roman" w:hAnsi="Times New Roman"/>
                <w:sz w:val="24"/>
                <w:szCs w:val="24"/>
                <w:lang w:val="nl-NL"/>
              </w:rPr>
            </w:pPr>
            <w:r w:rsidRPr="004B07B4">
              <w:rPr>
                <w:rFonts w:ascii="Times New Roman" w:hAnsi="Times New Roman"/>
                <w:sz w:val="24"/>
                <w:szCs w:val="24"/>
                <w:lang w:val="nl-NL"/>
              </w:rPr>
              <w:t>N/A</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34115C" w:rsidRPr="00332909" w:rsidRDefault="0024670A"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tại thời điểm 30/0</w:t>
      </w:r>
      <w:r w:rsidR="002F09D5">
        <w:rPr>
          <w:rFonts w:ascii="Times New Roman" w:hAnsi="Times New Roman"/>
          <w:i/>
          <w:sz w:val="24"/>
          <w:szCs w:val="24"/>
          <w:lang w:val="nl-NL"/>
        </w:rPr>
        <w:t>9</w:t>
      </w:r>
      <w:r w:rsidR="000769A6">
        <w:rPr>
          <w:rFonts w:ascii="Times New Roman" w:hAnsi="Times New Roman"/>
          <w:i/>
          <w:sz w:val="24"/>
          <w:szCs w:val="24"/>
          <w:lang w:val="nl-NL"/>
        </w:rPr>
        <w:t>/2019.</w:t>
      </w:r>
    </w:p>
    <w:p w:rsidR="006F77D6" w:rsidRPr="00F2683A" w:rsidRDefault="006F77D6" w:rsidP="00B3750F">
      <w:pPr>
        <w:shd w:val="clear" w:color="auto" w:fill="FFFFFF"/>
        <w:tabs>
          <w:tab w:val="left" w:pos="540"/>
        </w:tabs>
        <w:spacing w:before="120" w:after="0" w:line="240" w:lineRule="auto"/>
        <w:jc w:val="both"/>
        <w:rPr>
          <w:rFonts w:ascii="Times New Roman" w:hAnsi="Times New Roman"/>
          <w:i/>
          <w:sz w:val="24"/>
          <w:szCs w:val="24"/>
          <w:lang w:val="nl-NL"/>
        </w:rPr>
      </w:pPr>
    </w:p>
    <w:p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E27DDB"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E27DDB">
        <w:rPr>
          <w:rFonts w:ascii="Times New Roman" w:hAnsi="Times New Roman"/>
          <w:b/>
          <w:sz w:val="24"/>
          <w:szCs w:val="24"/>
          <w:lang w:val="nl-NL"/>
        </w:rPr>
        <w:t>Kinh tế Vĩ mô:</w:t>
      </w:r>
    </w:p>
    <w:p w:rsidR="00A65D37" w:rsidRPr="00A65D37" w:rsidRDefault="00A65D37" w:rsidP="00A65D37">
      <w:pPr>
        <w:shd w:val="clear" w:color="auto" w:fill="FFFFFF"/>
        <w:spacing w:before="120"/>
        <w:jc w:val="both"/>
        <w:rPr>
          <w:rFonts w:ascii="Times New Roman" w:eastAsiaTheme="minorHAnsi" w:hAnsi="Times New Roman"/>
          <w:sz w:val="24"/>
          <w:szCs w:val="24"/>
          <w:lang w:val="nl-NL"/>
        </w:rPr>
      </w:pPr>
      <w:r w:rsidRPr="00A65D37">
        <w:rPr>
          <w:rFonts w:ascii="Times New Roman" w:hAnsi="Times New Roman"/>
          <w:sz w:val="24"/>
          <w:szCs w:val="24"/>
          <w:lang w:val="nl-NL"/>
        </w:rPr>
        <w:t>Tăng trưởng GDP: Trong 9 tháng năm 2019 nền kinh tế có mức tăng trưởng khả quan. Đặc biệt là mức tăng trưởng tổng sản phẩm trong nước (GDP) trong 9 tháng năm 2019 đạt cao nhất thập kỷ</w:t>
      </w:r>
      <w:r w:rsidR="009F0B2B">
        <w:rPr>
          <w:rFonts w:ascii="Times New Roman" w:hAnsi="Times New Roman"/>
          <w:sz w:val="24"/>
          <w:szCs w:val="24"/>
          <w:lang w:val="nl-NL"/>
        </w:rPr>
        <w:t xml:space="preserve"> qua (6,</w:t>
      </w:r>
      <w:r w:rsidRPr="00A65D37">
        <w:rPr>
          <w:rFonts w:ascii="Times New Roman" w:hAnsi="Times New Roman"/>
          <w:sz w:val="24"/>
          <w:szCs w:val="24"/>
          <w:lang w:val="nl-NL"/>
        </w:rPr>
        <w:t>98%). Riêng quý III, GDP tăng</w:t>
      </w:r>
      <w:r w:rsidR="009F0B2B">
        <w:rPr>
          <w:rFonts w:ascii="Times New Roman" w:hAnsi="Times New Roman"/>
          <w:sz w:val="24"/>
          <w:szCs w:val="24"/>
          <w:lang w:val="nl-NL"/>
        </w:rPr>
        <w:t xml:space="preserve"> 7,</w:t>
      </w:r>
      <w:r w:rsidRPr="00A65D37">
        <w:rPr>
          <w:rFonts w:ascii="Times New Roman" w:hAnsi="Times New Roman"/>
          <w:sz w:val="24"/>
          <w:szCs w:val="24"/>
          <w:lang w:val="nl-NL"/>
        </w:rPr>
        <w:t>31% so với cùng kỳ mặc dù kinh tế thế giới đang có xu hướng tăng trưởng chậm lại.</w:t>
      </w:r>
      <w:r w:rsidRPr="00A65D37">
        <w:rPr>
          <w:lang w:val="nl-NL"/>
        </w:rPr>
        <w:t xml:space="preserve"> </w:t>
      </w:r>
      <w:r w:rsidRPr="00A65D37">
        <w:rPr>
          <w:rFonts w:ascii="Times New Roman" w:hAnsi="Times New Roman"/>
          <w:sz w:val="24"/>
          <w:szCs w:val="24"/>
          <w:lang w:val="nl-NL"/>
        </w:rPr>
        <w:t>ADB đã hạ dự báo tăng trưởng của một số nướ</w:t>
      </w:r>
      <w:r>
        <w:rPr>
          <w:rFonts w:ascii="Times New Roman" w:hAnsi="Times New Roman"/>
          <w:sz w:val="24"/>
          <w:szCs w:val="24"/>
          <w:lang w:val="nl-NL"/>
        </w:rPr>
        <w:t>c Đông </w:t>
      </w:r>
      <w:r w:rsidRPr="00A65D37">
        <w:rPr>
          <w:rFonts w:ascii="Times New Roman" w:hAnsi="Times New Roman"/>
          <w:sz w:val="24"/>
          <w:szCs w:val="24"/>
          <w:lang w:val="nl-NL"/>
        </w:rPr>
        <w:t>Nam Á như Singapore, Thái Lan và Philippines cho năm 2019 và giữ nguyên nhận xét tích cực đối vớ</w:t>
      </w:r>
      <w:r>
        <w:rPr>
          <w:rFonts w:ascii="Times New Roman" w:hAnsi="Times New Roman"/>
          <w:sz w:val="24"/>
          <w:szCs w:val="24"/>
          <w:lang w:val="nl-NL"/>
        </w:rPr>
        <w:t>i </w:t>
      </w:r>
      <w:r w:rsidRPr="00A65D37">
        <w:rPr>
          <w:rFonts w:ascii="Times New Roman" w:hAnsi="Times New Roman"/>
          <w:sz w:val="24"/>
          <w:szCs w:val="24"/>
          <w:lang w:val="nl-NL"/>
        </w:rPr>
        <w:t>Việ</w:t>
      </w:r>
      <w:r w:rsidR="009F0B2B">
        <w:rPr>
          <w:rFonts w:ascii="Times New Roman" w:hAnsi="Times New Roman"/>
          <w:sz w:val="24"/>
          <w:szCs w:val="24"/>
          <w:lang w:val="nl-NL"/>
        </w:rPr>
        <w:t>t Nam (6,</w:t>
      </w:r>
      <w:r w:rsidRPr="00A65D37">
        <w:rPr>
          <w:rFonts w:ascii="Times New Roman" w:hAnsi="Times New Roman"/>
          <w:sz w:val="24"/>
          <w:szCs w:val="24"/>
          <w:lang w:val="nl-NL"/>
        </w:rPr>
        <w:t xml:space="preserve">8%). </w:t>
      </w:r>
    </w:p>
    <w:p w:rsidR="00A65D37" w:rsidRPr="00A65D37" w:rsidRDefault="00A65D37" w:rsidP="00A65D37">
      <w:pPr>
        <w:shd w:val="clear" w:color="auto" w:fill="FFFFFF"/>
        <w:spacing w:before="120"/>
        <w:jc w:val="both"/>
        <w:rPr>
          <w:rFonts w:ascii="Times New Roman" w:hAnsi="Times New Roman"/>
          <w:sz w:val="24"/>
          <w:szCs w:val="24"/>
          <w:lang w:val="nl-NL"/>
        </w:rPr>
      </w:pPr>
      <w:r w:rsidRPr="00A65D37">
        <w:rPr>
          <w:rFonts w:ascii="Times New Roman" w:hAnsi="Times New Roman"/>
          <w:sz w:val="24"/>
          <w:szCs w:val="24"/>
          <w:lang w:val="nl-NL"/>
        </w:rPr>
        <w:t>Lạm phát: Chỉ số giá tiêu</w:t>
      </w:r>
      <w:r w:rsidR="009F0B2B">
        <w:rPr>
          <w:rFonts w:ascii="Times New Roman" w:hAnsi="Times New Roman"/>
          <w:sz w:val="24"/>
          <w:szCs w:val="24"/>
          <w:lang w:val="nl-NL"/>
        </w:rPr>
        <w:t xml:space="preserve"> dùng (CPI) tháng 9/2019 tăng 0,</w:t>
      </w:r>
      <w:r w:rsidRPr="00A65D37">
        <w:rPr>
          <w:rFonts w:ascii="Times New Roman" w:hAnsi="Times New Roman"/>
          <w:sz w:val="24"/>
          <w:szCs w:val="24"/>
          <w:lang w:val="nl-NL"/>
        </w:rPr>
        <w:t>32% so với tháng trướ</w:t>
      </w:r>
      <w:r w:rsidR="009F0B2B">
        <w:rPr>
          <w:rFonts w:ascii="Times New Roman" w:hAnsi="Times New Roman"/>
          <w:sz w:val="24"/>
          <w:szCs w:val="24"/>
          <w:lang w:val="nl-NL"/>
        </w:rPr>
        <w:t>c, bình quân 9 tháng tăng 2,</w:t>
      </w:r>
      <w:r w:rsidRPr="00A65D37">
        <w:rPr>
          <w:rFonts w:ascii="Times New Roman" w:hAnsi="Times New Roman"/>
          <w:sz w:val="24"/>
          <w:szCs w:val="24"/>
          <w:lang w:val="nl-NL"/>
        </w:rPr>
        <w:t>5% so với cùng kỳ năm 2018, đây là mức tăng bình quân 9 tháng thấp nhất trong 3 năm gần đây. Dự báo lạm phát bình quân năm 2019 ở mức kiểm soát dướ</w:t>
      </w:r>
      <w:r w:rsidR="009F0B2B">
        <w:rPr>
          <w:rFonts w:ascii="Times New Roman" w:hAnsi="Times New Roman"/>
          <w:sz w:val="24"/>
          <w:szCs w:val="24"/>
          <w:lang w:val="nl-NL"/>
        </w:rPr>
        <w:t>i 4,</w:t>
      </w:r>
      <w:r w:rsidRPr="00A65D37">
        <w:rPr>
          <w:rFonts w:ascii="Times New Roman" w:hAnsi="Times New Roman"/>
          <w:sz w:val="24"/>
          <w:szCs w:val="24"/>
          <w:lang w:val="nl-NL"/>
        </w:rPr>
        <w:t>0% tạo tiền đề cho Ngân hàng Nhà nước tiếp tục thực hiện chính sách tiền tệ chủ động, linh hoạt.</w:t>
      </w:r>
    </w:p>
    <w:p w:rsidR="00A65D37" w:rsidRPr="00A65D37" w:rsidRDefault="00A65D37" w:rsidP="00A65D37">
      <w:pPr>
        <w:shd w:val="clear" w:color="auto" w:fill="FFFFFF"/>
        <w:spacing w:before="120"/>
        <w:jc w:val="both"/>
        <w:rPr>
          <w:rFonts w:ascii="Times New Roman" w:hAnsi="Times New Roman"/>
          <w:sz w:val="24"/>
          <w:szCs w:val="24"/>
          <w:lang w:val="nl-NL"/>
        </w:rPr>
      </w:pPr>
      <w:r w:rsidRPr="00A65D37">
        <w:rPr>
          <w:rFonts w:ascii="Times New Roman" w:hAnsi="Times New Roman"/>
          <w:sz w:val="24"/>
          <w:szCs w:val="24"/>
          <w:lang w:val="nl-NL"/>
        </w:rPr>
        <w:lastRenderedPageBreak/>
        <w:t xml:space="preserve">Chính sách tiền tệ của Ngân hàng nhà nước trong quý 3 năm 2019 vẫn xoay quanh hai mục tiêu ổn định tỉ giá và kiềm chế lạm phát. </w:t>
      </w:r>
    </w:p>
    <w:p w:rsidR="00BA4FB3" w:rsidRPr="00A65D37" w:rsidRDefault="00A65D37" w:rsidP="00A65D37">
      <w:pPr>
        <w:shd w:val="clear" w:color="auto" w:fill="FFFFFF"/>
        <w:tabs>
          <w:tab w:val="left" w:pos="540"/>
        </w:tabs>
        <w:spacing w:before="120" w:after="0" w:line="240" w:lineRule="auto"/>
        <w:jc w:val="both"/>
        <w:rPr>
          <w:rFonts w:ascii="Times New Roman" w:hAnsi="Times New Roman"/>
          <w:sz w:val="24"/>
          <w:szCs w:val="24"/>
          <w:lang w:val="nl-NL"/>
        </w:rPr>
      </w:pPr>
      <w:r w:rsidRPr="00A65D37">
        <w:rPr>
          <w:rFonts w:ascii="Times New Roman" w:hAnsi="Times New Roman"/>
          <w:sz w:val="24"/>
          <w:szCs w:val="24"/>
          <w:lang w:val="nl-NL"/>
        </w:rPr>
        <w:t>Các điểm nhấn kinh tế khác trong 9 tháng đầu năm 2019: Báo cáo từ Tổng cục Hải quan đã chính thức xác nhận con số thặng dư cán cân thương mại sau 9 tháng đầu năm là 7</w:t>
      </w:r>
      <w:r w:rsidR="009F0B2B">
        <w:rPr>
          <w:rFonts w:ascii="Times New Roman" w:hAnsi="Times New Roman"/>
          <w:sz w:val="24"/>
          <w:szCs w:val="24"/>
          <w:lang w:val="nl-NL"/>
        </w:rPr>
        <w:t>,</w:t>
      </w:r>
      <w:r w:rsidRPr="00A65D37">
        <w:rPr>
          <w:rFonts w:ascii="Times New Roman" w:hAnsi="Times New Roman"/>
          <w:sz w:val="24"/>
          <w:szCs w:val="24"/>
          <w:lang w:val="nl-NL"/>
        </w:rPr>
        <w:t>15 tỷ USD trong khi vốn FDI giải ngân từ đầu năm đến nay đạ</w:t>
      </w:r>
      <w:r w:rsidR="009F0B2B">
        <w:rPr>
          <w:rFonts w:ascii="Times New Roman" w:hAnsi="Times New Roman"/>
          <w:sz w:val="24"/>
          <w:szCs w:val="24"/>
          <w:lang w:val="nl-NL"/>
        </w:rPr>
        <w:t>t 14,</w:t>
      </w:r>
      <w:r w:rsidRPr="00A65D37">
        <w:rPr>
          <w:rFonts w:ascii="Times New Roman" w:hAnsi="Times New Roman"/>
          <w:sz w:val="24"/>
          <w:szCs w:val="24"/>
          <w:lang w:val="nl-NL"/>
        </w:rPr>
        <w:t>2 tỷ USD và kiều hối về trong nước ước tính khoảng 8 tỷ USD. Đây đều là những con số cao nhất trong 3 năm trở lại</w:t>
      </w:r>
      <w:r w:rsidR="00846481" w:rsidRPr="00A65D37">
        <w:rPr>
          <w:rFonts w:ascii="Times New Roman" w:hAnsi="Times New Roman"/>
          <w:sz w:val="24"/>
          <w:szCs w:val="24"/>
          <w:lang w:val="nl-NL"/>
        </w:rPr>
        <w:t>.</w:t>
      </w:r>
    </w:p>
    <w:p w:rsidR="00BA4FB3" w:rsidRPr="00A65D37" w:rsidRDefault="00BA4FB3"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A65D37">
        <w:rPr>
          <w:rFonts w:ascii="Times New Roman" w:hAnsi="Times New Roman"/>
          <w:b/>
          <w:sz w:val="24"/>
          <w:szCs w:val="24"/>
          <w:lang w:val="nl-NL"/>
        </w:rPr>
        <w:t>Thị trường chứng khoán:</w:t>
      </w:r>
    </w:p>
    <w:p w:rsidR="00A65D37" w:rsidRPr="00A65D37" w:rsidRDefault="00A65D37" w:rsidP="00A65D37">
      <w:pPr>
        <w:shd w:val="clear" w:color="auto" w:fill="FFFFFF"/>
        <w:spacing w:before="120"/>
        <w:jc w:val="both"/>
        <w:rPr>
          <w:rFonts w:ascii="Times New Roman" w:eastAsiaTheme="minorHAnsi" w:hAnsi="Times New Roman"/>
          <w:sz w:val="24"/>
          <w:szCs w:val="24"/>
          <w:lang w:val="nl-NL"/>
        </w:rPr>
      </w:pPr>
      <w:r w:rsidRPr="00A65D37">
        <w:rPr>
          <w:rFonts w:ascii="Times New Roman" w:hAnsi="Times New Roman"/>
          <w:sz w:val="24"/>
          <w:szCs w:val="24"/>
          <w:lang w:val="nl-NL"/>
        </w:rPr>
        <w:t>Thị trường Chứng khoán Việt Nam hồi phục lên mức 997,8 điểm nhờ thông tin GDP quý 3 tăng trưởng tích cự</w:t>
      </w:r>
      <w:r w:rsidR="009F0B2B">
        <w:rPr>
          <w:rFonts w:ascii="Times New Roman" w:hAnsi="Times New Roman"/>
          <w:sz w:val="24"/>
          <w:szCs w:val="24"/>
          <w:lang w:val="nl-NL"/>
        </w:rPr>
        <w:t>c (tăng 7,</w:t>
      </w:r>
      <w:r w:rsidRPr="00A65D37">
        <w:rPr>
          <w:rFonts w:ascii="Times New Roman" w:hAnsi="Times New Roman"/>
          <w:sz w:val="24"/>
          <w:szCs w:val="24"/>
          <w:lang w:val="nl-NL"/>
        </w:rPr>
        <w:t>31%). Nhóm cổ phiếu ngân hàng cùng một số cổ phiế</w:t>
      </w:r>
      <w:r w:rsidR="00530A42">
        <w:rPr>
          <w:rFonts w:ascii="Times New Roman" w:hAnsi="Times New Roman"/>
          <w:sz w:val="24"/>
          <w:szCs w:val="24"/>
          <w:lang w:val="nl-NL"/>
        </w:rPr>
        <w:t>u blue-</w:t>
      </w:r>
      <w:r w:rsidRPr="00A65D37">
        <w:rPr>
          <w:rFonts w:ascii="Times New Roman" w:hAnsi="Times New Roman"/>
          <w:sz w:val="24"/>
          <w:szCs w:val="24"/>
          <w:lang w:val="nl-NL"/>
        </w:rPr>
        <w:t>chip là động lực tăng trưởng của VN Index. Ngày 27/9, tổ chức xếp hạng thị trường FTSE Russell tiếp tục giữ Việt Nam ở danh sách theo dõi nâng hạng lên thị trường mới nổi thứ cấp và sẽ đánh giá lại vào kỳ đánh giá thường niên tháng 9/2020.</w:t>
      </w:r>
    </w:p>
    <w:p w:rsidR="00A65D37" w:rsidRPr="00A65D37" w:rsidRDefault="00A65D37" w:rsidP="00A65D37">
      <w:pPr>
        <w:shd w:val="clear" w:color="auto" w:fill="FFFFFF"/>
        <w:spacing w:before="120"/>
        <w:jc w:val="both"/>
        <w:rPr>
          <w:rFonts w:ascii="Times New Roman" w:hAnsi="Times New Roman"/>
          <w:sz w:val="24"/>
          <w:szCs w:val="24"/>
          <w:lang w:val="nl-NL"/>
        </w:rPr>
      </w:pPr>
      <w:r w:rsidRPr="00A65D37">
        <w:rPr>
          <w:rFonts w:ascii="Times New Roman" w:hAnsi="Times New Roman"/>
          <w:sz w:val="24"/>
          <w:szCs w:val="24"/>
          <w:lang w:val="nl-NL"/>
        </w:rPr>
        <w:t>Thị trường Trái phiếu Chính phủ Việt Nam trong quý 3 trải qua sự sụt giảm mạnh so với cuối quý 2/2019 về lợi suất do thanh khoản dư thừa trong hệ thống ngân hàng. Điều này góp phần làm việc hấp thụ đấu giá trái phiếu chính phủ thuận lợi. Lợi suất Trái phiếu Chính phủ trên thị trường thứ cấp diễn biến cùng chiều với thị trường sơ cấp, với sự sụt giảm khoảng 40 – 80 bps so với thời điểm cuối quý 2/2019 trong đó giảm mạnh nhất là kỳ hạn 5 năm và 15 năm. Tính từ đầu năm, lợi suất TPCP đã giảm 100-160 bps.</w:t>
      </w:r>
    </w:p>
    <w:p w:rsidR="00F50B89" w:rsidRPr="00A65D37" w:rsidRDefault="00A65D37" w:rsidP="00A65D37">
      <w:pPr>
        <w:shd w:val="clear" w:color="auto" w:fill="FFFFFF"/>
        <w:spacing w:before="120"/>
        <w:jc w:val="both"/>
        <w:rPr>
          <w:rFonts w:ascii="Times New Roman" w:hAnsi="Times New Roman"/>
          <w:sz w:val="24"/>
          <w:szCs w:val="24"/>
          <w:lang w:val="nl-NL"/>
        </w:rPr>
      </w:pPr>
      <w:r w:rsidRPr="00A65D37">
        <w:rPr>
          <w:rFonts w:ascii="Times New Roman" w:hAnsi="Times New Roman"/>
          <w:sz w:val="24"/>
          <w:szCs w:val="24"/>
          <w:lang w:val="nl-NL"/>
        </w:rPr>
        <w:t>Lũy kế từ đầu năm 2019, khối ngoạ</w:t>
      </w:r>
      <w:r w:rsidR="009F0B2B">
        <w:rPr>
          <w:rFonts w:ascii="Times New Roman" w:hAnsi="Times New Roman"/>
          <w:sz w:val="24"/>
          <w:szCs w:val="24"/>
          <w:lang w:val="nl-NL"/>
        </w:rPr>
        <w:t>i mua ròng 1,</w:t>
      </w:r>
      <w:r w:rsidRPr="00A65D37">
        <w:rPr>
          <w:rFonts w:ascii="Times New Roman" w:hAnsi="Times New Roman"/>
          <w:sz w:val="24"/>
          <w:szCs w:val="24"/>
          <w:lang w:val="nl-NL"/>
        </w:rPr>
        <w:t>88 tỷ USD trên thị trường chứng khoán (1</w:t>
      </w:r>
      <w:r w:rsidR="009F0B2B">
        <w:rPr>
          <w:rFonts w:ascii="Times New Roman" w:hAnsi="Times New Roman"/>
          <w:sz w:val="24"/>
          <w:szCs w:val="24"/>
          <w:lang w:val="nl-NL"/>
        </w:rPr>
        <w:t>,</w:t>
      </w:r>
      <w:r w:rsidRPr="00A65D37">
        <w:rPr>
          <w:rFonts w:ascii="Times New Roman" w:hAnsi="Times New Roman"/>
          <w:sz w:val="24"/>
          <w:szCs w:val="24"/>
          <w:lang w:val="nl-NL"/>
        </w:rPr>
        <w:t>23 tỷ USD cổ phiế</w:t>
      </w:r>
      <w:r w:rsidR="009F0B2B">
        <w:rPr>
          <w:rFonts w:ascii="Times New Roman" w:hAnsi="Times New Roman"/>
          <w:sz w:val="24"/>
          <w:szCs w:val="24"/>
          <w:lang w:val="nl-NL"/>
        </w:rPr>
        <w:t>u và 650,</w:t>
      </w:r>
      <w:r w:rsidRPr="00A65D37">
        <w:rPr>
          <w:rFonts w:ascii="Times New Roman" w:hAnsi="Times New Roman"/>
          <w:sz w:val="24"/>
          <w:szCs w:val="24"/>
          <w:lang w:val="nl-NL"/>
        </w:rPr>
        <w:t>4 triệu USD trái phiế</w:t>
      </w:r>
      <w:r>
        <w:rPr>
          <w:rFonts w:ascii="Times New Roman" w:hAnsi="Times New Roman"/>
          <w:sz w:val="24"/>
          <w:szCs w:val="24"/>
          <w:lang w:val="nl-NL"/>
        </w:rPr>
        <w:t>u).</w:t>
      </w:r>
    </w:p>
    <w:p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rsidR="001C4468" w:rsidRPr="008978F2"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tbl>
      <w:tblPr>
        <w:tblStyle w:val="TableGrid"/>
        <w:tblW w:w="0" w:type="auto"/>
        <w:tblLook w:val="04A0" w:firstRow="1" w:lastRow="0" w:firstColumn="1" w:lastColumn="0" w:noHBand="0" w:noVBand="1"/>
      </w:tblPr>
      <w:tblGrid>
        <w:gridCol w:w="3078"/>
        <w:gridCol w:w="2070"/>
        <w:gridCol w:w="2610"/>
        <w:gridCol w:w="2358"/>
      </w:tblGrid>
      <w:tr w:rsidR="008978F2" w:rsidRPr="00321C3D" w:rsidTr="008978F2">
        <w:tc>
          <w:tcPr>
            <w:tcW w:w="3078" w:type="dxa"/>
          </w:tcPr>
          <w:p w:rsidR="008978F2" w:rsidRDefault="008978F2" w:rsidP="008978F2">
            <w:pPr>
              <w:tabs>
                <w:tab w:val="left" w:pos="540"/>
              </w:tabs>
              <w:spacing w:before="120"/>
              <w:jc w:val="center"/>
              <w:rPr>
                <w:rFonts w:ascii="Times New Roman" w:hAnsi="Times New Roman"/>
                <w:b/>
                <w:sz w:val="24"/>
                <w:szCs w:val="24"/>
                <w:lang w:val="nl-NL"/>
              </w:rPr>
            </w:pPr>
            <w:r w:rsidRPr="008978F2">
              <w:rPr>
                <w:rFonts w:ascii="Times New Roman" w:hAnsi="Times New Roman"/>
                <w:b/>
                <w:sz w:val="24"/>
                <w:szCs w:val="24"/>
                <w:lang w:val="nl-NL"/>
              </w:rPr>
              <w:t>Chỉ tiêu</w:t>
            </w:r>
          </w:p>
        </w:tc>
        <w:tc>
          <w:tcPr>
            <w:tcW w:w="207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1 năm đến thời điểm báo cáo (%)</w:t>
            </w:r>
          </w:p>
        </w:tc>
        <w:tc>
          <w:tcPr>
            <w:tcW w:w="261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3 năm gần nhất tính đến thời điểm báo cáo (%)</w:t>
            </w:r>
          </w:p>
        </w:tc>
        <w:tc>
          <w:tcPr>
            <w:tcW w:w="2358"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Từ khi thành lập đến thời điểm báo cáo (%)</w:t>
            </w:r>
          </w:p>
        </w:tc>
      </w:tr>
      <w:tr w:rsidR="001A5984" w:rsidTr="00F62198">
        <w:tc>
          <w:tcPr>
            <w:tcW w:w="307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207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261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235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thu nhập/1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A7782D" w:rsidRDefault="00A7782D" w:rsidP="00A1471B">
            <w:pPr>
              <w:tabs>
                <w:tab w:val="left" w:pos="540"/>
              </w:tabs>
              <w:spacing w:before="120"/>
              <w:jc w:val="center"/>
              <w:rPr>
                <w:rFonts w:ascii="Times New Roman" w:eastAsia="Times New Roman" w:hAnsi="Times New Roman"/>
                <w:sz w:val="24"/>
                <w:szCs w:val="24"/>
                <w:lang w:val="nl-NL"/>
              </w:rPr>
            </w:pPr>
            <w:r w:rsidRPr="00A7782D">
              <w:rPr>
                <w:rFonts w:ascii="Times New Roman" w:eastAsia="Times New Roman" w:hAnsi="Times New Roman"/>
                <w:sz w:val="24"/>
                <w:szCs w:val="24"/>
                <w:lang w:val="nl-NL"/>
              </w:rPr>
              <w:t>1</w:t>
            </w:r>
            <w:r w:rsidR="00A1471B" w:rsidRPr="00A7782D">
              <w:rPr>
                <w:rFonts w:ascii="Times New Roman" w:eastAsia="Times New Roman" w:hAnsi="Times New Roman"/>
                <w:sz w:val="24"/>
                <w:szCs w:val="24"/>
                <w:lang w:val="nl-NL"/>
              </w:rPr>
              <w:t>,</w:t>
            </w:r>
            <w:r w:rsidRPr="00A7782D">
              <w:rPr>
                <w:rFonts w:ascii="Times New Roman" w:eastAsia="Times New Roman" w:hAnsi="Times New Roman"/>
                <w:sz w:val="24"/>
                <w:szCs w:val="24"/>
                <w:lang w:val="nl-NL"/>
              </w:rPr>
              <w:t>18</w:t>
            </w:r>
            <w:r w:rsidR="00A1471B" w:rsidRPr="00A7782D">
              <w:rPr>
                <w:rFonts w:ascii="Times New Roman" w:eastAsia="Times New Roman" w:hAnsi="Times New Roman"/>
                <w:sz w:val="24"/>
                <w:szCs w:val="24"/>
                <w:lang w:val="nl-NL"/>
              </w:rPr>
              <w:t>%</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Vốn/1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A7782D" w:rsidRDefault="00A1471B" w:rsidP="00A1471B">
            <w:pPr>
              <w:tabs>
                <w:tab w:val="left" w:pos="540"/>
              </w:tabs>
              <w:spacing w:before="120"/>
              <w:jc w:val="center"/>
              <w:rPr>
                <w:rFonts w:ascii="Times New Roman" w:eastAsia="Times New Roman" w:hAnsi="Times New Roman"/>
                <w:sz w:val="24"/>
                <w:szCs w:val="24"/>
                <w:lang w:val="nl-NL"/>
              </w:rPr>
            </w:pPr>
            <w:r w:rsidRPr="00A7782D">
              <w:rPr>
                <w:rFonts w:ascii="Times New Roman" w:eastAsia="Times New Roman" w:hAnsi="Times New Roman"/>
                <w:sz w:val="24"/>
                <w:szCs w:val="24"/>
                <w:lang w:val="nl-NL"/>
              </w:rPr>
              <w:t>0,00</w:t>
            </w:r>
          </w:p>
        </w:tc>
      </w:tr>
      <w:tr w:rsidR="00A1471B" w:rsidTr="00DA597D">
        <w:tc>
          <w:tcPr>
            <w:tcW w:w="3078" w:type="dxa"/>
            <w:vAlign w:val="center"/>
          </w:tcPr>
          <w:p w:rsidR="00A1471B" w:rsidRPr="00461ED9" w:rsidRDefault="00A1471B" w:rsidP="00A1471B">
            <w:pPr>
              <w:tabs>
                <w:tab w:val="left" w:pos="540"/>
              </w:tabs>
              <w:spacing w:before="120"/>
              <w:jc w:val="both"/>
              <w:rPr>
                <w:rFonts w:ascii="Times New Roman" w:eastAsia="Times New Roman" w:hAnsi="Times New Roman"/>
                <w:b/>
                <w:sz w:val="24"/>
                <w:szCs w:val="24"/>
                <w:lang w:val="nl-NL"/>
              </w:rPr>
            </w:pPr>
            <w:r w:rsidRPr="00461ED9">
              <w:rPr>
                <w:rFonts w:ascii="Times New Roman" w:eastAsia="Times New Roman" w:hAnsi="Times New Roman"/>
                <w:b/>
                <w:sz w:val="24"/>
                <w:szCs w:val="24"/>
                <w:lang w:val="nl-NL"/>
              </w:rPr>
              <w:t>Tổng tăng trưởng/1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358" w:type="dxa"/>
            <w:vAlign w:val="center"/>
          </w:tcPr>
          <w:p w:rsidR="00A1471B" w:rsidRPr="00A7782D" w:rsidRDefault="00A7782D" w:rsidP="00A1471B">
            <w:pPr>
              <w:tabs>
                <w:tab w:val="left" w:pos="540"/>
              </w:tabs>
              <w:spacing w:before="120"/>
              <w:jc w:val="center"/>
              <w:rPr>
                <w:rFonts w:ascii="Times New Roman" w:eastAsia="Times New Roman" w:hAnsi="Times New Roman"/>
                <w:b/>
                <w:sz w:val="24"/>
                <w:szCs w:val="24"/>
                <w:lang w:val="nl-NL"/>
              </w:rPr>
            </w:pPr>
            <w:r w:rsidRPr="00A7782D">
              <w:rPr>
                <w:rFonts w:ascii="Times New Roman" w:eastAsia="Times New Roman" w:hAnsi="Times New Roman"/>
                <w:b/>
                <w:sz w:val="24"/>
                <w:szCs w:val="24"/>
                <w:lang w:val="nl-NL"/>
              </w:rPr>
              <w:t>1</w:t>
            </w:r>
            <w:r w:rsidR="0037324A" w:rsidRPr="00A7782D">
              <w:rPr>
                <w:rFonts w:ascii="Times New Roman" w:eastAsia="Times New Roman" w:hAnsi="Times New Roman"/>
                <w:b/>
                <w:sz w:val="24"/>
                <w:szCs w:val="24"/>
                <w:lang w:val="nl-NL"/>
              </w:rPr>
              <w:t>,</w:t>
            </w:r>
            <w:r w:rsidRPr="00A7782D">
              <w:rPr>
                <w:rFonts w:ascii="Times New Roman" w:eastAsia="Times New Roman" w:hAnsi="Times New Roman"/>
                <w:b/>
                <w:sz w:val="24"/>
                <w:szCs w:val="24"/>
                <w:lang w:val="nl-NL"/>
              </w:rPr>
              <w:t>18</w:t>
            </w:r>
            <w:r w:rsidR="0037324A" w:rsidRPr="00A7782D">
              <w:rPr>
                <w:rFonts w:ascii="Times New Roman" w:eastAsia="Times New Roman" w:hAnsi="Times New Roman"/>
                <w:b/>
                <w:sz w:val="24"/>
                <w:szCs w:val="24"/>
                <w:lang w:val="nl-NL"/>
              </w:rPr>
              <w:t>%</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hàng năm</w:t>
            </w:r>
            <w:r>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5C766A" w:rsidRDefault="006D079C" w:rsidP="00A1471B">
            <w:pPr>
              <w:tabs>
                <w:tab w:val="left" w:pos="540"/>
              </w:tabs>
              <w:spacing w:before="120"/>
              <w:jc w:val="center"/>
              <w:rPr>
                <w:rFonts w:ascii="Times New Roman" w:eastAsia="Times New Roman" w:hAnsi="Times New Roman"/>
                <w:sz w:val="24"/>
                <w:szCs w:val="24"/>
                <w:highlight w:val="yellow"/>
                <w:lang w:val="nl-NL"/>
              </w:rPr>
            </w:pPr>
            <w:r w:rsidRPr="00D333FE">
              <w:rPr>
                <w:rFonts w:ascii="Times New Roman" w:eastAsia="Times New Roman" w:hAnsi="Times New Roman"/>
                <w:sz w:val="24"/>
                <w:szCs w:val="24"/>
                <w:lang w:val="nl-NL"/>
              </w:rPr>
              <w:t>1,63%</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của danh mục cơ cấu</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Thay đổi giá trị thị trường của 1 đơn vị CCQ</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r>
    </w:tbl>
    <w:p w:rsidR="00CA1215" w:rsidRDefault="00CA1215"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(1)</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(2):</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xml:space="preserve">● Biểu đồ tăng trưởng hàng tháng của Quỹ trong </w:t>
      </w:r>
      <w:r w:rsidR="00E46772" w:rsidRPr="00F2683A">
        <w:rPr>
          <w:rFonts w:ascii="Times New Roman" w:hAnsi="Times New Roman"/>
          <w:sz w:val="24"/>
          <w:szCs w:val="24"/>
          <w:lang w:val="nl-NL"/>
        </w:rPr>
        <w:t>3 tháng</w:t>
      </w:r>
      <w:r w:rsidRPr="00F2683A">
        <w:rPr>
          <w:rFonts w:ascii="Times New Roman" w:hAnsi="Times New Roman"/>
          <w:sz w:val="24"/>
          <w:szCs w:val="24"/>
          <w:lang w:val="nl-NL"/>
        </w:rPr>
        <w:t xml:space="preserve"> gần nhấ</w:t>
      </w:r>
      <w:r w:rsidR="004F5C05">
        <w:rPr>
          <w:rFonts w:ascii="Times New Roman" w:hAnsi="Times New Roman"/>
          <w:sz w:val="24"/>
          <w:szCs w:val="24"/>
          <w:lang w:val="nl-NL"/>
        </w:rPr>
        <w:t>t:</w:t>
      </w:r>
    </w:p>
    <w:p w:rsidR="000C4080" w:rsidRPr="005676E2" w:rsidRDefault="000C4080" w:rsidP="00B3750F">
      <w:pPr>
        <w:shd w:val="clear" w:color="auto" w:fill="FFFFFF"/>
        <w:tabs>
          <w:tab w:val="left" w:pos="540"/>
        </w:tabs>
        <w:spacing w:before="120" w:after="0" w:line="240" w:lineRule="auto"/>
        <w:jc w:val="both"/>
        <w:rPr>
          <w:noProof/>
          <w:lang w:val="nl-NL"/>
        </w:rPr>
      </w:pPr>
    </w:p>
    <w:p w:rsidR="00E46772" w:rsidRPr="00F2683A" w:rsidRDefault="009648AF" w:rsidP="00B3750F">
      <w:pPr>
        <w:shd w:val="clear" w:color="auto" w:fill="FFFFFF"/>
        <w:tabs>
          <w:tab w:val="left" w:pos="540"/>
        </w:tabs>
        <w:spacing w:before="120" w:after="0" w:line="240" w:lineRule="auto"/>
        <w:jc w:val="both"/>
        <w:rPr>
          <w:rFonts w:ascii="Times New Roman" w:hAnsi="Times New Roman"/>
          <w:sz w:val="24"/>
          <w:szCs w:val="24"/>
          <w:lang w:val="nl-NL"/>
        </w:rPr>
      </w:pPr>
      <w:r w:rsidRPr="009648AF">
        <w:rPr>
          <w:rFonts w:ascii="Times New Roman" w:hAnsi="Times New Roman"/>
          <w:noProof/>
        </w:rPr>
        <w:drawing>
          <wp:inline distT="0" distB="0" distL="0" distR="0" wp14:anchorId="56198757" wp14:editId="7B400B4B">
            <wp:extent cx="6448425" cy="3400425"/>
            <wp:effectExtent l="0" t="0" r="9525"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52CD17-9352-434A-B7BB-56E8E32A5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4080" w:rsidRPr="00F2683A" w:rsidRDefault="000C4080"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rsidTr="001A5984">
        <w:trPr>
          <w:trHeight w:val="521"/>
        </w:trPr>
        <w:tc>
          <w:tcPr>
            <w:tcW w:w="2340"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rsidR="001C4468" w:rsidRPr="004F5C05" w:rsidRDefault="00727607"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30/09</w:t>
            </w:r>
            <w:r w:rsidR="00B84DD0" w:rsidRPr="004F5C05">
              <w:rPr>
                <w:rFonts w:ascii="Times New Roman" w:eastAsia="Times New Roman" w:hAnsi="Times New Roman"/>
                <w:b/>
                <w:sz w:val="24"/>
                <w:szCs w:val="24"/>
                <w:lang w:val="nl-NL"/>
              </w:rPr>
              <w:t>/2019</w:t>
            </w:r>
          </w:p>
        </w:tc>
        <w:tc>
          <w:tcPr>
            <w:tcW w:w="872" w:type="pct"/>
            <w:shd w:val="clear" w:color="auto" w:fill="auto"/>
          </w:tcPr>
          <w:p w:rsidR="001C4468" w:rsidRPr="004F5C05" w:rsidRDefault="009E1ED4"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30/06/2019</w:t>
            </w:r>
          </w:p>
        </w:tc>
        <w:tc>
          <w:tcPr>
            <w:tcW w:w="871"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rsidTr="001A5984">
        <w:trPr>
          <w:trHeight w:val="502"/>
        </w:trPr>
        <w:tc>
          <w:tcPr>
            <w:tcW w:w="2340"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w:t>
            </w:r>
            <w:r w:rsidR="00E668DD">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w:t>
            </w:r>
            <w:r w:rsidR="00E668DD">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(2))/(2)</w:t>
            </w:r>
          </w:p>
        </w:tc>
      </w:tr>
      <w:tr w:rsidR="009E1ED4" w:rsidRPr="00F2683A" w:rsidTr="001A5984">
        <w:trPr>
          <w:trHeight w:val="521"/>
        </w:trPr>
        <w:tc>
          <w:tcPr>
            <w:tcW w:w="2340" w:type="pct"/>
            <w:shd w:val="clear" w:color="auto" w:fill="auto"/>
          </w:tcPr>
          <w:p w:rsidR="009E1ED4" w:rsidRPr="001A5984" w:rsidRDefault="009E1ED4" w:rsidP="009E1ED4">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rsidR="009E1ED4" w:rsidRPr="001A5984" w:rsidRDefault="009E1ED4" w:rsidP="009E1ED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102.254.834.329</w:t>
            </w:r>
          </w:p>
        </w:tc>
        <w:tc>
          <w:tcPr>
            <w:tcW w:w="872" w:type="pct"/>
            <w:shd w:val="clear" w:color="auto" w:fill="auto"/>
          </w:tcPr>
          <w:p w:rsidR="009E1ED4" w:rsidRPr="001A5984" w:rsidRDefault="009E1ED4" w:rsidP="009E1ED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101.063.414.836</w:t>
            </w:r>
          </w:p>
        </w:tc>
        <w:tc>
          <w:tcPr>
            <w:tcW w:w="871" w:type="pct"/>
            <w:shd w:val="clear" w:color="auto" w:fill="auto"/>
          </w:tcPr>
          <w:p w:rsidR="009E1ED4" w:rsidRPr="001A5984" w:rsidRDefault="00727607" w:rsidP="009E1ED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r w:rsidR="005B079D">
              <w:rPr>
                <w:rFonts w:ascii="Times New Roman" w:eastAsia="Times New Roman" w:hAnsi="Times New Roman"/>
                <w:sz w:val="24"/>
                <w:szCs w:val="24"/>
                <w:lang w:val="nl-NL"/>
              </w:rPr>
              <w:t>,</w:t>
            </w:r>
            <w:r>
              <w:rPr>
                <w:rFonts w:ascii="Times New Roman" w:eastAsia="Times New Roman" w:hAnsi="Times New Roman"/>
                <w:sz w:val="24"/>
                <w:szCs w:val="24"/>
                <w:lang w:val="nl-NL"/>
              </w:rPr>
              <w:t>18</w:t>
            </w:r>
            <w:r w:rsidR="009E1ED4" w:rsidRPr="001A5984">
              <w:rPr>
                <w:rFonts w:ascii="Times New Roman" w:eastAsia="Times New Roman" w:hAnsi="Times New Roman"/>
                <w:sz w:val="24"/>
                <w:szCs w:val="24"/>
                <w:lang w:val="nl-NL"/>
              </w:rPr>
              <w:t>%</w:t>
            </w:r>
          </w:p>
        </w:tc>
      </w:tr>
      <w:tr w:rsidR="009E1ED4" w:rsidRPr="00F2683A" w:rsidTr="001A5984">
        <w:trPr>
          <w:trHeight w:val="508"/>
        </w:trPr>
        <w:tc>
          <w:tcPr>
            <w:tcW w:w="2340" w:type="pct"/>
            <w:shd w:val="clear" w:color="auto" w:fill="auto"/>
          </w:tcPr>
          <w:p w:rsidR="009E1ED4" w:rsidRPr="001A5984" w:rsidRDefault="009E1ED4" w:rsidP="009E1ED4">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rsidR="009E1ED4" w:rsidRPr="001A5984" w:rsidRDefault="00B10A55" w:rsidP="009E1ED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10.16</w:t>
            </w:r>
            <w:r w:rsidR="0030198D">
              <w:rPr>
                <w:rFonts w:ascii="Times New Roman" w:eastAsia="Times New Roman" w:hAnsi="Times New Roman"/>
                <w:sz w:val="24"/>
                <w:szCs w:val="24"/>
                <w:lang w:val="nl-NL"/>
              </w:rPr>
              <w:t>3</w:t>
            </w:r>
            <w:r>
              <w:rPr>
                <w:rFonts w:ascii="Times New Roman" w:eastAsia="Times New Roman" w:hAnsi="Times New Roman"/>
                <w:sz w:val="24"/>
                <w:szCs w:val="24"/>
                <w:lang w:val="nl-NL"/>
              </w:rPr>
              <w:t>,39</w:t>
            </w:r>
          </w:p>
        </w:tc>
        <w:tc>
          <w:tcPr>
            <w:tcW w:w="872" w:type="pct"/>
            <w:shd w:val="clear" w:color="auto" w:fill="auto"/>
          </w:tcPr>
          <w:p w:rsidR="009E1ED4" w:rsidRPr="001A5984" w:rsidRDefault="009E1ED4" w:rsidP="009E1ED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10.054,97</w:t>
            </w:r>
          </w:p>
        </w:tc>
        <w:tc>
          <w:tcPr>
            <w:tcW w:w="871" w:type="pct"/>
            <w:shd w:val="clear" w:color="auto" w:fill="auto"/>
          </w:tcPr>
          <w:p w:rsidR="009E1ED4" w:rsidRPr="001A5984" w:rsidRDefault="0030198D" w:rsidP="009E1ED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r w:rsidR="005B079D">
              <w:rPr>
                <w:rFonts w:ascii="Times New Roman" w:eastAsia="Times New Roman" w:hAnsi="Times New Roman"/>
                <w:sz w:val="24"/>
                <w:szCs w:val="24"/>
                <w:lang w:val="nl-NL"/>
              </w:rPr>
              <w:t>,</w:t>
            </w:r>
            <w:r>
              <w:rPr>
                <w:rFonts w:ascii="Times New Roman" w:eastAsia="Times New Roman" w:hAnsi="Times New Roman"/>
                <w:sz w:val="24"/>
                <w:szCs w:val="24"/>
                <w:lang w:val="nl-NL"/>
              </w:rPr>
              <w:t>0</w:t>
            </w:r>
            <w:r w:rsidR="005B079D">
              <w:rPr>
                <w:rFonts w:ascii="Times New Roman" w:eastAsia="Times New Roman" w:hAnsi="Times New Roman"/>
                <w:sz w:val="24"/>
                <w:szCs w:val="24"/>
                <w:lang w:val="nl-NL"/>
              </w:rPr>
              <w:t>8</w:t>
            </w:r>
            <w:r w:rsidR="009E1ED4" w:rsidRPr="001A5984">
              <w:rPr>
                <w:rFonts w:ascii="Times New Roman" w:eastAsia="Times New Roman" w:hAnsi="Times New Roman"/>
                <w:sz w:val="24"/>
                <w:szCs w:val="24"/>
                <w:lang w:val="nl-NL"/>
              </w:rPr>
              <w:t>%</w:t>
            </w:r>
          </w:p>
        </w:tc>
      </w:tr>
    </w:tbl>
    <w:p w:rsidR="001C4468"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Pr>
          <w:rFonts w:ascii="Times New Roman" w:hAnsi="Times New Roman"/>
          <w:sz w:val="24"/>
          <w:szCs w:val="24"/>
          <w:lang w:val="nl-NL"/>
        </w:rPr>
        <w:t>T</w:t>
      </w:r>
      <w:r w:rsidR="00B84DD0" w:rsidRPr="001A5984">
        <w:rPr>
          <w:rFonts w:ascii="Times New Roman" w:hAnsi="Times New Roman"/>
          <w:sz w:val="24"/>
          <w:szCs w:val="24"/>
          <w:lang w:val="nl-NL"/>
        </w:rPr>
        <w:t xml:space="preserve">rong giai đoạn từ </w:t>
      </w:r>
      <w:r>
        <w:rPr>
          <w:rFonts w:ascii="Times New Roman" w:hAnsi="Times New Roman"/>
          <w:sz w:val="24"/>
          <w:szCs w:val="24"/>
          <w:lang w:val="nl-NL"/>
        </w:rPr>
        <w:t>30/06/2019</w:t>
      </w:r>
      <w:r w:rsidR="00B84DD0" w:rsidRPr="001A5984">
        <w:rPr>
          <w:rFonts w:ascii="Times New Roman" w:hAnsi="Times New Roman"/>
          <w:sz w:val="24"/>
          <w:szCs w:val="24"/>
          <w:lang w:val="nl-NL"/>
        </w:rPr>
        <w:t xml:space="preserve"> đến 30/0</w:t>
      </w:r>
      <w:r>
        <w:rPr>
          <w:rFonts w:ascii="Times New Roman" w:hAnsi="Times New Roman"/>
          <w:sz w:val="24"/>
          <w:szCs w:val="24"/>
          <w:lang w:val="nl-NL"/>
        </w:rPr>
        <w:t>9</w:t>
      </w:r>
      <w:r w:rsidR="00B84DD0" w:rsidRPr="001A5984">
        <w:rPr>
          <w:rFonts w:ascii="Times New Roman" w:hAnsi="Times New Roman"/>
          <w:sz w:val="24"/>
          <w:szCs w:val="24"/>
          <w:lang w:val="nl-NL"/>
        </w:rPr>
        <w:t xml:space="preserve">/2019 </w:t>
      </w:r>
      <w:r w:rsidR="00730E8A">
        <w:rPr>
          <w:rFonts w:ascii="Times New Roman" w:hAnsi="Times New Roman"/>
          <w:sz w:val="24"/>
          <w:szCs w:val="24"/>
          <w:lang w:val="nl-NL"/>
        </w:rPr>
        <w:t>g</w:t>
      </w:r>
      <w:r w:rsidR="00697B7E">
        <w:rPr>
          <w:rFonts w:ascii="Times New Roman" w:hAnsi="Times New Roman"/>
          <w:sz w:val="24"/>
          <w:szCs w:val="24"/>
          <w:lang w:val="nl-NL"/>
        </w:rPr>
        <w:t>iá trị tài sản ròng của Quỹ tăng 1,18%</w:t>
      </w:r>
      <w:r w:rsidR="00730E8A">
        <w:rPr>
          <w:rFonts w:ascii="Times New Roman" w:hAnsi="Times New Roman"/>
          <w:sz w:val="24"/>
          <w:szCs w:val="24"/>
          <w:lang w:val="nl-NL"/>
        </w:rPr>
        <w:t xml:space="preserve"> </w:t>
      </w:r>
      <w:r w:rsidR="00B84DD0" w:rsidRPr="001A5984">
        <w:rPr>
          <w:rFonts w:ascii="Times New Roman" w:hAnsi="Times New Roman"/>
          <w:sz w:val="24"/>
          <w:szCs w:val="24"/>
          <w:lang w:val="nl-NL"/>
        </w:rPr>
        <w:t>chủ yếu do lợi nh</w:t>
      </w:r>
      <w:r w:rsidR="008E3939" w:rsidRPr="001A5984">
        <w:rPr>
          <w:rFonts w:ascii="Times New Roman" w:hAnsi="Times New Roman"/>
          <w:sz w:val="24"/>
          <w:szCs w:val="24"/>
          <w:lang w:val="nl-NL"/>
        </w:rPr>
        <w:t>u</w:t>
      </w:r>
      <w:r w:rsidR="00B84DD0" w:rsidRPr="001A5984">
        <w:rPr>
          <w:rFonts w:ascii="Times New Roman" w:hAnsi="Times New Roman"/>
          <w:sz w:val="24"/>
          <w:szCs w:val="24"/>
          <w:lang w:val="nl-NL"/>
        </w:rPr>
        <w:t>ận từ kết quả đầu tư mang lại</w:t>
      </w:r>
      <w:r w:rsidR="008E3939" w:rsidRPr="001A5984">
        <w:rPr>
          <w:rFonts w:ascii="Times New Roman" w:hAnsi="Times New Roman"/>
          <w:sz w:val="24"/>
          <w:szCs w:val="24"/>
          <w:lang w:val="nl-NL"/>
        </w:rPr>
        <w:t>.</w:t>
      </w:r>
    </w:p>
    <w:p w:rsidR="000C4080" w:rsidRDefault="000C4080" w:rsidP="00B3750F">
      <w:pPr>
        <w:shd w:val="clear" w:color="auto" w:fill="FFFFFF"/>
        <w:tabs>
          <w:tab w:val="left" w:pos="540"/>
        </w:tabs>
        <w:spacing w:before="120" w:after="0" w:line="360" w:lineRule="auto"/>
        <w:jc w:val="both"/>
        <w:rPr>
          <w:rFonts w:ascii="Times New Roman" w:hAnsi="Times New Roman"/>
          <w:sz w:val="24"/>
          <w:szCs w:val="24"/>
          <w:lang w:val="nl-NL"/>
        </w:rPr>
      </w:pPr>
    </w:p>
    <w:p w:rsidR="000C4080" w:rsidRDefault="000C4080" w:rsidP="00B3750F">
      <w:pPr>
        <w:shd w:val="clear" w:color="auto" w:fill="FFFFFF"/>
        <w:tabs>
          <w:tab w:val="left" w:pos="540"/>
        </w:tabs>
        <w:spacing w:before="120" w:after="0" w:line="360" w:lineRule="auto"/>
        <w:jc w:val="both"/>
        <w:rPr>
          <w:rFonts w:ascii="Times New Roman" w:hAnsi="Times New Roman"/>
          <w:sz w:val="24"/>
          <w:szCs w:val="24"/>
          <w:lang w:val="nl-NL"/>
        </w:rPr>
      </w:pPr>
    </w:p>
    <w:p w:rsidR="000C4080" w:rsidRDefault="000C4080" w:rsidP="00B3750F">
      <w:pPr>
        <w:shd w:val="clear" w:color="auto" w:fill="FFFFFF"/>
        <w:tabs>
          <w:tab w:val="left" w:pos="540"/>
        </w:tabs>
        <w:spacing w:before="120" w:after="0" w:line="360" w:lineRule="auto"/>
        <w:jc w:val="both"/>
        <w:rPr>
          <w:rFonts w:ascii="Times New Roman" w:hAnsi="Times New Roman"/>
          <w:sz w:val="24"/>
          <w:szCs w:val="24"/>
          <w:lang w:val="nl-NL"/>
        </w:rPr>
      </w:pP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A</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2</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133</w:t>
            </w:r>
          </w:p>
        </w:tc>
        <w:tc>
          <w:tcPr>
            <w:tcW w:w="1193"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60.995,8</w:t>
            </w:r>
            <w:r w:rsidR="00687A29">
              <w:rPr>
                <w:rFonts w:ascii="Times New Roman" w:eastAsia="Times New Roman" w:hAnsi="Times New Roman"/>
                <w:sz w:val="24"/>
                <w:szCs w:val="24"/>
                <w:lang w:val="nl-NL"/>
              </w:rPr>
              <w:t>4</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5F58BD">
              <w:rPr>
                <w:rFonts w:ascii="Times New Roman" w:eastAsia="Times New Roman" w:hAnsi="Times New Roman"/>
                <w:sz w:val="24"/>
                <w:szCs w:val="24"/>
                <w:lang w:val="nl-NL"/>
              </w:rPr>
              <w:t>61</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p>
        </w:tc>
        <w:tc>
          <w:tcPr>
            <w:tcW w:w="1193"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40.609,72</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5F58BD">
              <w:rPr>
                <w:rFonts w:ascii="Times New Roman" w:eastAsia="Times New Roman" w:hAnsi="Times New Roman"/>
                <w:sz w:val="24"/>
                <w:szCs w:val="24"/>
                <w:lang w:val="nl-NL"/>
              </w:rPr>
              <w:t>40</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5F58BD"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98,99</w:t>
            </w:r>
            <w:r w:rsidR="007D6CE8"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sidR="003D65DF">
              <w:rPr>
                <w:rFonts w:ascii="Times New Roman" w:eastAsia="Times New Roman" w:hAnsi="Times New Roman"/>
                <w:b/>
                <w:sz w:val="24"/>
                <w:szCs w:val="24"/>
                <w:lang w:val="nl-NL"/>
              </w:rPr>
              <w:t>4</w:t>
            </w:r>
            <w:r w:rsidR="00CC6890">
              <w:rPr>
                <w:rFonts w:ascii="Times New Roman" w:eastAsia="Times New Roman" w:hAnsi="Times New Roman"/>
                <w:b/>
                <w:sz w:val="24"/>
                <w:szCs w:val="24"/>
                <w:lang w:val="nl-NL"/>
              </w:rPr>
              <w:t>0</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w:t>
            </w:r>
            <w:r w:rsidR="00CC6890">
              <w:rPr>
                <w:rFonts w:ascii="Times New Roman" w:eastAsia="Times New Roman" w:hAnsi="Times New Roman"/>
                <w:b/>
                <w:sz w:val="24"/>
                <w:szCs w:val="24"/>
                <w:lang w:val="nl-NL"/>
              </w:rPr>
              <w:t>61</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w:t>
            </w:r>
            <w:r w:rsidR="00CC6890">
              <w:rPr>
                <w:rFonts w:ascii="Times New Roman" w:eastAsia="Times New Roman" w:hAnsi="Times New Roman"/>
                <w:b/>
                <w:sz w:val="24"/>
                <w:szCs w:val="24"/>
                <w:lang w:val="nl-NL"/>
              </w:rPr>
              <w:t>95</w:t>
            </w:r>
            <w:r w:rsidR="00B85125" w:rsidRPr="001A5984">
              <w:rPr>
                <w:rFonts w:ascii="Times New Roman" w:eastAsia="Times New Roman" w:hAnsi="Times New Roman"/>
                <w:b/>
                <w:sz w:val="24"/>
                <w:szCs w:val="24"/>
                <w:lang w:val="nl-NL"/>
              </w:rPr>
              <w:t>,</w:t>
            </w:r>
            <w:r w:rsidR="00CC6890">
              <w:rPr>
                <w:rFonts w:ascii="Times New Roman" w:eastAsia="Times New Roman" w:hAnsi="Times New Roman"/>
                <w:b/>
                <w:sz w:val="24"/>
                <w:szCs w:val="24"/>
                <w:lang w:val="nl-NL"/>
              </w:rPr>
              <w:t>40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1C4468" w:rsidRPr="001A59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Pr>
          <w:rFonts w:ascii="Times New Roman" w:hAnsi="Times New Roman"/>
          <w:sz w:val="24"/>
          <w:szCs w:val="24"/>
          <w:lang w:val="nl-NL"/>
        </w:rPr>
        <w:t>ấp</w:t>
      </w:r>
      <w:r w:rsidRPr="001A5984">
        <w:rPr>
          <w:rFonts w:ascii="Times New Roman" w:hAnsi="Times New Roman"/>
          <w:sz w:val="24"/>
          <w:szCs w:val="24"/>
          <w:lang w:val="nl-NL"/>
        </w:rPr>
        <w:t xml:space="preserve"> dịch vụ cho Quỹ.</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rsidR="00530A42" w:rsidRDefault="00530A42" w:rsidP="00530A42">
      <w:pPr>
        <w:shd w:val="clear" w:color="auto" w:fill="FFFFFF"/>
        <w:spacing w:before="120"/>
        <w:jc w:val="both"/>
        <w:rPr>
          <w:rFonts w:ascii="Times New Roman" w:eastAsiaTheme="minorHAnsi" w:hAnsi="Times New Roman"/>
          <w:sz w:val="24"/>
          <w:szCs w:val="24"/>
          <w:lang w:val="nl-NL"/>
        </w:rPr>
      </w:pPr>
      <w:r>
        <w:rPr>
          <w:rFonts w:ascii="Times New Roman" w:hAnsi="Times New Roman"/>
          <w:sz w:val="24"/>
          <w:szCs w:val="24"/>
          <w:lang w:val="nl-NL"/>
        </w:rPr>
        <w:t>Xu hướng nới lỏng chính sách tiền tệ được dự báo sẽ tiếp tục trong tương lai gần để thúc đẩy nền kinh tế. Do vậy, khả năng lợi suất Trái phiếu chính phủ và lãi suất liên ngân hàng sẽ tiếp tục giảm và duy trì mức thấp như hiện tại. Dòng vốn đầu tư FPI được dự báo sẽ tiếp tục gia tăng. Với nhiều thông tin tích cực từ các chính sách vĩ mô, VNIndex được dự báo sẽ vượt 1.000 điểm trong năm nay.</w:t>
      </w:r>
    </w:p>
    <w:p w:rsidR="004B07B4" w:rsidRDefault="00530A42" w:rsidP="00530A42">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sz w:val="24"/>
          <w:szCs w:val="24"/>
          <w:lang w:val="nl-NL"/>
        </w:rPr>
        <w:t>Tuy vậy, tương tự như nhiều quốc gia trong khu vực, Việt Nam vẫn sẽ chịu rủi ro địa chính trị đặc biệt là chiến tranh thương mại Mỹ - Trung. Biến động của thị trường trong giai đoạn cuối năm 2019 vẫn được dự báo duy trì ở mức cao.</w:t>
      </w:r>
    </w:p>
    <w:p w:rsidR="003E0DEE" w:rsidRDefault="003E0DEE" w:rsidP="004B07B4">
      <w:pPr>
        <w:shd w:val="clear" w:color="auto" w:fill="FFFFFF"/>
        <w:tabs>
          <w:tab w:val="left" w:pos="540"/>
        </w:tabs>
        <w:spacing w:before="120" w:after="0" w:line="240" w:lineRule="auto"/>
        <w:jc w:val="both"/>
        <w:rPr>
          <w:rFonts w:ascii="Times New Roman" w:hAnsi="Times New Roman"/>
          <w:b/>
          <w:sz w:val="24"/>
          <w:szCs w:val="24"/>
          <w:lang w:val="nl-NL"/>
        </w:rPr>
      </w:pPr>
    </w:p>
    <w:p w:rsidR="003E0DEE" w:rsidRDefault="003E0DEE" w:rsidP="004B07B4">
      <w:pPr>
        <w:shd w:val="clear" w:color="auto" w:fill="FFFFFF"/>
        <w:tabs>
          <w:tab w:val="left" w:pos="540"/>
        </w:tabs>
        <w:spacing w:before="120" w:after="0" w:line="240" w:lineRule="auto"/>
        <w:jc w:val="both"/>
        <w:rPr>
          <w:rFonts w:ascii="Times New Roman" w:hAnsi="Times New Roman"/>
          <w:b/>
          <w:sz w:val="24"/>
          <w:szCs w:val="24"/>
          <w:lang w:val="nl-NL"/>
        </w:rPr>
      </w:pPr>
    </w:p>
    <w:p w:rsidR="00530A42" w:rsidRDefault="00530A42" w:rsidP="004B07B4">
      <w:pPr>
        <w:shd w:val="clear" w:color="auto" w:fill="FFFFFF"/>
        <w:tabs>
          <w:tab w:val="left" w:pos="540"/>
        </w:tabs>
        <w:spacing w:before="120" w:after="0" w:line="240" w:lineRule="auto"/>
        <w:jc w:val="both"/>
        <w:rPr>
          <w:rFonts w:ascii="Times New Roman" w:hAnsi="Times New Roman"/>
          <w:b/>
          <w:sz w:val="24"/>
          <w:szCs w:val="24"/>
          <w:lang w:val="nl-NL"/>
        </w:rPr>
      </w:pPr>
    </w:p>
    <w:p w:rsidR="00530A42" w:rsidRDefault="00530A42" w:rsidP="004B07B4">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3E0DEE">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lastRenderedPageBreak/>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r w:rsidR="003E0DEE">
        <w:rPr>
          <w:rFonts w:ascii="Times New Roman" w:hAnsi="Times New Roman"/>
          <w:b/>
          <w:sz w:val="24"/>
          <w:szCs w:val="24"/>
          <w:lang w:val="nl-NL"/>
        </w:rPr>
        <w:tab/>
      </w:r>
    </w:p>
    <w:p w:rsidR="00787301" w:rsidRPr="003E0DEE"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444BF6"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t>Nhân sự Ban điều hành công ty Quản lý quỹ gồm có:</w:t>
      </w:r>
    </w:p>
    <w:p w:rsidR="003E0DEE" w:rsidRDefault="003E0DEE" w:rsidP="00B3750F">
      <w:pPr>
        <w:shd w:val="clear" w:color="auto" w:fill="FFFFFF"/>
        <w:tabs>
          <w:tab w:val="left" w:pos="540"/>
        </w:tabs>
        <w:spacing w:before="120" w:after="0" w:line="240" w:lineRule="auto"/>
        <w:jc w:val="both"/>
        <w:rPr>
          <w:rFonts w:ascii="Times New Roman" w:hAnsi="Times New Roman"/>
          <w:sz w:val="24"/>
          <w:szCs w:val="24"/>
          <w:highlight w:val="yellow"/>
          <w:lang w:val="nl-NL"/>
        </w:rPr>
      </w:pPr>
    </w:p>
    <w:tbl>
      <w:tblPr>
        <w:tblW w:w="9930" w:type="dxa"/>
        <w:tblInd w:w="108" w:type="dxa"/>
        <w:tblLook w:val="04A0" w:firstRow="1" w:lastRow="0" w:firstColumn="1" w:lastColumn="0" w:noHBand="0" w:noVBand="1"/>
      </w:tblPr>
      <w:tblGrid>
        <w:gridCol w:w="1980"/>
        <w:gridCol w:w="1440"/>
        <w:gridCol w:w="1080"/>
        <w:gridCol w:w="5430"/>
      </w:tblGrid>
      <w:tr w:rsidR="005C4036" w:rsidRPr="004B07B4" w:rsidTr="003E0DEE">
        <w:trPr>
          <w:trHeight w:val="39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43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321C3D" w:rsidTr="003E0DEE">
        <w:trPr>
          <w:trHeight w:val="217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43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both"/>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Pr="004B07B4">
              <w:rPr>
                <w:rFonts w:ascii="Times New Roman" w:hAnsi="Times New Roman"/>
                <w:sz w:val="24"/>
                <w:szCs w:val="24"/>
                <w:lang w:val="nl-NL"/>
              </w:rPr>
              <w:b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321C3D" w:rsidTr="003E0DEE">
        <w:trPr>
          <w:trHeight w:val="267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430"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321C3D" w:rsidTr="003E0DEE">
        <w:trPr>
          <w:trHeight w:val="270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Lê Thị Hồng Thái</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430"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2007</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2011: Quản lý thị trường Việt Nam- Bloomberg Singapore</w:t>
            </w:r>
          </w:p>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2011</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2012: Chuyên viên đầu tư -Quỹ Pureheart Singapore</w:t>
            </w:r>
          </w:p>
          <w:p w:rsidR="00BD0161"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2014: Trưởng phòng đầu tư - Công ty TNHH Bảo hiểm Nhân thọ Chubb Việt nam</w:t>
            </w:r>
          </w:p>
          <w:p w:rsidR="00202172" w:rsidRPr="004B07B4" w:rsidRDefault="00202172" w:rsidP="00CE2F8B">
            <w:pPr>
              <w:spacing w:after="0"/>
              <w:jc w:val="both"/>
              <w:rPr>
                <w:rFonts w:ascii="Times New Roman" w:hAnsi="Times New Roman"/>
                <w:sz w:val="24"/>
                <w:szCs w:val="24"/>
                <w:lang w:val="nl-NL"/>
              </w:rPr>
            </w:pPr>
            <w:r w:rsidRPr="004B07B4">
              <w:rPr>
                <w:rFonts w:ascii="Times New Roman" w:hAnsi="Times New Roman"/>
                <w:sz w:val="24"/>
                <w:szCs w:val="24"/>
                <w:lang w:val="nl-NL"/>
              </w:rPr>
              <w:t>Từ 2014</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 xml:space="preserve">nay: Giám đốc - Công ty TNHH MTV Quản </w:t>
            </w:r>
            <w:r w:rsidR="00CE2F8B">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202172" w:rsidRDefault="00202172" w:rsidP="00B3750F">
      <w:pPr>
        <w:tabs>
          <w:tab w:val="left" w:pos="720"/>
        </w:tabs>
        <w:jc w:val="both"/>
        <w:rPr>
          <w:rFonts w:ascii="Times New Roman" w:hAnsi="Times New Roman"/>
          <w:sz w:val="24"/>
          <w:szCs w:val="24"/>
          <w:highlight w:val="yellow"/>
          <w:lang w:val="nl-NL"/>
        </w:rPr>
      </w:pPr>
    </w:p>
    <w:p w:rsidR="00444BF6" w:rsidRDefault="00444BF6" w:rsidP="00B3750F">
      <w:pPr>
        <w:tabs>
          <w:tab w:val="left" w:pos="720"/>
        </w:tabs>
        <w:jc w:val="both"/>
        <w:rPr>
          <w:rFonts w:ascii="Times New Roman" w:hAnsi="Times New Roman"/>
          <w:b/>
          <w:sz w:val="24"/>
          <w:szCs w:val="24"/>
          <w:lang w:val="nl-NL"/>
        </w:rPr>
      </w:pPr>
    </w:p>
    <w:p w:rsidR="003E0DEE" w:rsidRDefault="003E0DEE" w:rsidP="00B3750F">
      <w:pPr>
        <w:tabs>
          <w:tab w:val="left" w:pos="720"/>
        </w:tabs>
        <w:jc w:val="both"/>
        <w:rPr>
          <w:rFonts w:ascii="Times New Roman" w:hAnsi="Times New Roman"/>
          <w:b/>
          <w:sz w:val="24"/>
          <w:szCs w:val="24"/>
          <w:lang w:val="nl-NL"/>
        </w:rPr>
      </w:pPr>
    </w:p>
    <w:p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9878" w:type="dxa"/>
        <w:tblInd w:w="108" w:type="dxa"/>
        <w:tblLook w:val="04A0" w:firstRow="1" w:lastRow="0" w:firstColumn="1" w:lastColumn="0" w:noHBand="0" w:noVBand="1"/>
      </w:tblPr>
      <w:tblGrid>
        <w:gridCol w:w="2160"/>
        <w:gridCol w:w="1350"/>
        <w:gridCol w:w="1170"/>
        <w:gridCol w:w="5198"/>
      </w:tblGrid>
      <w:tr w:rsidR="00202172" w:rsidRPr="00F2683A" w:rsidTr="003E0DEE">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0"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321C3D" w:rsidTr="003E0DEE">
        <w:trPr>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CE2F8B">
            <w:pPr>
              <w:rPr>
                <w:rFonts w:ascii="Times New Roman" w:hAnsi="Times New Roman"/>
                <w:sz w:val="24"/>
                <w:szCs w:val="24"/>
                <w:lang w:val="nl-NL"/>
              </w:rPr>
            </w:pPr>
            <w:r w:rsidRPr="00444BF6">
              <w:rPr>
                <w:rFonts w:ascii="Times New Roman" w:hAnsi="Times New Roman"/>
                <w:sz w:val="24"/>
                <w:szCs w:val="24"/>
                <w:lang w:val="nl-NL"/>
              </w:rP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Trợ lý nghiên cứu -Công ty Quản lý quỹ Tower Mỹ</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2003: Chuyên viên - Ngân hàng Downey Savings</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Mỹ</w:t>
            </w:r>
            <w:r w:rsidRPr="00444BF6">
              <w:rPr>
                <w:rFonts w:ascii="Times New Roman" w:hAnsi="Times New Roman"/>
                <w:sz w:val="24"/>
                <w:szCs w:val="24"/>
                <w:lang w:val="nl-NL"/>
              </w:rPr>
              <w:br/>
              <w:t>Từ 2003</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2005: Chuyên viên đầu tư - Công ty </w:t>
            </w:r>
            <w:r w:rsidR="00CE2F8B">
              <w:rPr>
                <w:rFonts w:ascii="Times New Roman" w:hAnsi="Times New Roman"/>
                <w:sz w:val="24"/>
                <w:szCs w:val="24"/>
                <w:lang w:val="nl-NL"/>
              </w:rPr>
              <w:t>Quản lý Quỹ</w:t>
            </w:r>
            <w:r w:rsidR="00D75CED" w:rsidRPr="00444BF6">
              <w:rPr>
                <w:rFonts w:ascii="Times New Roman" w:hAnsi="Times New Roman"/>
                <w:sz w:val="24"/>
                <w:szCs w:val="24"/>
                <w:lang w:val="nl-NL"/>
              </w:rPr>
              <w:t xml:space="preserve"> V</w:t>
            </w:r>
            <w:r w:rsidRPr="00444BF6">
              <w:rPr>
                <w:rFonts w:ascii="Times New Roman" w:hAnsi="Times New Roman"/>
                <w:sz w:val="24"/>
                <w:szCs w:val="24"/>
                <w:lang w:val="nl-NL"/>
              </w:rPr>
              <w:t>inacapital Việt Nam</w:t>
            </w:r>
            <w:r w:rsidRPr="00444BF6">
              <w:rPr>
                <w:rFonts w:ascii="Times New Roman" w:hAnsi="Times New Roman"/>
                <w:sz w:val="24"/>
                <w:szCs w:val="24"/>
                <w:lang w:val="nl-NL"/>
              </w:rPr>
              <w:br/>
              <w:t>Từ 2005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2006: Giám đốc Quan hệ KH - Ngân hàng HSBC Việ</w:t>
            </w:r>
            <w:r w:rsidR="00D75CED" w:rsidRPr="00444BF6">
              <w:rPr>
                <w:rFonts w:ascii="Times New Roman" w:hAnsi="Times New Roman"/>
                <w:sz w:val="24"/>
                <w:szCs w:val="24"/>
                <w:lang w:val="nl-NL"/>
              </w:rPr>
              <w:t xml:space="preserve">t </w:t>
            </w:r>
            <w:r w:rsidRPr="00444BF6">
              <w:rPr>
                <w:rFonts w:ascii="Times New Roman" w:hAnsi="Times New Roman"/>
                <w:sz w:val="24"/>
                <w:szCs w:val="24"/>
                <w:lang w:val="nl-NL"/>
              </w:rPr>
              <w:t>Nam</w:t>
            </w:r>
            <w:r w:rsidRPr="00444BF6">
              <w:rPr>
                <w:rFonts w:ascii="Times New Roman" w:hAnsi="Times New Roman"/>
                <w:sz w:val="24"/>
                <w:szCs w:val="24"/>
                <w:lang w:val="nl-NL"/>
              </w:rPr>
              <w:br/>
              <w:t>Từ 2006</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2007: Giám đốc đầu tư - Công ty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2011: Giám đốc phân tích -</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F14D5B" w:rsidRPr="00444BF6">
              <w:rPr>
                <w:rFonts w:ascii="Times New Roman" w:hAnsi="Times New Roman"/>
                <w:sz w:val="24"/>
                <w:szCs w:val="24"/>
                <w:lang w:val="nl-NL"/>
              </w:rPr>
              <w:t>Chứng khoán</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2011</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2015: Giám đốc điều hành khối Tư vấn tài chính D</w:t>
            </w:r>
            <w:r w:rsidR="00CE2F8B">
              <w:rPr>
                <w:rFonts w:ascii="Times New Roman" w:hAnsi="Times New Roman"/>
                <w:sz w:val="24"/>
                <w:szCs w:val="24"/>
                <w:lang w:val="nl-NL"/>
              </w:rPr>
              <w:t>oanh nghiệp</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 Công ty </w:t>
            </w:r>
            <w:r w:rsidR="00CE2F8B">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Chứng khoán ACB</w:t>
            </w:r>
          </w:p>
        </w:tc>
      </w:tr>
      <w:tr w:rsidR="00202172" w:rsidRPr="00321C3D" w:rsidTr="003E0DEE">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spacing w:after="0"/>
              <w:rPr>
                <w:rFonts w:ascii="Times New Roman" w:hAnsi="Times New Roman"/>
                <w:sz w:val="24"/>
                <w:szCs w:val="24"/>
                <w:lang w:val="nl-NL"/>
              </w:rPr>
            </w:pPr>
            <w:r w:rsidRPr="00444BF6">
              <w:rPr>
                <w:rFonts w:ascii="Times New Roman" w:hAnsi="Times New Roman"/>
                <w:sz w:val="24"/>
                <w:szCs w:val="24"/>
                <w:lang w:val="nl-NL"/>
              </w:rPr>
              <w:t>Từ 1995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1999: Kiểm toán viên - Công ty Kiểm toán KPMG</w:t>
            </w:r>
            <w:r w:rsidRPr="00444BF6">
              <w:rPr>
                <w:rFonts w:ascii="Times New Roman" w:hAnsi="Times New Roman"/>
                <w:sz w:val="24"/>
                <w:szCs w:val="24"/>
                <w:lang w:val="nl-NL"/>
              </w:rPr>
              <w:br/>
              <w:t>Từ 1999</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2000: Trưởng phòng KTNB - Công ty Victoria Việt Nam Group</w:t>
            </w:r>
            <w:r w:rsidRPr="00444BF6">
              <w:rPr>
                <w:rFonts w:ascii="Times New Roman" w:hAnsi="Times New Roman"/>
                <w:sz w:val="24"/>
                <w:szCs w:val="24"/>
                <w:lang w:val="nl-NL"/>
              </w:rPr>
              <w:b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Giám đốc tài chính tập đoàn - Công ty Victoria Việt Nam Group</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2004: Giám đốc tài chính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Philips Electronics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br/>
              <w:t>Từ</w:t>
            </w:r>
            <w:r w:rsidR="005C4036" w:rsidRPr="00444BF6">
              <w:rPr>
                <w:rFonts w:ascii="Times New Roman" w:hAnsi="Times New Roman"/>
                <w:sz w:val="24"/>
                <w:szCs w:val="24"/>
                <w:lang w:val="nl-NL"/>
              </w:rPr>
              <w:t xml:space="preserve"> 2004</w:t>
            </w:r>
            <w:r w:rsidR="00B85125" w:rsidRPr="00444BF6">
              <w:rPr>
                <w:rFonts w:ascii="Times New Roman" w:hAnsi="Times New Roman"/>
                <w:sz w:val="24"/>
                <w:szCs w:val="24"/>
                <w:lang w:val="nl-NL"/>
              </w:rPr>
              <w:t xml:space="preserve"> </w:t>
            </w:r>
            <w:r w:rsidR="005C4036" w:rsidRPr="00444BF6">
              <w:rPr>
                <w:rFonts w:ascii="Times New Roman" w:hAnsi="Times New Roman"/>
                <w:sz w:val="24"/>
                <w:szCs w:val="24"/>
                <w:lang w:val="nl-NL"/>
              </w:rPr>
              <w:t xml:space="preserve">- 2015: </w:t>
            </w:r>
            <w:r w:rsidRPr="00444BF6">
              <w:rPr>
                <w:rFonts w:ascii="Times New Roman" w:hAnsi="Times New Roman"/>
                <w:sz w:val="24"/>
                <w:szCs w:val="24"/>
                <w:lang w:val="nl-NL"/>
              </w:rPr>
              <w:t>Giám đốc tài chính</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t xml:space="preserve"> </w:t>
            </w:r>
          </w:p>
          <w:p w:rsidR="00497DBF" w:rsidRPr="00444BF6" w:rsidRDefault="00202172" w:rsidP="00497DBF">
            <w:pPr>
              <w:spacing w:after="0"/>
              <w:rPr>
                <w:rFonts w:ascii="Times New Roman" w:hAnsi="Times New Roman"/>
                <w:sz w:val="24"/>
                <w:szCs w:val="24"/>
                <w:lang w:val="nl-NL"/>
              </w:rPr>
            </w:pPr>
            <w:r w:rsidRPr="00444BF6">
              <w:rPr>
                <w:rFonts w:ascii="Times New Roman" w:hAnsi="Times New Roman"/>
                <w:sz w:val="24"/>
                <w:szCs w:val="24"/>
                <w:lang w:val="nl-NL"/>
              </w:rP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- 2018</w:t>
            </w:r>
            <w:r w:rsidR="005C4036" w:rsidRPr="00444BF6">
              <w:rPr>
                <w:rFonts w:ascii="Times New Roman" w:hAnsi="Times New Roman"/>
                <w:sz w:val="24"/>
                <w:szCs w:val="24"/>
                <w:lang w:val="nl-NL"/>
              </w:rPr>
              <w:t xml:space="preserve">: </w:t>
            </w:r>
            <w:r w:rsidRPr="00444BF6">
              <w:rPr>
                <w:rFonts w:ascii="Times New Roman" w:hAnsi="Times New Roman"/>
                <w:sz w:val="24"/>
                <w:szCs w:val="24"/>
                <w:lang w:val="nl-NL"/>
              </w:rPr>
              <w:t>Giám đốc điều hành hoạt động/Giám đốc tài chính</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Pr="00444BF6">
              <w:rPr>
                <w:rFonts w:ascii="Times New Roman" w:hAnsi="Times New Roman"/>
                <w:sz w:val="24"/>
                <w:szCs w:val="24"/>
                <w:lang w:val="nl-NL"/>
              </w:rPr>
              <w:br/>
              <w:t>Từ 6/2018</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p>
        </w:tc>
      </w:tr>
      <w:tr w:rsidR="00202172" w:rsidRPr="00321C3D" w:rsidTr="003E0DEE">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luật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bookmarkEnd w:id="0"/>
    </w:tbl>
    <w:p w:rsidR="00C23979" w:rsidRPr="00F2683A" w:rsidRDefault="00C23979" w:rsidP="00B3750F">
      <w:pPr>
        <w:jc w:val="both"/>
        <w:rPr>
          <w:rFonts w:ascii="Times New Roman" w:hAnsi="Times New Roman"/>
          <w:sz w:val="24"/>
          <w:szCs w:val="24"/>
          <w:highlight w:val="yellow"/>
          <w:lang w:val="nl-NL"/>
        </w:rPr>
      </w:pPr>
    </w:p>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967" w:type="dxa"/>
        <w:tblInd w:w="108" w:type="dxa"/>
        <w:tblLook w:val="04A0" w:firstRow="1" w:lastRow="0" w:firstColumn="1" w:lastColumn="0" w:noHBand="0" w:noVBand="1"/>
      </w:tblPr>
      <w:tblGrid>
        <w:gridCol w:w="2250"/>
        <w:gridCol w:w="1170"/>
        <w:gridCol w:w="1170"/>
        <w:gridCol w:w="5377"/>
      </w:tblGrid>
      <w:tr w:rsidR="00202172" w:rsidRPr="00F2683A" w:rsidTr="00BD2872">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1"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7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321C3D" w:rsidTr="00BD2872">
        <w:trPr>
          <w:trHeight w:val="2351"/>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Phạm Minh Thắng</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CFA</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2011: Chuyên viên phân tích đầu tư -VPĐD Công ty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Việt Nam</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2012: Chuyên viên tài chính -Công ty TNHH Bảo hiểm nhân thọ Prudential</w:t>
            </w:r>
            <w:r w:rsidRPr="00444BF6">
              <w:rPr>
                <w:rFonts w:ascii="Times New Roman" w:hAnsi="Times New Roman"/>
                <w:sz w:val="24"/>
                <w:szCs w:val="24"/>
                <w:lang w:val="nl-NL"/>
              </w:rPr>
              <w:br/>
              <w:t>Từ 2012</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2013: Chuyên viên Quản lý rủi ro</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Pr="00444BF6">
              <w:rPr>
                <w:rFonts w:ascii="Times New Roman" w:hAnsi="Times New Roman"/>
                <w:sz w:val="24"/>
                <w:szCs w:val="24"/>
                <w:lang w:val="nl-NL"/>
              </w:rPr>
              <w:br/>
              <w:t>Từ 2013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nay: Phó phòng đầu tư - Công ty TNHH MTV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Chubb Life</w:t>
            </w:r>
          </w:p>
        </w:tc>
      </w:tr>
      <w:tr w:rsidR="00202172" w:rsidRPr="00321C3D" w:rsidTr="00BD2872">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Bảo hiểm Nhân thọ Chubb Việt nam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nay: </w:t>
            </w:r>
            <w:r w:rsidR="006C65A3">
              <w:rPr>
                <w:rFonts w:ascii="Times New Roman" w:hAnsi="Times New Roman"/>
                <w:sz w:val="24"/>
                <w:szCs w:val="24"/>
                <w:lang w:val="nl-NL"/>
              </w:rPr>
              <w:t>Giám sát cấp II</w:t>
            </w:r>
            <w:r w:rsidRPr="00444BF6">
              <w:rPr>
                <w:rFonts w:ascii="Times New Roman" w:hAnsi="Times New Roman"/>
                <w:sz w:val="24"/>
                <w:szCs w:val="24"/>
                <w:lang w:val="nl-NL"/>
              </w:rPr>
              <w:t xml:space="preserve">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MTV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Chubb Life</w:t>
            </w:r>
          </w:p>
        </w:tc>
      </w:tr>
      <w:bookmarkEnd w:id="1"/>
    </w:tbl>
    <w:p w:rsidR="001C4468" w:rsidRPr="00F2683A" w:rsidRDefault="001C4468" w:rsidP="00C30443">
      <w:pPr>
        <w:shd w:val="clear" w:color="auto" w:fill="FFFFFF"/>
        <w:tabs>
          <w:tab w:val="left" w:pos="540"/>
        </w:tabs>
        <w:spacing w:before="120" w:after="0" w:line="240" w:lineRule="auto"/>
        <w:rPr>
          <w:rFonts w:ascii="Times New Roman" w:hAnsi="Times New Roman"/>
          <w:sz w:val="24"/>
          <w:szCs w:val="24"/>
          <w:lang w:val="nl-NL"/>
        </w:rPr>
      </w:pPr>
    </w:p>
    <w:tbl>
      <w:tblPr>
        <w:tblStyle w:val="TableGrid"/>
        <w:tblW w:w="0" w:type="auto"/>
        <w:tblLook w:val="04A0" w:firstRow="1" w:lastRow="0" w:firstColumn="1" w:lastColumn="0" w:noHBand="0" w:noVBand="1"/>
      </w:tblPr>
      <w:tblGrid>
        <w:gridCol w:w="5027"/>
        <w:gridCol w:w="5027"/>
      </w:tblGrid>
      <w:tr w:rsidR="00150086" w:rsidRPr="00321C3D" w:rsidTr="00E15901">
        <w:trPr>
          <w:trHeight w:val="1700"/>
        </w:trPr>
        <w:tc>
          <w:tcPr>
            <w:tcW w:w="5027" w:type="dxa"/>
            <w:tcBorders>
              <w:top w:val="nil"/>
              <w:left w:val="nil"/>
              <w:bottom w:val="nil"/>
              <w:right w:val="nil"/>
            </w:tcBorders>
          </w:tcPr>
          <w:p w:rsidR="00150086"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rsidR="00150086" w:rsidRPr="00E15901" w:rsidRDefault="00E15901" w:rsidP="00E15901">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E15901" w:rsidRPr="00E15901" w:rsidRDefault="00E15901" w:rsidP="00E15901">
            <w:pPr>
              <w:jc w:val="center"/>
              <w:rPr>
                <w:rFonts w:ascii="Times New Roman" w:hAnsi="Times New Roman"/>
                <w:b/>
                <w:sz w:val="24"/>
                <w:szCs w:val="24"/>
                <w:lang w:val="nl-NL"/>
              </w:rPr>
            </w:pPr>
            <w:r w:rsidRPr="00E15901">
              <w:rPr>
                <w:rFonts w:ascii="Times New Roman" w:hAnsi="Times New Roman"/>
                <w:b/>
                <w:sz w:val="24"/>
                <w:szCs w:val="24"/>
                <w:lang w:val="nl-NL"/>
              </w:rPr>
              <w:t>Giám đốc</w:t>
            </w:r>
          </w:p>
          <w:p w:rsidR="00E15901" w:rsidRPr="00E15901" w:rsidRDefault="00E15901" w:rsidP="00E15901">
            <w:pPr>
              <w:jc w:val="center"/>
              <w:rPr>
                <w:rFonts w:ascii="Times New Roman" w:hAnsi="Times New Roman"/>
                <w:b/>
                <w:sz w:val="24"/>
                <w:szCs w:val="24"/>
                <w:lang w:val="nl-NL"/>
              </w:rPr>
            </w:pPr>
          </w:p>
          <w:p w:rsidR="00E15901" w:rsidRPr="00E15901" w:rsidRDefault="00E15901" w:rsidP="00E15901">
            <w:pPr>
              <w:jc w:val="center"/>
              <w:rPr>
                <w:rFonts w:ascii="Times New Roman" w:hAnsi="Times New Roman"/>
                <w:b/>
                <w:sz w:val="24"/>
                <w:szCs w:val="24"/>
                <w:lang w:val="nl-NL"/>
              </w:rPr>
            </w:pPr>
          </w:p>
          <w:p w:rsidR="00E15901" w:rsidRPr="00E15901" w:rsidRDefault="00E15901" w:rsidP="00E15901">
            <w:pPr>
              <w:jc w:val="center"/>
              <w:rPr>
                <w:rFonts w:ascii="Times New Roman" w:hAnsi="Times New Roman"/>
                <w:b/>
                <w:sz w:val="24"/>
                <w:szCs w:val="24"/>
                <w:lang w:val="nl-NL"/>
              </w:rPr>
            </w:pPr>
          </w:p>
          <w:p w:rsidR="00E15901" w:rsidRDefault="00E15901" w:rsidP="00E15901">
            <w:pPr>
              <w:jc w:val="center"/>
              <w:rPr>
                <w:rFonts w:ascii="Times New Roman" w:hAnsi="Times New Roman"/>
                <w:sz w:val="24"/>
                <w:szCs w:val="24"/>
                <w:lang w:val="nl-NL"/>
              </w:rPr>
            </w:pPr>
            <w:r w:rsidRPr="00E15901">
              <w:rPr>
                <w:rFonts w:ascii="Times New Roman" w:hAnsi="Times New Roman"/>
                <w:b/>
                <w:sz w:val="24"/>
                <w:szCs w:val="24"/>
                <w:lang w:val="nl-NL"/>
              </w:rPr>
              <w:t>Lê Thị Hồng Thái</w:t>
            </w:r>
            <w:bookmarkStart w:id="2" w:name="_GoBack"/>
            <w:bookmarkEnd w:id="2"/>
          </w:p>
        </w:tc>
      </w:tr>
      <w:tr w:rsidR="00CE2F8B" w:rsidRPr="00321C3D" w:rsidTr="00E15901">
        <w:trPr>
          <w:trHeight w:val="1700"/>
        </w:trPr>
        <w:tc>
          <w:tcPr>
            <w:tcW w:w="5027" w:type="dxa"/>
            <w:tcBorders>
              <w:top w:val="nil"/>
              <w:left w:val="nil"/>
              <w:bottom w:val="nil"/>
              <w:right w:val="nil"/>
            </w:tcBorders>
          </w:tcPr>
          <w:p w:rsidR="00CE2F8B" w:rsidRDefault="00CE2F8B" w:rsidP="00B3750F">
            <w:pPr>
              <w:jc w:val="both"/>
              <w:rPr>
                <w:rFonts w:ascii="Times New Roman" w:hAnsi="Times New Roman"/>
                <w:sz w:val="24"/>
                <w:szCs w:val="24"/>
                <w:lang w:val="nl-NL"/>
              </w:rPr>
            </w:pPr>
          </w:p>
        </w:tc>
        <w:tc>
          <w:tcPr>
            <w:tcW w:w="5027" w:type="dxa"/>
            <w:tcBorders>
              <w:top w:val="nil"/>
              <w:left w:val="nil"/>
              <w:bottom w:val="nil"/>
              <w:right w:val="nil"/>
            </w:tcBorders>
          </w:tcPr>
          <w:p w:rsidR="00CE2F8B" w:rsidRPr="00E15901" w:rsidRDefault="00CE2F8B" w:rsidP="00E15901">
            <w:pPr>
              <w:jc w:val="center"/>
              <w:rPr>
                <w:rFonts w:ascii="Times New Roman" w:hAnsi="Times New Roman"/>
                <w:b/>
                <w:sz w:val="24"/>
                <w:szCs w:val="24"/>
                <w:lang w:val="nl-NL"/>
              </w:rPr>
            </w:pPr>
          </w:p>
        </w:tc>
      </w:tr>
    </w:tbl>
    <w:p w:rsidR="005F0B26" w:rsidRPr="00F2683A" w:rsidRDefault="005F0B26" w:rsidP="00B3750F">
      <w:pPr>
        <w:jc w:val="both"/>
        <w:rPr>
          <w:rFonts w:ascii="Times New Roman" w:hAnsi="Times New Roman"/>
          <w:sz w:val="24"/>
          <w:szCs w:val="24"/>
          <w:lang w:val="nl-NL"/>
        </w:rPr>
      </w:pPr>
    </w:p>
    <w:sectPr w:rsidR="005F0B26" w:rsidRPr="00F2683A" w:rsidSect="007A5BE4">
      <w:footerReference w:type="default" r:id="rId10"/>
      <w:pgSz w:w="12240" w:h="15840"/>
      <w:pgMar w:top="1260" w:right="900" w:bottom="126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98" w:rsidRDefault="00F62198" w:rsidP="00621E6D">
      <w:pPr>
        <w:spacing w:after="0" w:line="240" w:lineRule="auto"/>
      </w:pPr>
      <w:r>
        <w:separator/>
      </w:r>
    </w:p>
  </w:endnote>
  <w:endnote w:type="continuationSeparator" w:id="0">
    <w:p w:rsidR="00F62198" w:rsidRDefault="00F62198"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53624"/>
      <w:docPartObj>
        <w:docPartGallery w:val="Page Numbers (Bottom of Page)"/>
        <w:docPartUnique/>
      </w:docPartObj>
    </w:sdtPr>
    <w:sdtEndPr>
      <w:rPr>
        <w:noProof/>
      </w:rPr>
    </w:sdtEndPr>
    <w:sdtContent>
      <w:p w:rsidR="00F62198" w:rsidRDefault="00F62198">
        <w:pPr>
          <w:pStyle w:val="Footer"/>
          <w:jc w:val="right"/>
        </w:pPr>
        <w:r>
          <w:fldChar w:fldCharType="begin"/>
        </w:r>
        <w:r>
          <w:instrText xml:space="preserve"> PAGE   \* MERGEFORMAT </w:instrText>
        </w:r>
        <w:r>
          <w:fldChar w:fldCharType="separate"/>
        </w:r>
        <w:r w:rsidR="00CE2F8B">
          <w:rPr>
            <w:noProof/>
          </w:rPr>
          <w:t>10</w:t>
        </w:r>
        <w:r>
          <w:rPr>
            <w:noProof/>
          </w:rPr>
          <w:fldChar w:fldCharType="end"/>
        </w:r>
      </w:p>
    </w:sdtContent>
  </w:sdt>
  <w:p w:rsidR="00F62198" w:rsidRDefault="00F6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98" w:rsidRDefault="00F62198" w:rsidP="00621E6D">
      <w:pPr>
        <w:spacing w:after="0" w:line="240" w:lineRule="auto"/>
      </w:pPr>
      <w:r>
        <w:separator/>
      </w:r>
    </w:p>
  </w:footnote>
  <w:footnote w:type="continuationSeparator" w:id="0">
    <w:p w:rsidR="00F62198" w:rsidRDefault="00F62198" w:rsidP="00621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8"/>
    <w:rsid w:val="00010261"/>
    <w:rsid w:val="00040FFF"/>
    <w:rsid w:val="00045DF3"/>
    <w:rsid w:val="000710EE"/>
    <w:rsid w:val="000769A6"/>
    <w:rsid w:val="00093EA6"/>
    <w:rsid w:val="000A71FA"/>
    <w:rsid w:val="000B09F7"/>
    <w:rsid w:val="000C4080"/>
    <w:rsid w:val="000D5E12"/>
    <w:rsid w:val="000E3736"/>
    <w:rsid w:val="000E3955"/>
    <w:rsid w:val="00150086"/>
    <w:rsid w:val="00153944"/>
    <w:rsid w:val="001724E2"/>
    <w:rsid w:val="001950F7"/>
    <w:rsid w:val="001A5984"/>
    <w:rsid w:val="001B0DD1"/>
    <w:rsid w:val="001C4468"/>
    <w:rsid w:val="001E60C9"/>
    <w:rsid w:val="001F1E38"/>
    <w:rsid w:val="001F3B0D"/>
    <w:rsid w:val="00202172"/>
    <w:rsid w:val="00215E36"/>
    <w:rsid w:val="002339E4"/>
    <w:rsid w:val="00244FFB"/>
    <w:rsid w:val="002455BF"/>
    <w:rsid w:val="0024670A"/>
    <w:rsid w:val="00276FF6"/>
    <w:rsid w:val="00287AF8"/>
    <w:rsid w:val="002F09D5"/>
    <w:rsid w:val="003001EE"/>
    <w:rsid w:val="0030198D"/>
    <w:rsid w:val="00321C3D"/>
    <w:rsid w:val="00332909"/>
    <w:rsid w:val="0034115C"/>
    <w:rsid w:val="003464D6"/>
    <w:rsid w:val="00363061"/>
    <w:rsid w:val="0037324A"/>
    <w:rsid w:val="003D65DF"/>
    <w:rsid w:val="003D7C0D"/>
    <w:rsid w:val="003E0DEE"/>
    <w:rsid w:val="003E47A2"/>
    <w:rsid w:val="003E4AD7"/>
    <w:rsid w:val="003F1FA0"/>
    <w:rsid w:val="004122D4"/>
    <w:rsid w:val="00417E92"/>
    <w:rsid w:val="00426C3F"/>
    <w:rsid w:val="00430277"/>
    <w:rsid w:val="004336D0"/>
    <w:rsid w:val="0043581D"/>
    <w:rsid w:val="00436680"/>
    <w:rsid w:val="00444BF6"/>
    <w:rsid w:val="00454E48"/>
    <w:rsid w:val="00461ED9"/>
    <w:rsid w:val="004777E3"/>
    <w:rsid w:val="00497DBF"/>
    <w:rsid w:val="004A5AA7"/>
    <w:rsid w:val="004B07B4"/>
    <w:rsid w:val="004D4AB0"/>
    <w:rsid w:val="004F5C05"/>
    <w:rsid w:val="00504A87"/>
    <w:rsid w:val="00505C83"/>
    <w:rsid w:val="00530319"/>
    <w:rsid w:val="00530A42"/>
    <w:rsid w:val="005526F1"/>
    <w:rsid w:val="005676E2"/>
    <w:rsid w:val="00577F49"/>
    <w:rsid w:val="0058004F"/>
    <w:rsid w:val="005A3A09"/>
    <w:rsid w:val="005B079D"/>
    <w:rsid w:val="005B2BDA"/>
    <w:rsid w:val="005C4036"/>
    <w:rsid w:val="005C766A"/>
    <w:rsid w:val="005D0313"/>
    <w:rsid w:val="005E577E"/>
    <w:rsid w:val="005F0B26"/>
    <w:rsid w:val="005F58BD"/>
    <w:rsid w:val="00605309"/>
    <w:rsid w:val="00621E6D"/>
    <w:rsid w:val="006334E3"/>
    <w:rsid w:val="00636709"/>
    <w:rsid w:val="0065494C"/>
    <w:rsid w:val="00683B11"/>
    <w:rsid w:val="00685F5A"/>
    <w:rsid w:val="00686487"/>
    <w:rsid w:val="00687A29"/>
    <w:rsid w:val="00697B7E"/>
    <w:rsid w:val="006A45A0"/>
    <w:rsid w:val="006B5AA7"/>
    <w:rsid w:val="006B6149"/>
    <w:rsid w:val="006C65A3"/>
    <w:rsid w:val="006D079C"/>
    <w:rsid w:val="006E26E5"/>
    <w:rsid w:val="006E3CFF"/>
    <w:rsid w:val="006F77D6"/>
    <w:rsid w:val="00727607"/>
    <w:rsid w:val="00730E8A"/>
    <w:rsid w:val="0074088D"/>
    <w:rsid w:val="00785B67"/>
    <w:rsid w:val="00787301"/>
    <w:rsid w:val="007A5BE4"/>
    <w:rsid w:val="007C2E9E"/>
    <w:rsid w:val="007D6CE8"/>
    <w:rsid w:val="007E6F5B"/>
    <w:rsid w:val="008321C8"/>
    <w:rsid w:val="00846481"/>
    <w:rsid w:val="008978F2"/>
    <w:rsid w:val="008D6682"/>
    <w:rsid w:val="008E250F"/>
    <w:rsid w:val="008E3939"/>
    <w:rsid w:val="00940CBC"/>
    <w:rsid w:val="009535E9"/>
    <w:rsid w:val="009648AF"/>
    <w:rsid w:val="009671DB"/>
    <w:rsid w:val="00980853"/>
    <w:rsid w:val="009A353C"/>
    <w:rsid w:val="009B6D55"/>
    <w:rsid w:val="009C5C88"/>
    <w:rsid w:val="009E1ED4"/>
    <w:rsid w:val="009F0B2B"/>
    <w:rsid w:val="00A1471B"/>
    <w:rsid w:val="00A65D37"/>
    <w:rsid w:val="00A67095"/>
    <w:rsid w:val="00A75631"/>
    <w:rsid w:val="00A7782D"/>
    <w:rsid w:val="00A926B4"/>
    <w:rsid w:val="00A962C0"/>
    <w:rsid w:val="00AA4AF1"/>
    <w:rsid w:val="00AA4C6A"/>
    <w:rsid w:val="00AC3F03"/>
    <w:rsid w:val="00AD5D01"/>
    <w:rsid w:val="00AE1160"/>
    <w:rsid w:val="00B10A55"/>
    <w:rsid w:val="00B3750F"/>
    <w:rsid w:val="00B40151"/>
    <w:rsid w:val="00B84DD0"/>
    <w:rsid w:val="00B85125"/>
    <w:rsid w:val="00B953F5"/>
    <w:rsid w:val="00BA4FB3"/>
    <w:rsid w:val="00BD0161"/>
    <w:rsid w:val="00BD2872"/>
    <w:rsid w:val="00BD584D"/>
    <w:rsid w:val="00BE2769"/>
    <w:rsid w:val="00BF6CD7"/>
    <w:rsid w:val="00C10822"/>
    <w:rsid w:val="00C14EF5"/>
    <w:rsid w:val="00C17D8E"/>
    <w:rsid w:val="00C23979"/>
    <w:rsid w:val="00C272AB"/>
    <w:rsid w:val="00C30443"/>
    <w:rsid w:val="00C31871"/>
    <w:rsid w:val="00C40CA8"/>
    <w:rsid w:val="00CA1215"/>
    <w:rsid w:val="00CA45A9"/>
    <w:rsid w:val="00CB2B53"/>
    <w:rsid w:val="00CC6890"/>
    <w:rsid w:val="00CC754B"/>
    <w:rsid w:val="00CD5D53"/>
    <w:rsid w:val="00CE2F8B"/>
    <w:rsid w:val="00D034B8"/>
    <w:rsid w:val="00D333FE"/>
    <w:rsid w:val="00D35C0A"/>
    <w:rsid w:val="00D506DC"/>
    <w:rsid w:val="00D544CC"/>
    <w:rsid w:val="00D568D3"/>
    <w:rsid w:val="00D75CED"/>
    <w:rsid w:val="00D86A2D"/>
    <w:rsid w:val="00D873D0"/>
    <w:rsid w:val="00D92B1C"/>
    <w:rsid w:val="00DA597D"/>
    <w:rsid w:val="00DC0D58"/>
    <w:rsid w:val="00DD002F"/>
    <w:rsid w:val="00DD0266"/>
    <w:rsid w:val="00DD465D"/>
    <w:rsid w:val="00E15901"/>
    <w:rsid w:val="00E25CCB"/>
    <w:rsid w:val="00E27DDB"/>
    <w:rsid w:val="00E31237"/>
    <w:rsid w:val="00E46772"/>
    <w:rsid w:val="00E668DD"/>
    <w:rsid w:val="00E8252E"/>
    <w:rsid w:val="00EA1E3D"/>
    <w:rsid w:val="00EA3A3A"/>
    <w:rsid w:val="00ED2EC6"/>
    <w:rsid w:val="00F14D5B"/>
    <w:rsid w:val="00F2683A"/>
    <w:rsid w:val="00F4320B"/>
    <w:rsid w:val="00F50B89"/>
    <w:rsid w:val="00F62198"/>
    <w:rsid w:val="00F71E06"/>
    <w:rsid w:val="00F75DB6"/>
    <w:rsid w:val="00FB61DD"/>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VNSGNFSR001\Finance\AFMC\CBPF%20Distribution\CBPF%20factsheet\CBPF\Database%20factcsheet%20CBP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SG" b="1">
                <a:latin typeface="Times New Roman" panose="02020603050405020304" pitchFamily="18" charset="0"/>
                <a:cs typeface="Times New Roman" panose="02020603050405020304" pitchFamily="18" charset="0"/>
              </a:rPr>
              <a:t>Giá CCQ của Quỹ CBPF</a:t>
            </a:r>
          </a:p>
        </c:rich>
      </c:tx>
      <c:layout/>
      <c:overlay val="0"/>
      <c:spPr>
        <a:noFill/>
        <a:ln>
          <a:noFill/>
        </a:ln>
        <a:effectLst/>
      </c:spPr>
    </c:title>
    <c:autoTitleDeleted val="0"/>
    <c:plotArea>
      <c:layout>
        <c:manualLayout>
          <c:layoutTarget val="inner"/>
          <c:xMode val="edge"/>
          <c:yMode val="edge"/>
          <c:x val="0.12870625546806649"/>
          <c:y val="0.15319444444444447"/>
          <c:w val="0.84073818897637786"/>
          <c:h val="0.68854986876640412"/>
        </c:manualLayout>
      </c:layout>
      <c:lineChart>
        <c:grouping val="standar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NAV!$O$2:$AA$2</c:f>
              <c:strCache>
                <c:ptCount val="13"/>
                <c:pt idx="0">
                  <c:v>Tuần 27</c:v>
                </c:pt>
                <c:pt idx="1">
                  <c:v>Tuần 28</c:v>
                </c:pt>
                <c:pt idx="2">
                  <c:v>Tuần 29</c:v>
                </c:pt>
                <c:pt idx="3">
                  <c:v>Tuần 30</c:v>
                </c:pt>
                <c:pt idx="4">
                  <c:v>Tuần 31</c:v>
                </c:pt>
                <c:pt idx="5">
                  <c:v>Tuần 32</c:v>
                </c:pt>
                <c:pt idx="6">
                  <c:v>Tuần 33</c:v>
                </c:pt>
                <c:pt idx="7">
                  <c:v>Tuần 34</c:v>
                </c:pt>
                <c:pt idx="8">
                  <c:v>Tuần 35</c:v>
                </c:pt>
                <c:pt idx="9">
                  <c:v>Tuần 36</c:v>
                </c:pt>
                <c:pt idx="10">
                  <c:v>Tuần 37</c:v>
                </c:pt>
                <c:pt idx="11">
                  <c:v>Tuần 38</c:v>
                </c:pt>
                <c:pt idx="12">
                  <c:v>Tuần 39</c:v>
                </c:pt>
              </c:strCache>
            </c:strRef>
          </c:cat>
          <c:val>
            <c:numRef>
              <c:f>NAV!$O$3:$AA$3</c:f>
              <c:numCache>
                <c:formatCode>_(* #,##0_);_(* \(#,##0\);_(* "-"??_);_(@_)</c:formatCode>
                <c:ptCount val="13"/>
                <c:pt idx="0">
                  <c:v>10056.25</c:v>
                </c:pt>
                <c:pt idx="1">
                  <c:v>10062.76</c:v>
                </c:pt>
                <c:pt idx="2">
                  <c:v>10070.06</c:v>
                </c:pt>
                <c:pt idx="3">
                  <c:v>10077.35</c:v>
                </c:pt>
                <c:pt idx="4">
                  <c:v>10084.65</c:v>
                </c:pt>
                <c:pt idx="5">
                  <c:v>10091.94</c:v>
                </c:pt>
                <c:pt idx="6">
                  <c:v>10099.34</c:v>
                </c:pt>
                <c:pt idx="7">
                  <c:v>10108.299999999999</c:v>
                </c:pt>
                <c:pt idx="8">
                  <c:v>10117.280000000001</c:v>
                </c:pt>
                <c:pt idx="9">
                  <c:v>10126.23</c:v>
                </c:pt>
                <c:pt idx="10">
                  <c:v>10135.700000000001</c:v>
                </c:pt>
                <c:pt idx="11">
                  <c:v>10145.39</c:v>
                </c:pt>
                <c:pt idx="12">
                  <c:v>10155.08</c:v>
                </c:pt>
              </c:numCache>
            </c:numRef>
          </c:val>
          <c:smooth val="0"/>
          <c:extLst xmlns:c16r2="http://schemas.microsoft.com/office/drawing/2015/06/chart">
            <c:ext xmlns:c16="http://schemas.microsoft.com/office/drawing/2014/chart" uri="{C3380CC4-5D6E-409C-BE32-E72D297353CC}">
              <c16:uniqueId val="{00000000-E65F-4DBC-A6D0-D57402179EDD}"/>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79529856"/>
        <c:axId val="84050688"/>
      </c:lineChart>
      <c:catAx>
        <c:axId val="795298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050688"/>
        <c:crosses val="autoZero"/>
        <c:auto val="1"/>
        <c:lblAlgn val="ctr"/>
        <c:lblOffset val="100"/>
        <c:noMultiLvlLbl val="0"/>
      </c:catAx>
      <c:valAx>
        <c:axId val="84050688"/>
        <c:scaling>
          <c:orientation val="minMax"/>
        </c:scaling>
        <c:delete val="0"/>
        <c:axPos val="l"/>
        <c:title>
          <c:tx>
            <c:rich>
              <a:bodyPr rot="0" spcFirstLastPara="1" vertOverflow="ellipsis"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SG">
                    <a:latin typeface="Times New Roman" panose="02020603050405020304" pitchFamily="18" charset="0"/>
                    <a:cs typeface="Times New Roman" panose="02020603050405020304" pitchFamily="18" charset="0"/>
                  </a:rPr>
                  <a:t>đồng/CCQ</a:t>
                </a:r>
              </a:p>
            </c:rich>
          </c:tx>
          <c:layout>
            <c:manualLayout>
              <c:xMode val="edge"/>
              <c:yMode val="edge"/>
              <c:x val="2.7777777777777776E-2"/>
              <c:y val="3.3649752114319045E-2"/>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52985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rnKj1tGhOOdSWB+J5puDwCvK/Jg=</DigestValue>
    </Reference>
    <Reference URI="#idOfficeObject" Type="http://www.w3.org/2000/09/xmldsig#Object">
      <DigestMethod Algorithm="http://www.w3.org/2000/09/xmldsig#sha1"/>
      <DigestValue>vnYmcKB70Y28WvuauZtkDh8SnRQ=</DigestValue>
    </Reference>
    <Reference URI="#idSignedProperties" Type="http://uri.etsi.org/01903#SignedProperties">
      <Transforms>
        <Transform Algorithm="http://www.w3.org/TR/2001/REC-xml-c14n-20010315"/>
      </Transforms>
      <DigestMethod Algorithm="http://www.w3.org/2000/09/xmldsig#sha1"/>
      <DigestValue>qjFWBHiChAipuYrFYJ38n254EA0=</DigestValue>
    </Reference>
  </SignedInfo>
  <SignatureValue>CgHEO88yL5y+/snnpjBIiR00EcZfXtdya8PnK72LJ2w3HgrUQXuZg2EDBwUuWhhN2OGMzfn1N4I6
TAbPAl9Mrm1CgMqSINdyIs9yHmtgSFc5KRCyD4rqKrPtnXW0RLLqFD74p9xokX5RNxyT0u1jvML1
KYl8pU7GoCctkVMKOeU=</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fwbnnwRzYZvFqBekGHJ6/dhTlIU=</DigestValue>
      </Reference>
      <Reference URI="/word/fontTable.xml?ContentType=application/vnd.openxmlformats-officedocument.wordprocessingml.fontTable+xml">
        <DigestMethod Algorithm="http://www.w3.org/2000/09/xmldsig#sha1"/>
        <DigestValue>JEUmg8P77ivlK5m3VirPyDSmZ8Y=</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Oor/Lz6ECmrOgwTqky8y9HIyQb0=</DigestValue>
      </Reference>
      <Reference URI="/word/styles.xml?ContentType=application/vnd.openxmlformats-officedocument.wordprocessingml.styles+xml">
        <DigestMethod Algorithm="http://www.w3.org/2000/09/xmldsig#sha1"/>
        <DigestValue>hsVNKRXAjQGr/WYLWNZJeUoaWL4=</DigestValue>
      </Reference>
      <Reference URI="/word/stylesWithEffects.xml?ContentType=application/vnd.ms-word.stylesWithEffects+xml">
        <DigestMethod Algorithm="http://www.w3.org/2000/09/xmldsig#sha1"/>
        <DigestValue>EksvAlZ//CtPzNQ8ZxN3bPC2Zvg=</DigestValue>
      </Reference>
      <Reference URI="/word/charts/chart1.xml?ContentType=application/vnd.openxmlformats-officedocument.drawingml.chart+xml">
        <DigestMethod Algorithm="http://www.w3.org/2000/09/xmldsig#sha1"/>
        <DigestValue>iQRLkHcX3SPCrUacR546WqEDuoE=</DigestValue>
      </Reference>
      <Reference URI="/word/footnotes.xml?ContentType=application/vnd.openxmlformats-officedocument.wordprocessingml.footnotes+xml">
        <DigestMethod Algorithm="http://www.w3.org/2000/09/xmldsig#sha1"/>
        <DigestValue>9MIrDCJKZHD5Kb7M1na2nImOQ4g=</DigestValue>
      </Reference>
      <Reference URI="/word/document.xml?ContentType=application/vnd.openxmlformats-officedocument.wordprocessingml.document.main+xml">
        <DigestMethod Algorithm="http://www.w3.org/2000/09/xmldsig#sha1"/>
        <DigestValue>lWxA9ZZ5QaaVs4kLnqQjLjK+Jxs=</DigestValue>
      </Reference>
      <Reference URI="/word/webSettings.xml?ContentType=application/vnd.openxmlformats-officedocument.wordprocessingml.webSettings+xml">
        <DigestMethod Algorithm="http://www.w3.org/2000/09/xmldsig#sha1"/>
        <DigestValue>bTz/qFN1DVoXCLzgPReL5UCzrrQ=</DigestValue>
      </Reference>
      <Reference URI="/word/endnotes.xml?ContentType=application/vnd.openxmlformats-officedocument.wordprocessingml.endnotes+xml">
        <DigestMethod Algorithm="http://www.w3.org/2000/09/xmldsig#sha1"/>
        <DigestValue>C7JHf2Tg9q+tIIpMlfqeEuskG+Q=</DigestValue>
      </Reference>
      <Reference URI="/word/footer1.xml?ContentType=application/vnd.openxmlformats-officedocument.wordprocessingml.footer+xml">
        <DigestMethod Algorithm="http://www.w3.org/2000/09/xmldsig#sha1"/>
        <DigestValue>Kb86pCRVcVJfVIQgyiBrnNSS/QQ=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Msg5yCRe2tUA/25sK7Ly19eHfSM=</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s2IuOgFfFPmuY15XFz9KtT7HSlk=</DigestValue>
      </Reference>
    </Manifest>
    <SignatureProperties>
      <SignatureProperty Id="idSignatureTime" Target="#idPackageSignature">
        <mdssi:SignatureTime>
          <mdssi:Format>YYYY-MM-DDThh:mm:ssTZD</mdssi:Format>
          <mdssi:Value>2019-10-18T04:01:46Z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2019-10-18T04:01:46Z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294E-3902-4AA8-8159-2E1DCE2D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11</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Do, Thi Thu Nguyet - AFMC Vietnam</cp:lastModifiedBy>
  <cp:revision>147</cp:revision>
  <cp:lastPrinted>2019-07-19T08:40:00Z</cp:lastPrinted>
  <dcterms:created xsi:type="dcterms:W3CDTF">2019-07-17T10:38:00Z</dcterms:created>
  <dcterms:modified xsi:type="dcterms:W3CDTF">2019-10-18T03:52:00Z</dcterms:modified>
</cp:coreProperties>
</file>