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51075" w14:textId="77777777" w:rsidR="003F0046" w:rsidRPr="007C7FC8" w:rsidRDefault="003F0046" w:rsidP="003F0046">
      <w:pPr>
        <w:spacing w:before="120"/>
        <w:jc w:val="center"/>
        <w:rPr>
          <w:rFonts w:ascii="Times New Roman" w:hAnsi="Times New Roman"/>
          <w:b/>
          <w:sz w:val="24"/>
          <w:szCs w:val="24"/>
        </w:rPr>
      </w:pPr>
      <w:bookmarkStart w:id="0" w:name="chuong_phuluc_28"/>
      <w:r w:rsidRPr="007C7FC8">
        <w:rPr>
          <w:rFonts w:ascii="Times New Roman" w:hAnsi="Times New Roman"/>
          <w:b/>
          <w:sz w:val="24"/>
          <w:szCs w:val="24"/>
        </w:rPr>
        <w:t>Phụ lục số 28</w:t>
      </w:r>
      <w:bookmarkEnd w:id="0"/>
    </w:p>
    <w:p w14:paraId="2A853172" w14:textId="77777777" w:rsidR="003F0046" w:rsidRPr="007C7FC8" w:rsidRDefault="003F0046" w:rsidP="003F0046">
      <w:pPr>
        <w:spacing w:before="120"/>
        <w:jc w:val="center"/>
        <w:rPr>
          <w:rFonts w:ascii="Times New Roman" w:hAnsi="Times New Roman"/>
          <w:b/>
          <w:sz w:val="24"/>
          <w:szCs w:val="24"/>
        </w:rPr>
      </w:pPr>
      <w:bookmarkStart w:id="1" w:name="chuong_phuluc_28_name"/>
      <w:r w:rsidRPr="007C7FC8">
        <w:rPr>
          <w:rFonts w:ascii="Times New Roman" w:hAnsi="Times New Roman"/>
          <w:b/>
          <w:sz w:val="24"/>
          <w:szCs w:val="24"/>
        </w:rPr>
        <w:t>Nội dung Báo cáo hoạt động quản lý quỹ mở của Công ty quản lý quỹ</w:t>
      </w:r>
      <w:bookmarkEnd w:id="1"/>
    </w:p>
    <w:p w14:paraId="52C6AD31" w14:textId="77777777" w:rsidR="003F0046" w:rsidRPr="007C7FC8" w:rsidRDefault="003F0046" w:rsidP="003F0046">
      <w:pPr>
        <w:spacing w:before="120"/>
        <w:jc w:val="center"/>
        <w:rPr>
          <w:rFonts w:ascii="Times New Roman" w:hAnsi="Times New Roman"/>
          <w:i/>
          <w:sz w:val="24"/>
          <w:szCs w:val="24"/>
        </w:rPr>
      </w:pPr>
      <w:r w:rsidRPr="007C7FC8">
        <w:rPr>
          <w:rFonts w:ascii="Times New Roman" w:hAnsi="Times New Roman"/>
          <w:i/>
          <w:sz w:val="24"/>
          <w:szCs w:val="24"/>
        </w:rPr>
        <w:t>(ban hành kèm theo Thông tư hướng dẫn về việc thành lập và quản lý quỹ mở)</w:t>
      </w:r>
    </w:p>
    <w:p w14:paraId="2AEF1548" w14:textId="77777777" w:rsidR="003F0046" w:rsidRPr="007C7FC8" w:rsidRDefault="003F0046" w:rsidP="003F0046">
      <w:pPr>
        <w:spacing w:before="120"/>
        <w:rPr>
          <w:rFonts w:ascii="Times New Roman" w:hAnsi="Times New Roman"/>
          <w:sz w:val="24"/>
          <w:szCs w:val="24"/>
        </w:rPr>
      </w:pPr>
    </w:p>
    <w:p w14:paraId="311034E3" w14:textId="4BEEFBFE" w:rsidR="003F0046" w:rsidRPr="007C7FC8" w:rsidRDefault="003F0046" w:rsidP="003F0046">
      <w:pPr>
        <w:spacing w:before="120"/>
        <w:jc w:val="center"/>
        <w:rPr>
          <w:rFonts w:ascii="Times New Roman" w:hAnsi="Times New Roman"/>
          <w:b/>
          <w:sz w:val="40"/>
          <w:szCs w:val="40"/>
        </w:rPr>
      </w:pPr>
      <w:r w:rsidRPr="007C7FC8">
        <w:rPr>
          <w:rFonts w:ascii="Times New Roman" w:hAnsi="Times New Roman"/>
          <w:b/>
          <w:sz w:val="40"/>
          <w:szCs w:val="40"/>
        </w:rPr>
        <w:t>BÁO CÁO VỀ HOẠT ĐỘNG CỦA QUỸ</w:t>
      </w:r>
    </w:p>
    <w:p w14:paraId="2A460EA0" w14:textId="1C35BA71" w:rsidR="00CF6718" w:rsidRPr="007C7FC8" w:rsidRDefault="007C7FC8" w:rsidP="003F0046">
      <w:pPr>
        <w:spacing w:before="120"/>
        <w:jc w:val="center"/>
        <w:rPr>
          <w:rFonts w:ascii="Times New Roman" w:hAnsi="Times New Roman"/>
          <w:i/>
          <w:sz w:val="24"/>
          <w:szCs w:val="24"/>
        </w:rPr>
      </w:pPr>
      <w:r w:rsidRPr="007C7FC8">
        <w:rPr>
          <w:rFonts w:ascii="Times New Roman" w:hAnsi="Times New Roman"/>
          <w:i/>
          <w:sz w:val="24"/>
          <w:szCs w:val="24"/>
        </w:rPr>
        <w:t>(Từ ngày 03/04/2019 đến ngày 30/06/2019)</w:t>
      </w:r>
    </w:p>
    <w:p w14:paraId="55C9B81D" w14:textId="77777777" w:rsidR="003F0046" w:rsidRPr="007C7FC8" w:rsidRDefault="003F0046" w:rsidP="003F0046">
      <w:pPr>
        <w:spacing w:before="120"/>
        <w:rPr>
          <w:rFonts w:ascii="Times New Roman" w:hAnsi="Times New Roman"/>
          <w:sz w:val="24"/>
          <w:szCs w:val="24"/>
        </w:rPr>
      </w:pPr>
    </w:p>
    <w:p w14:paraId="36A90D99" w14:textId="77777777" w:rsidR="003F0046" w:rsidRPr="00A770A8" w:rsidRDefault="003F0046" w:rsidP="00920A63">
      <w:pPr>
        <w:spacing w:before="120"/>
        <w:jc w:val="both"/>
        <w:rPr>
          <w:rFonts w:ascii="Times New Roman" w:hAnsi="Times New Roman"/>
          <w:b/>
          <w:sz w:val="24"/>
          <w:szCs w:val="24"/>
        </w:rPr>
      </w:pPr>
      <w:r w:rsidRPr="00A770A8">
        <w:rPr>
          <w:rFonts w:ascii="Times New Roman" w:hAnsi="Times New Roman"/>
          <w:b/>
          <w:sz w:val="24"/>
          <w:szCs w:val="24"/>
        </w:rPr>
        <w:t>1. Thông tin về quỹ</w:t>
      </w:r>
    </w:p>
    <w:p w14:paraId="0E7B70FD" w14:textId="77777777" w:rsidR="009C1BA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a) </w:t>
      </w:r>
      <w:r w:rsidR="00B4531A" w:rsidRPr="00A770A8">
        <w:rPr>
          <w:rFonts w:ascii="Times New Roman" w:hAnsi="Times New Roman"/>
          <w:sz w:val="24"/>
          <w:szCs w:val="24"/>
        </w:rPr>
        <w:t>T</w:t>
      </w:r>
      <w:r w:rsidR="00B948CB" w:rsidRPr="00A770A8">
        <w:rPr>
          <w:rFonts w:ascii="Times New Roman" w:hAnsi="Times New Roman"/>
          <w:sz w:val="24"/>
          <w:szCs w:val="24"/>
        </w:rPr>
        <w:t>ên của quỹ:</w:t>
      </w:r>
    </w:p>
    <w:p w14:paraId="30AA5B8C" w14:textId="00F0BF07" w:rsidR="009C1BA6" w:rsidRPr="00A770A8" w:rsidRDefault="009C1BA6" w:rsidP="00920A63">
      <w:pPr>
        <w:spacing w:before="120"/>
        <w:jc w:val="both"/>
        <w:rPr>
          <w:rFonts w:ascii="Times New Roman" w:hAnsi="Times New Roman"/>
          <w:sz w:val="24"/>
          <w:szCs w:val="24"/>
        </w:rPr>
      </w:pPr>
      <w:r w:rsidRPr="00A770A8">
        <w:rPr>
          <w:rFonts w:ascii="Times New Roman" w:hAnsi="Times New Roman"/>
          <w:sz w:val="24"/>
          <w:szCs w:val="24"/>
        </w:rPr>
        <w:t xml:space="preserve"> </w:t>
      </w:r>
      <w:r w:rsidRPr="00A770A8">
        <w:rPr>
          <w:rFonts w:ascii="Times New Roman" w:hAnsi="Times New Roman"/>
          <w:sz w:val="24"/>
          <w:szCs w:val="24"/>
        </w:rPr>
        <w:tab/>
        <w:t xml:space="preserve">- Tên quỹ: </w:t>
      </w:r>
      <w:r w:rsidR="00B948CB" w:rsidRPr="00A770A8">
        <w:rPr>
          <w:rFonts w:ascii="Times New Roman" w:hAnsi="Times New Roman"/>
          <w:sz w:val="24"/>
          <w:szCs w:val="24"/>
        </w:rPr>
        <w:t xml:space="preserve"> </w:t>
      </w:r>
      <w:r w:rsidR="00B948CB" w:rsidRPr="00A770A8">
        <w:rPr>
          <w:rFonts w:ascii="Times New Roman" w:hAnsi="Times New Roman"/>
          <w:b/>
          <w:sz w:val="24"/>
          <w:szCs w:val="24"/>
        </w:rPr>
        <w:t xml:space="preserve">Quỹ </w:t>
      </w:r>
      <w:r w:rsidR="00187782" w:rsidRPr="00A770A8">
        <w:rPr>
          <w:rFonts w:ascii="Times New Roman" w:hAnsi="Times New Roman"/>
          <w:b/>
          <w:sz w:val="24"/>
          <w:szCs w:val="24"/>
        </w:rPr>
        <w:t>Đầu tư T</w:t>
      </w:r>
      <w:r w:rsidR="00B948CB" w:rsidRPr="00A770A8">
        <w:rPr>
          <w:rFonts w:ascii="Times New Roman" w:hAnsi="Times New Roman"/>
          <w:b/>
          <w:sz w:val="24"/>
          <w:szCs w:val="24"/>
        </w:rPr>
        <w:t xml:space="preserve">rái phiếu </w:t>
      </w:r>
      <w:r w:rsidR="00187782" w:rsidRPr="00A770A8">
        <w:rPr>
          <w:rFonts w:ascii="Times New Roman" w:hAnsi="Times New Roman"/>
          <w:b/>
          <w:sz w:val="24"/>
          <w:szCs w:val="24"/>
        </w:rPr>
        <w:t>M</w:t>
      </w:r>
      <w:r w:rsidR="00B948CB" w:rsidRPr="00A770A8">
        <w:rPr>
          <w:rFonts w:ascii="Times New Roman" w:hAnsi="Times New Roman"/>
          <w:b/>
          <w:sz w:val="24"/>
          <w:szCs w:val="24"/>
        </w:rPr>
        <w:t>ở rộ</w:t>
      </w:r>
      <w:r w:rsidR="00B4531A" w:rsidRPr="00A770A8">
        <w:rPr>
          <w:rFonts w:ascii="Times New Roman" w:hAnsi="Times New Roman"/>
          <w:b/>
          <w:sz w:val="24"/>
          <w:szCs w:val="24"/>
        </w:rPr>
        <w:t xml:space="preserve">ng Chubb </w:t>
      </w:r>
      <w:r w:rsidR="000460E7" w:rsidRPr="00A770A8">
        <w:rPr>
          <w:rFonts w:ascii="Times New Roman" w:hAnsi="Times New Roman"/>
          <w:b/>
          <w:sz w:val="24"/>
          <w:szCs w:val="24"/>
        </w:rPr>
        <w:t>(CBPF)</w:t>
      </w:r>
      <w:r w:rsidR="00B4531A" w:rsidRPr="00A770A8">
        <w:rPr>
          <w:rFonts w:ascii="Times New Roman" w:hAnsi="Times New Roman"/>
          <w:sz w:val="24"/>
          <w:szCs w:val="24"/>
        </w:rPr>
        <w:t xml:space="preserve">           </w:t>
      </w:r>
      <w:r w:rsidR="00B948CB" w:rsidRPr="00A770A8">
        <w:rPr>
          <w:rFonts w:ascii="Times New Roman" w:hAnsi="Times New Roman"/>
          <w:sz w:val="24"/>
          <w:szCs w:val="24"/>
        </w:rPr>
        <w:t xml:space="preserve">            </w:t>
      </w:r>
      <w:r w:rsidR="00B4531A" w:rsidRPr="00A770A8">
        <w:rPr>
          <w:rFonts w:ascii="Times New Roman" w:hAnsi="Times New Roman"/>
          <w:sz w:val="24"/>
          <w:szCs w:val="24"/>
        </w:rPr>
        <w:t xml:space="preserve">   </w:t>
      </w:r>
    </w:p>
    <w:p w14:paraId="1286E832" w14:textId="77777777" w:rsidR="003F0046" w:rsidRPr="00A770A8" w:rsidRDefault="009C1BA6" w:rsidP="00920A63">
      <w:pPr>
        <w:spacing w:before="120"/>
        <w:ind w:firstLine="720"/>
        <w:jc w:val="both"/>
        <w:rPr>
          <w:rFonts w:ascii="Times New Roman" w:hAnsi="Times New Roman"/>
          <w:sz w:val="24"/>
          <w:szCs w:val="24"/>
        </w:rPr>
      </w:pPr>
      <w:r w:rsidRPr="00A770A8">
        <w:rPr>
          <w:rFonts w:ascii="Times New Roman" w:hAnsi="Times New Roman"/>
          <w:sz w:val="24"/>
          <w:szCs w:val="24"/>
        </w:rPr>
        <w:t xml:space="preserve">- </w:t>
      </w:r>
      <w:r w:rsidR="00B4531A" w:rsidRPr="00A770A8">
        <w:rPr>
          <w:rFonts w:ascii="Times New Roman" w:hAnsi="Times New Roman"/>
          <w:sz w:val="24"/>
          <w:szCs w:val="24"/>
        </w:rPr>
        <w:t xml:space="preserve">Loại hình quỹ: </w:t>
      </w:r>
      <w:r w:rsidR="00B4531A" w:rsidRPr="00A770A8">
        <w:rPr>
          <w:rFonts w:ascii="Times New Roman" w:hAnsi="Times New Roman"/>
          <w:b/>
          <w:sz w:val="24"/>
          <w:szCs w:val="24"/>
        </w:rPr>
        <w:t>Quỹ mở</w:t>
      </w:r>
      <w:r w:rsidR="00B4531A" w:rsidRPr="00A770A8">
        <w:rPr>
          <w:rFonts w:ascii="Times New Roman" w:hAnsi="Times New Roman"/>
          <w:sz w:val="24"/>
          <w:szCs w:val="24"/>
        </w:rPr>
        <w:t xml:space="preserve"> </w:t>
      </w:r>
    </w:p>
    <w:p w14:paraId="5C8693F0" w14:textId="77777777" w:rsidR="009C1BA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b) Mục tiêu đầu tư của </w:t>
      </w:r>
      <w:r w:rsidR="00B4531A" w:rsidRPr="00A770A8">
        <w:rPr>
          <w:rFonts w:ascii="Times New Roman" w:hAnsi="Times New Roman"/>
          <w:sz w:val="24"/>
          <w:szCs w:val="24"/>
        </w:rPr>
        <w:t xml:space="preserve">quỹ: </w:t>
      </w:r>
    </w:p>
    <w:p w14:paraId="31E64CDC" w14:textId="305E9120" w:rsidR="009C1BA6" w:rsidRPr="00A770A8" w:rsidRDefault="009C1BA6" w:rsidP="00920A63">
      <w:pPr>
        <w:pStyle w:val="Default"/>
        <w:keepNext/>
        <w:spacing w:before="120" w:after="120"/>
        <w:jc w:val="both"/>
        <w:rPr>
          <w:lang w:val="vi-VN"/>
        </w:rPr>
      </w:pPr>
      <w:r w:rsidRPr="00A770A8">
        <w:rPr>
          <w:lang w:val="vi-VN"/>
        </w:rPr>
        <w:t>Mục tiêu đầu tư của Quỹ là tối đa hóa lợi nhuận đồng thời bảo toàn vốn cho Nhà Đầu tư thông qua việc đầu tư vào các tài sản có thu nhập cố định</w:t>
      </w:r>
      <w:r w:rsidR="00D145A0" w:rsidRPr="00A770A8">
        <w:t>,</w:t>
      </w:r>
      <w:r w:rsidRPr="00A770A8">
        <w:rPr>
          <w:lang w:val="vi-VN"/>
        </w:rPr>
        <w:t xml:space="preserve">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w:t>
      </w:r>
    </w:p>
    <w:p w14:paraId="6B1F5243" w14:textId="31E0B454"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 xml:space="preserve">c) Thời hạn hoạt động của </w:t>
      </w:r>
      <w:r w:rsidR="00B4531A" w:rsidRPr="00A770A8">
        <w:rPr>
          <w:rFonts w:ascii="Times New Roman" w:hAnsi="Times New Roman"/>
          <w:sz w:val="24"/>
          <w:szCs w:val="24"/>
          <w:lang w:val="vi-VN"/>
        </w:rPr>
        <w:t xml:space="preserve">quỹ (nếu có) : </w:t>
      </w:r>
      <w:r w:rsidR="00576849" w:rsidRPr="00A770A8">
        <w:rPr>
          <w:rFonts w:ascii="Times New Roman" w:hAnsi="Times New Roman"/>
          <w:color w:val="000000"/>
          <w:sz w:val="24"/>
          <w:szCs w:val="24"/>
          <w:lang w:val="vi-VN"/>
        </w:rPr>
        <w:t>Quỹ không giới hạn về thời gian hoạt động</w:t>
      </w:r>
    </w:p>
    <w:p w14:paraId="2BA3B2FA" w14:textId="3255DE3B"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 xml:space="preserve">d) Danh mục tham chiếu </w:t>
      </w:r>
      <w:r w:rsidR="008F4856" w:rsidRPr="00A770A8">
        <w:rPr>
          <w:rFonts w:ascii="Times New Roman" w:hAnsi="Times New Roman"/>
          <w:sz w:val="24"/>
          <w:szCs w:val="24"/>
          <w:lang w:val="vi-VN"/>
        </w:rPr>
        <w:t>(benchmark portfolio)</w:t>
      </w:r>
      <w:r w:rsidR="00B4531A" w:rsidRPr="00A770A8">
        <w:rPr>
          <w:rFonts w:ascii="Times New Roman" w:hAnsi="Times New Roman"/>
          <w:sz w:val="24"/>
          <w:szCs w:val="24"/>
          <w:lang w:val="vi-VN"/>
        </w:rPr>
        <w:t xml:space="preserve"> : Không </w:t>
      </w:r>
      <w:r w:rsidR="0008061C" w:rsidRPr="00A770A8">
        <w:rPr>
          <w:rFonts w:ascii="Times New Roman" w:hAnsi="Times New Roman"/>
          <w:sz w:val="24"/>
          <w:szCs w:val="24"/>
          <w:lang w:val="vi-VN"/>
        </w:rPr>
        <w:t>áp dụng</w:t>
      </w:r>
    </w:p>
    <w:p w14:paraId="4215E42E" w14:textId="3219357C"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 xml:space="preserve">e) Chính sách phân </w:t>
      </w:r>
      <w:r w:rsidR="00B4531A" w:rsidRPr="00A770A8">
        <w:rPr>
          <w:rFonts w:ascii="Times New Roman" w:hAnsi="Times New Roman"/>
          <w:sz w:val="24"/>
          <w:szCs w:val="24"/>
          <w:lang w:val="vi-VN"/>
        </w:rPr>
        <w:t xml:space="preserve">chia lợi nhuận: </w:t>
      </w:r>
      <w:r w:rsidR="00333F89" w:rsidRPr="00A770A8">
        <w:rPr>
          <w:rFonts w:ascii="Times New Roman" w:hAnsi="Times New Roman"/>
          <w:sz w:val="24"/>
          <w:szCs w:val="24"/>
          <w:lang w:val="nl-NL"/>
        </w:rPr>
        <w:t>Quỹ phân phối lợi nhuận cho nhà đầu tư dựa trên Nghị quyết của Đại hội nhà đầu tư, phù hợp với Điều lệ của Quỹ và quy định của pháp luật chứng khoán hiện hành.</w:t>
      </w:r>
    </w:p>
    <w:p w14:paraId="5CDF9DDD" w14:textId="7F9D2385"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 xml:space="preserve">f) Số lượng đơn vị quỹ đang </w:t>
      </w:r>
      <w:r w:rsidR="00B4531A" w:rsidRPr="00A770A8">
        <w:rPr>
          <w:rFonts w:ascii="Times New Roman" w:hAnsi="Times New Roman"/>
          <w:sz w:val="24"/>
          <w:szCs w:val="24"/>
          <w:lang w:val="vi-VN"/>
        </w:rPr>
        <w:t>lưu hành:</w:t>
      </w:r>
      <w:r w:rsidR="00B62781" w:rsidRPr="00A770A8">
        <w:rPr>
          <w:rFonts w:ascii="Times New Roman" w:hAnsi="Times New Roman"/>
          <w:sz w:val="24"/>
          <w:szCs w:val="24"/>
          <w:lang w:val="vi-VN"/>
        </w:rPr>
        <w:t xml:space="preserve">  </w:t>
      </w:r>
      <w:r w:rsidR="008F4856" w:rsidRPr="00A770A8">
        <w:rPr>
          <w:rFonts w:ascii="Times New Roman" w:hAnsi="Times New Roman"/>
          <w:sz w:val="24"/>
          <w:szCs w:val="24"/>
          <w:lang w:val="vi-VN"/>
        </w:rPr>
        <w:t>10</w:t>
      </w:r>
      <w:r w:rsidR="00576849" w:rsidRPr="00A770A8">
        <w:rPr>
          <w:rFonts w:ascii="Times New Roman" w:hAnsi="Times New Roman"/>
          <w:sz w:val="24"/>
          <w:szCs w:val="24"/>
          <w:lang w:val="vi-VN"/>
        </w:rPr>
        <w:t>.</w:t>
      </w:r>
      <w:r w:rsidR="008F4856" w:rsidRPr="00A770A8">
        <w:rPr>
          <w:rFonts w:ascii="Times New Roman" w:hAnsi="Times New Roman"/>
          <w:sz w:val="24"/>
          <w:szCs w:val="24"/>
          <w:lang w:val="vi-VN"/>
        </w:rPr>
        <w:t>051</w:t>
      </w:r>
      <w:r w:rsidR="00576849" w:rsidRPr="00A770A8">
        <w:rPr>
          <w:rFonts w:ascii="Times New Roman" w:hAnsi="Times New Roman"/>
          <w:sz w:val="24"/>
          <w:szCs w:val="24"/>
          <w:lang w:val="vi-VN"/>
        </w:rPr>
        <w:t>.088,</w:t>
      </w:r>
      <w:r w:rsidR="008F4856" w:rsidRPr="00A770A8">
        <w:rPr>
          <w:rFonts w:ascii="Times New Roman" w:hAnsi="Times New Roman"/>
          <w:sz w:val="24"/>
          <w:szCs w:val="24"/>
          <w:lang w:val="vi-VN"/>
        </w:rPr>
        <w:t xml:space="preserve">93 </w:t>
      </w:r>
      <w:r w:rsidR="00B62781" w:rsidRPr="00A770A8">
        <w:rPr>
          <w:rFonts w:ascii="Times New Roman" w:hAnsi="Times New Roman"/>
          <w:sz w:val="24"/>
          <w:szCs w:val="24"/>
          <w:lang w:val="vi-VN"/>
        </w:rPr>
        <w:t xml:space="preserve"> đơn vị quỹ</w:t>
      </w:r>
    </w:p>
    <w:p w14:paraId="09B8095F" w14:textId="5F7FB766"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g) Nội dung thay đổi t</w:t>
      </w:r>
      <w:r w:rsidR="00375101" w:rsidRPr="00A770A8">
        <w:rPr>
          <w:rFonts w:ascii="Times New Roman" w:hAnsi="Times New Roman"/>
          <w:sz w:val="24"/>
          <w:szCs w:val="24"/>
          <w:lang w:val="vi-VN"/>
        </w:rPr>
        <w:t>ại Điều lệ Quỹ trong kỳ báo cáo</w:t>
      </w:r>
      <w:r w:rsidR="00B62781" w:rsidRPr="00A770A8">
        <w:rPr>
          <w:rFonts w:ascii="Times New Roman" w:hAnsi="Times New Roman"/>
          <w:sz w:val="24"/>
          <w:szCs w:val="24"/>
          <w:lang w:val="vi-VN"/>
        </w:rPr>
        <w:t xml:space="preserve">: </w:t>
      </w:r>
      <w:r w:rsidR="00034B0F" w:rsidRPr="00A770A8">
        <w:rPr>
          <w:rFonts w:ascii="Times New Roman" w:hAnsi="Times New Roman"/>
          <w:sz w:val="24"/>
          <w:szCs w:val="24"/>
          <w:lang w:val="vi-VN"/>
        </w:rPr>
        <w:t>K</w:t>
      </w:r>
      <w:r w:rsidR="00B62781" w:rsidRPr="00A770A8">
        <w:rPr>
          <w:rFonts w:ascii="Times New Roman" w:hAnsi="Times New Roman"/>
          <w:sz w:val="24"/>
          <w:szCs w:val="24"/>
          <w:lang w:val="vi-VN"/>
        </w:rPr>
        <w:t>hông</w:t>
      </w:r>
    </w:p>
    <w:p w14:paraId="2FDA00DF" w14:textId="296EF6B4" w:rsidR="00F32A3D"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h) Nội dung Nghị quyết Đại hội nhà đ</w:t>
      </w:r>
      <w:r w:rsidR="00375101" w:rsidRPr="00A770A8">
        <w:rPr>
          <w:rFonts w:ascii="Times New Roman" w:hAnsi="Times New Roman"/>
          <w:sz w:val="24"/>
          <w:szCs w:val="24"/>
          <w:lang w:val="vi-VN"/>
        </w:rPr>
        <w:t>ầu tư trong kỳ báo cáo</w:t>
      </w:r>
      <w:r w:rsidR="00B62781" w:rsidRPr="00A770A8">
        <w:rPr>
          <w:rFonts w:ascii="Times New Roman" w:hAnsi="Times New Roman"/>
          <w:sz w:val="24"/>
          <w:szCs w:val="24"/>
          <w:lang w:val="vi-VN"/>
        </w:rPr>
        <w:t xml:space="preserve">: </w:t>
      </w:r>
      <w:r w:rsidR="006D5D37" w:rsidRPr="00A770A8">
        <w:rPr>
          <w:rFonts w:ascii="Times New Roman" w:hAnsi="Times New Roman"/>
          <w:sz w:val="24"/>
          <w:szCs w:val="24"/>
          <w:lang w:val="vi-VN"/>
        </w:rPr>
        <w:t xml:space="preserve">Quỹ nhận Giấy phép </w:t>
      </w:r>
      <w:r w:rsidR="000435CC" w:rsidRPr="00A770A8">
        <w:rPr>
          <w:rFonts w:ascii="Times New Roman" w:hAnsi="Times New Roman"/>
          <w:sz w:val="24"/>
          <w:szCs w:val="24"/>
          <w:lang w:val="vi-VN"/>
        </w:rPr>
        <w:t>lập Quỹ số 35/GCN-UBCK cấp bởi Ủy ban Chứng Khoán Nhà Nước ngày 03/04/2019. Trong đợt chào bán Chứng chỉ Quỹ lần đầu ra công chúng</w:t>
      </w:r>
      <w:r w:rsidR="00034B0F" w:rsidRPr="00A770A8">
        <w:rPr>
          <w:rFonts w:ascii="Times New Roman" w:hAnsi="Times New Roman"/>
          <w:sz w:val="24"/>
          <w:szCs w:val="24"/>
          <w:lang w:val="vi-VN"/>
        </w:rPr>
        <w:t xml:space="preserve"> (</w:t>
      </w:r>
      <w:r w:rsidR="006D5D37" w:rsidRPr="00A770A8">
        <w:rPr>
          <w:rFonts w:ascii="Times New Roman" w:hAnsi="Times New Roman"/>
          <w:sz w:val="24"/>
          <w:szCs w:val="24"/>
          <w:lang w:val="vi-VN"/>
        </w:rPr>
        <w:t>t</w:t>
      </w:r>
      <w:r w:rsidR="000435CC" w:rsidRPr="00A770A8">
        <w:rPr>
          <w:rFonts w:ascii="Times New Roman" w:hAnsi="Times New Roman"/>
          <w:sz w:val="24"/>
          <w:szCs w:val="24"/>
          <w:lang w:val="vi-VN"/>
        </w:rPr>
        <w:t>ừ 22/11/2018 đến 08/01/2019), Công ty Quản lý Quỹ</w:t>
      </w:r>
      <w:r w:rsidR="006D5D37" w:rsidRPr="00A770A8">
        <w:rPr>
          <w:rFonts w:ascii="Times New Roman" w:hAnsi="Times New Roman"/>
          <w:sz w:val="24"/>
          <w:szCs w:val="24"/>
          <w:lang w:val="vi-VN"/>
        </w:rPr>
        <w:t xml:space="preserve"> </w:t>
      </w:r>
      <w:r w:rsidR="00F32A3D" w:rsidRPr="00A770A8">
        <w:rPr>
          <w:rFonts w:ascii="Times New Roman" w:hAnsi="Times New Roman"/>
          <w:sz w:val="24"/>
          <w:szCs w:val="24"/>
          <w:lang w:val="vi-VN"/>
        </w:rPr>
        <w:t>không thực hiện tổ chức Đại hội Nhà đầu tư lần thứ nhất mà chỉ tiến hành lấy ý kiến bằng văn bản về các vấn đề liên quan đến hoạt động của Quỹ. Kết quả thông qua được các nội dung sau:</w:t>
      </w:r>
    </w:p>
    <w:p w14:paraId="14588394" w14:textId="77777777" w:rsidR="00F32A3D" w:rsidRPr="00A770A8" w:rsidRDefault="00F32A3D" w:rsidP="00920A63">
      <w:pPr>
        <w:pStyle w:val="ListParagraph"/>
        <w:numPr>
          <w:ilvl w:val="0"/>
          <w:numId w:val="12"/>
        </w:numPr>
        <w:autoSpaceDE w:val="0"/>
        <w:autoSpaceDN w:val="0"/>
        <w:adjustRightInd w:val="0"/>
        <w:spacing w:after="120"/>
        <w:contextualSpacing w:val="0"/>
        <w:jc w:val="both"/>
        <w:rPr>
          <w:b w:val="0"/>
          <w:lang w:val="vi-VN"/>
        </w:rPr>
      </w:pPr>
      <w:r w:rsidRPr="00A770A8">
        <w:rPr>
          <w:b w:val="0"/>
          <w:lang w:val="vi-VN"/>
        </w:rPr>
        <w:t>Thông qua Điều lệ, Bản cáo bạch, Bản cáo bạch tóm tắt của Quỹ CBPF.</w:t>
      </w:r>
    </w:p>
    <w:p w14:paraId="22BC7073" w14:textId="0E6EF076" w:rsidR="00F32A3D" w:rsidRPr="00A770A8" w:rsidRDefault="00F32A3D" w:rsidP="00920A63">
      <w:pPr>
        <w:pStyle w:val="ListParagraph"/>
        <w:numPr>
          <w:ilvl w:val="0"/>
          <w:numId w:val="12"/>
        </w:numPr>
        <w:autoSpaceDE w:val="0"/>
        <w:autoSpaceDN w:val="0"/>
        <w:adjustRightInd w:val="0"/>
        <w:spacing w:after="120"/>
        <w:contextualSpacing w:val="0"/>
        <w:jc w:val="both"/>
        <w:rPr>
          <w:b w:val="0"/>
          <w:lang w:val="vi-VN"/>
        </w:rPr>
      </w:pPr>
      <w:r w:rsidRPr="00A770A8">
        <w:rPr>
          <w:b w:val="0"/>
          <w:lang w:val="vi-VN"/>
        </w:rPr>
        <w:t>Ban đại diện Quỹ nhiệm kỳ 2019</w:t>
      </w:r>
      <w:r w:rsidR="007C4314" w:rsidRPr="00A770A8">
        <w:rPr>
          <w:b w:val="0"/>
          <w:lang w:val="vi-VN"/>
        </w:rPr>
        <w:t xml:space="preserve"> </w:t>
      </w:r>
      <w:r w:rsidRPr="00A770A8">
        <w:rPr>
          <w:b w:val="0"/>
          <w:lang w:val="vi-VN"/>
        </w:rPr>
        <w:t>-</w:t>
      </w:r>
      <w:r w:rsidR="007C4314" w:rsidRPr="00A770A8">
        <w:rPr>
          <w:b w:val="0"/>
          <w:lang w:val="vi-VN"/>
        </w:rPr>
        <w:t xml:space="preserve"> </w:t>
      </w:r>
      <w:r w:rsidRPr="00A770A8">
        <w:rPr>
          <w:b w:val="0"/>
          <w:lang w:val="vi-VN"/>
        </w:rPr>
        <w:t>2021 bao gồm:</w:t>
      </w:r>
    </w:p>
    <w:p w14:paraId="3232C1A5" w14:textId="77777777" w:rsidR="00F32A3D" w:rsidRPr="00A770A8" w:rsidRDefault="00F32A3D" w:rsidP="00920A63">
      <w:pPr>
        <w:numPr>
          <w:ilvl w:val="0"/>
          <w:numId w:val="11"/>
        </w:numPr>
        <w:tabs>
          <w:tab w:val="left" w:pos="1080"/>
        </w:tabs>
        <w:autoSpaceDE w:val="0"/>
        <w:autoSpaceDN w:val="0"/>
        <w:adjustRightInd w:val="0"/>
        <w:ind w:left="1080" w:firstLine="0"/>
        <w:jc w:val="both"/>
        <w:rPr>
          <w:rFonts w:ascii="Times New Roman" w:hAnsi="Times New Roman"/>
          <w:sz w:val="24"/>
          <w:szCs w:val="24"/>
          <w:lang w:val="vi-VN"/>
        </w:rPr>
      </w:pPr>
      <w:r w:rsidRPr="00A770A8">
        <w:rPr>
          <w:rFonts w:ascii="Times New Roman" w:hAnsi="Times New Roman"/>
          <w:sz w:val="24"/>
          <w:szCs w:val="24"/>
          <w:lang w:val="vi-VN"/>
        </w:rPr>
        <w:t>Ông Trịnh Thanh Cần – Chủ tịch Ban Đại Diện Quỹ</w:t>
      </w:r>
    </w:p>
    <w:p w14:paraId="603BB6EC" w14:textId="77777777" w:rsidR="00F32A3D" w:rsidRPr="00A770A8" w:rsidRDefault="00F32A3D" w:rsidP="00920A63">
      <w:pPr>
        <w:numPr>
          <w:ilvl w:val="0"/>
          <w:numId w:val="11"/>
        </w:numPr>
        <w:tabs>
          <w:tab w:val="left" w:pos="1080"/>
        </w:tabs>
        <w:autoSpaceDE w:val="0"/>
        <w:autoSpaceDN w:val="0"/>
        <w:adjustRightInd w:val="0"/>
        <w:ind w:left="1080" w:firstLine="0"/>
        <w:jc w:val="both"/>
        <w:rPr>
          <w:rFonts w:ascii="Times New Roman" w:hAnsi="Times New Roman"/>
          <w:sz w:val="24"/>
          <w:szCs w:val="24"/>
          <w:lang w:val="vi-VN"/>
        </w:rPr>
      </w:pPr>
      <w:r w:rsidRPr="00A770A8">
        <w:rPr>
          <w:rFonts w:ascii="Times New Roman" w:hAnsi="Times New Roman"/>
          <w:sz w:val="24"/>
          <w:szCs w:val="24"/>
          <w:lang w:val="vi-VN"/>
        </w:rPr>
        <w:t>Ông Nguyễn Trọng Đức – Thành viên độc lập</w:t>
      </w:r>
    </w:p>
    <w:p w14:paraId="6DE56FB9" w14:textId="77777777" w:rsidR="00F32A3D" w:rsidRPr="00A770A8" w:rsidRDefault="00F32A3D" w:rsidP="00920A63">
      <w:pPr>
        <w:numPr>
          <w:ilvl w:val="0"/>
          <w:numId w:val="11"/>
        </w:numPr>
        <w:tabs>
          <w:tab w:val="left" w:pos="1080"/>
        </w:tabs>
        <w:autoSpaceDE w:val="0"/>
        <w:autoSpaceDN w:val="0"/>
        <w:adjustRightInd w:val="0"/>
        <w:ind w:left="1080" w:firstLine="0"/>
        <w:jc w:val="both"/>
        <w:rPr>
          <w:rFonts w:ascii="Times New Roman" w:hAnsi="Times New Roman"/>
          <w:sz w:val="24"/>
          <w:szCs w:val="24"/>
          <w:lang w:val="vi-VN"/>
        </w:rPr>
      </w:pPr>
      <w:r w:rsidRPr="00A770A8">
        <w:rPr>
          <w:rFonts w:ascii="Times New Roman" w:hAnsi="Times New Roman"/>
          <w:sz w:val="24"/>
          <w:szCs w:val="24"/>
          <w:lang w:val="vi-VN"/>
        </w:rPr>
        <w:t>Bà Trần Việt Hương – Thành viên độc lập</w:t>
      </w:r>
    </w:p>
    <w:p w14:paraId="15FBECF1" w14:textId="77777777" w:rsidR="00F32A3D" w:rsidRPr="00A770A8" w:rsidRDefault="00F32A3D" w:rsidP="00920A63">
      <w:pPr>
        <w:tabs>
          <w:tab w:val="left" w:pos="1080"/>
        </w:tabs>
        <w:autoSpaceDE w:val="0"/>
        <w:autoSpaceDN w:val="0"/>
        <w:adjustRightInd w:val="0"/>
        <w:ind w:left="1080"/>
        <w:jc w:val="both"/>
        <w:rPr>
          <w:rFonts w:ascii="Times New Roman" w:hAnsi="Times New Roman"/>
          <w:sz w:val="24"/>
          <w:szCs w:val="24"/>
          <w:lang w:val="vi-VN"/>
        </w:rPr>
      </w:pPr>
    </w:p>
    <w:p w14:paraId="7CBDA034" w14:textId="77777777" w:rsidR="00F32A3D" w:rsidRPr="00A770A8" w:rsidRDefault="00F32A3D" w:rsidP="00920A63">
      <w:pPr>
        <w:pStyle w:val="ListParagraph"/>
        <w:numPr>
          <w:ilvl w:val="0"/>
          <w:numId w:val="12"/>
        </w:numPr>
        <w:autoSpaceDE w:val="0"/>
        <w:autoSpaceDN w:val="0"/>
        <w:adjustRightInd w:val="0"/>
        <w:spacing w:after="120"/>
        <w:contextualSpacing w:val="0"/>
        <w:jc w:val="both"/>
        <w:rPr>
          <w:b w:val="0"/>
          <w:lang w:val="vi-VN"/>
        </w:rPr>
      </w:pPr>
      <w:r w:rsidRPr="00A770A8">
        <w:rPr>
          <w:b w:val="0"/>
          <w:lang w:val="vi-VN"/>
        </w:rPr>
        <w:t>Thông qua thù lao của Ban đại diện Quỹ là 5.000.000 VNĐ/người/tháng, thanh toán vào ngày cuối cùng của mỗi Quý.</w:t>
      </w:r>
    </w:p>
    <w:p w14:paraId="11B7F61C" w14:textId="77777777" w:rsidR="00F32A3D" w:rsidRPr="00A770A8" w:rsidRDefault="00F32A3D" w:rsidP="00920A63">
      <w:pPr>
        <w:pStyle w:val="ListParagraph"/>
        <w:numPr>
          <w:ilvl w:val="0"/>
          <w:numId w:val="12"/>
        </w:numPr>
        <w:autoSpaceDE w:val="0"/>
        <w:autoSpaceDN w:val="0"/>
        <w:adjustRightInd w:val="0"/>
        <w:spacing w:after="120"/>
        <w:contextualSpacing w:val="0"/>
        <w:jc w:val="both"/>
        <w:rPr>
          <w:b w:val="0"/>
          <w:lang w:val="vi-VN"/>
        </w:rPr>
      </w:pPr>
      <w:r w:rsidRPr="00A770A8">
        <w:rPr>
          <w:b w:val="0"/>
          <w:lang w:val="vi-VN"/>
        </w:rPr>
        <w:t>Thông qua việc chỉ định Ngân hàng TNHH Một Thành Viên Standard Chartered (Việt Nam) (“SCB”) là Ngân hàng giám sát của Quỹ CBPF và thông qua Hợp đồng Giám sát và Lưu ký đã được ký kết giữa Chubb Life FMC và SCB.</w:t>
      </w:r>
    </w:p>
    <w:p w14:paraId="59695687" w14:textId="77777777" w:rsidR="00F32A3D" w:rsidRPr="00A770A8" w:rsidRDefault="00F32A3D" w:rsidP="00920A63">
      <w:pPr>
        <w:pStyle w:val="ListParagraph"/>
        <w:numPr>
          <w:ilvl w:val="0"/>
          <w:numId w:val="12"/>
        </w:numPr>
        <w:autoSpaceDE w:val="0"/>
        <w:autoSpaceDN w:val="0"/>
        <w:adjustRightInd w:val="0"/>
        <w:spacing w:after="120"/>
        <w:contextualSpacing w:val="0"/>
        <w:jc w:val="both"/>
        <w:rPr>
          <w:b w:val="0"/>
          <w:lang w:val="vi-VN"/>
        </w:rPr>
      </w:pPr>
      <w:r w:rsidRPr="00A770A8">
        <w:rPr>
          <w:b w:val="0"/>
          <w:lang w:val="vi-VN"/>
        </w:rPr>
        <w:lastRenderedPageBreak/>
        <w:t>Thông qua (i) việc chỉ định Trung tâm Lưu ký chứng khoán Việt Nam (“VSD”) là Tổ chức cung cấp dịch vụ Đại lý chuyển nhượng của Quỹ CBPF, (ii) việc chỉ định Ngân hàng TNHH Một Thành Viên Standard Chartered (Việt Nam) (“SCB”) là Tổ chức cung cấp dịch vụ Quản trị Quỹ của Quỹ CBPF, và (iii) Hợp đồng Đại lý chuyển nhượng đã được ký kết giữa Chubb Life FMC và VSD; Hợp đồng Quản trị quỹ đã được ký kết giữa Chubb Life FMC và SCB.</w:t>
      </w:r>
    </w:p>
    <w:p w14:paraId="744C2C11" w14:textId="703127B9" w:rsidR="003F0046" w:rsidRPr="00A770A8" w:rsidRDefault="00F32A3D" w:rsidP="00920A63">
      <w:pPr>
        <w:pStyle w:val="ListParagraph"/>
        <w:numPr>
          <w:ilvl w:val="0"/>
          <w:numId w:val="12"/>
        </w:numPr>
        <w:autoSpaceDE w:val="0"/>
        <w:autoSpaceDN w:val="0"/>
        <w:adjustRightInd w:val="0"/>
        <w:spacing w:after="120"/>
        <w:contextualSpacing w:val="0"/>
        <w:jc w:val="both"/>
        <w:rPr>
          <w:b w:val="0"/>
          <w:lang w:val="vi-VN"/>
        </w:rPr>
      </w:pPr>
      <w:r w:rsidRPr="00A770A8">
        <w:rPr>
          <w:b w:val="0"/>
          <w:lang w:val="vi-VN"/>
        </w:rPr>
        <w:t xml:space="preserve">Thông qua việc chỉ định Công ty kiểm toán </w:t>
      </w:r>
      <w:r w:rsidR="00034B0F" w:rsidRPr="00A770A8">
        <w:rPr>
          <w:b w:val="0"/>
          <w:lang w:val="vi-VN"/>
        </w:rPr>
        <w:t>PwC</w:t>
      </w:r>
      <w:r w:rsidRPr="00A770A8">
        <w:rPr>
          <w:b w:val="0"/>
          <w:lang w:val="vi-VN"/>
        </w:rPr>
        <w:t xml:space="preserve"> là Công ty kiểm toán của Quỹ CBPF và ủy quyền cho Ban đại diện Quỹ lựa chọn Công ty kiểm toán cho Quỹ CBPF hàng năm.</w:t>
      </w:r>
    </w:p>
    <w:p w14:paraId="29438EF9" w14:textId="77777777" w:rsidR="003F0046" w:rsidRPr="00A770A8" w:rsidRDefault="003F0046" w:rsidP="00920A63">
      <w:pPr>
        <w:spacing w:before="120"/>
        <w:jc w:val="both"/>
        <w:rPr>
          <w:rFonts w:ascii="Times New Roman" w:hAnsi="Times New Roman"/>
          <w:sz w:val="24"/>
          <w:szCs w:val="24"/>
          <w:lang w:val="vi-VN"/>
        </w:rPr>
      </w:pPr>
      <w:r w:rsidRPr="00A770A8">
        <w:rPr>
          <w:rFonts w:ascii="Times New Roman" w:hAnsi="Times New Roman"/>
          <w:sz w:val="24"/>
          <w:szCs w:val="24"/>
          <w:lang w:val="vi-VN"/>
        </w:rPr>
        <w:t xml:space="preserve">i) Ý kiến nhận xét của Ngân hàng giám sát về các nội dung quy định tại Điều 45 Thông tư hướng dẫn thành lập và quản </w:t>
      </w:r>
      <w:r w:rsidR="005B6283" w:rsidRPr="00A770A8">
        <w:rPr>
          <w:rFonts w:ascii="Times New Roman" w:hAnsi="Times New Roman"/>
          <w:sz w:val="24"/>
          <w:szCs w:val="24"/>
          <w:lang w:val="vi-VN"/>
        </w:rPr>
        <w:t>lý quỹ mở:</w:t>
      </w:r>
    </w:p>
    <w:p w14:paraId="6BADB994" w14:textId="77777777" w:rsidR="00021FF6" w:rsidRPr="00A770A8" w:rsidRDefault="00021FF6" w:rsidP="00920A63">
      <w:pPr>
        <w:pStyle w:val="ListParagraph"/>
        <w:numPr>
          <w:ilvl w:val="0"/>
          <w:numId w:val="10"/>
        </w:numPr>
        <w:shd w:val="clear" w:color="auto" w:fill="FFFFFF"/>
        <w:spacing w:before="120" w:after="120"/>
        <w:contextualSpacing w:val="0"/>
        <w:jc w:val="both"/>
        <w:rPr>
          <w:b w:val="0"/>
          <w:lang w:val="nl-NL"/>
        </w:rPr>
      </w:pPr>
      <w:r w:rsidRPr="00A770A8">
        <w:rPr>
          <w:b w:val="0"/>
          <w:lang w:val="nl-NL"/>
        </w:rPr>
        <w:t>Trong quá trình giám sát hoạt động đầu tư và các giao dịch tài sản của Quỹ cho giai đoạn từ ngày 03 tháng 04 năm 2019 là ngày thành lập Quỹ đến ngày 30 tháng 06 năm 2019, hạn mức đầu tư của Quỹ đã phát sinh sai lệch so với quy định tại các văn bản pháp luật chứng khoán hiện hành về Quỹ mở, Bản cáo bạch của Quỹ và văn bản pháp luật có liên quan, cụ thể như sau:</w:t>
      </w:r>
    </w:p>
    <w:p w14:paraId="02B562BF" w14:textId="77777777" w:rsidR="00021FF6" w:rsidRPr="00A770A8" w:rsidRDefault="00021FF6" w:rsidP="00920A63">
      <w:pPr>
        <w:pStyle w:val="ListParagraph"/>
        <w:spacing w:before="120" w:after="120"/>
        <w:jc w:val="both"/>
        <w:rPr>
          <w:b w:val="0"/>
          <w:i/>
          <w:lang w:val="nl-NL"/>
        </w:rPr>
      </w:pPr>
      <w:r w:rsidRPr="00A770A8">
        <w:rPr>
          <w:b w:val="0"/>
          <w:lang w:val="nl-NL"/>
        </w:rPr>
        <w:t>Theo Thông tư 15/2016/TT-BTC (“Thông tư 15”) ngày 20 tháng 01 năm 2016 về việc sửa đổi, bổ sung một số điều của Thông tư số 183/2011/TT-BTC (“Thông tư 183”) ngày 16 tháng 12 năm 2011 và Điều 11, Điều lệ Quỹ quy định: “Quỹ trái phiếu là quỹ mở đầu tư vào các loại tín phiếu, trái phiếu, giấy tờ có giá và các công cụ có thu nhập cố định khác với tỷ trọng đầu tư vào các tài sản này chiếm từ tám mươi phần trăm (80%) giá trị tài sản ròng trở lên.”</w:t>
      </w:r>
      <w:r w:rsidRPr="00A770A8">
        <w:rPr>
          <w:b w:val="0"/>
          <w:i/>
          <w:lang w:val="nl-NL"/>
        </w:rPr>
        <w:t xml:space="preserve"> </w:t>
      </w:r>
      <w:r w:rsidRPr="00A770A8">
        <w:rPr>
          <w:b w:val="0"/>
          <w:lang w:val="nl-NL"/>
        </w:rPr>
        <w:t>Trường hợp phát sinh sai lệch, Công ty Quản lý Quỹ phải điều chỉnh lại danh mục để đáp ứng quy định pháp luật trong thời gian cho phép.</w:t>
      </w:r>
    </w:p>
    <w:p w14:paraId="0399F628" w14:textId="77777777" w:rsidR="00021FF6" w:rsidRPr="00A770A8" w:rsidRDefault="00021FF6" w:rsidP="00920A63">
      <w:pPr>
        <w:pStyle w:val="ListParagraph"/>
        <w:shd w:val="clear" w:color="auto" w:fill="FFFFFF"/>
        <w:spacing w:before="120" w:after="120"/>
        <w:contextualSpacing w:val="0"/>
        <w:jc w:val="both"/>
        <w:rPr>
          <w:b w:val="0"/>
          <w:lang w:val="nl-NL"/>
        </w:rPr>
      </w:pPr>
      <w:r w:rsidRPr="00A770A8">
        <w:rPr>
          <w:b w:val="0"/>
          <w:lang w:val="nl-NL"/>
        </w:rPr>
        <w:t>Từ kỳ định giá ngày 10 tháng 04 năm 2019 đến ngày 22 tháng 05 năm 2019, tổng giá trị đầu tư vào giấy tờ có giá và các công cụ có thu nhập cố định đã phát sinh sai lệch so với hạn mức 80% giá trị tài sản ròng của Quỹ. Công ty Quản lý Quỹ phải điều chỉnh danh mục đầu tư để đáp ứng hạn mức đầu tư theo quy định pháp luật trong thời gian sớm nhất.</w:t>
      </w:r>
    </w:p>
    <w:p w14:paraId="44851BEC" w14:textId="40B4A293" w:rsidR="00021FF6" w:rsidRPr="00A770A8" w:rsidRDefault="00021FF6" w:rsidP="00920A63">
      <w:pPr>
        <w:pStyle w:val="ListParagraph"/>
        <w:shd w:val="clear" w:color="auto" w:fill="FFFFFF"/>
        <w:spacing w:before="120" w:after="120"/>
        <w:contextualSpacing w:val="0"/>
        <w:jc w:val="both"/>
        <w:rPr>
          <w:b w:val="0"/>
          <w:lang w:val="nl-NL"/>
        </w:rPr>
      </w:pPr>
      <w:r w:rsidRPr="00A770A8">
        <w:rPr>
          <w:b w:val="0"/>
          <w:lang w:val="nl-NL"/>
        </w:rPr>
        <w:t>Tại kỳ định giá ngày 29 tháng 05 năm 2019, Công ty Quản lý Quỹ đã điều chỉnh lại danh mục đầu tư để đáp ứng quy định tại Thông tư 15 và Điều 11, Điều lệ Quỹ cho các sai lệch phát sinh từ kỳ định giá ngày 10 tháng 04 năm 2019 đến ngày 22 tháng 05 năm 2019.</w:t>
      </w:r>
    </w:p>
    <w:p w14:paraId="418D10D4" w14:textId="77777777" w:rsidR="00021FF6" w:rsidRPr="00A770A8" w:rsidRDefault="00021FF6" w:rsidP="00920A63">
      <w:pPr>
        <w:pStyle w:val="ListParagraph"/>
        <w:shd w:val="clear" w:color="auto" w:fill="FFFFFF"/>
        <w:spacing w:before="120" w:after="120"/>
        <w:contextualSpacing w:val="0"/>
        <w:jc w:val="both"/>
        <w:rPr>
          <w:b w:val="0"/>
          <w:lang w:val="nl-NL"/>
        </w:rPr>
      </w:pPr>
      <w:r w:rsidRPr="00A770A8">
        <w:rPr>
          <w:b w:val="0"/>
          <w:lang w:val="nl-NL"/>
        </w:rPr>
        <w:t>Tại ngày 30 tháng 06 năm 2019, do số lượng tiền đặt mua chứng chỉ Quỹ lớn, tuy nhiên Công ty Quản lý Quỹ chưa kịp thời tiến hành đầu tư dẫn tới tổng giá trị đầu tư vào giấy tờ có giá và các công cụ có thu nhập cố định đã phát sinh sai lệch so với hạn mức 80% giá trị tài sản ròng của Quỹ. Công ty Quản lý Quỹ phải điều chỉnh danh mục đầu tư để đáp ứng hạn mức đầu tư theo quy định pháp luật trong thời gian sớm nhất.</w:t>
      </w:r>
    </w:p>
    <w:p w14:paraId="5BCB7958" w14:textId="34D95DA2" w:rsidR="00021FF6" w:rsidRPr="00A770A8" w:rsidRDefault="00021FF6" w:rsidP="00920A63">
      <w:pPr>
        <w:pStyle w:val="ListParagraph"/>
        <w:numPr>
          <w:ilvl w:val="0"/>
          <w:numId w:val="10"/>
        </w:numPr>
        <w:shd w:val="clear" w:color="auto" w:fill="FFFFFF"/>
        <w:spacing w:before="120" w:after="120"/>
        <w:contextualSpacing w:val="0"/>
        <w:jc w:val="both"/>
        <w:rPr>
          <w:b w:val="0"/>
          <w:lang w:val="nl-NL"/>
        </w:rPr>
      </w:pPr>
      <w:r w:rsidRPr="00A770A8">
        <w:rPr>
          <w:b w:val="0"/>
          <w:lang w:val="nl-NL"/>
        </w:rPr>
        <w:t>Việc định giá, đánh giá tài sản của Quỹ đã phù hợp với Điều lệ Quỹ, Bản cáo bạch của Quỹ và các văn bản pháp luật liên quan.</w:t>
      </w:r>
    </w:p>
    <w:p w14:paraId="27FB0720" w14:textId="5A491711" w:rsidR="00021FF6" w:rsidRPr="00A770A8" w:rsidRDefault="00021FF6" w:rsidP="00920A63">
      <w:pPr>
        <w:pStyle w:val="ListParagraph"/>
        <w:numPr>
          <w:ilvl w:val="0"/>
          <w:numId w:val="10"/>
        </w:numPr>
        <w:shd w:val="clear" w:color="auto" w:fill="FFFFFF"/>
        <w:spacing w:before="120" w:after="120"/>
        <w:jc w:val="both"/>
        <w:rPr>
          <w:b w:val="0"/>
          <w:lang w:val="nl-NL"/>
        </w:rPr>
      </w:pPr>
      <w:r w:rsidRPr="00A770A8">
        <w:rPr>
          <w:b w:val="0"/>
          <w:lang w:val="nl-NL"/>
        </w:rPr>
        <w:t>Phát hành và mua lại Chứng chỉ Quỹ đã phù hợp với Điều lệ Quỹ, Bản cáo bạch của Quỹ và các văn bản pháp luật liên quan.</w:t>
      </w:r>
    </w:p>
    <w:p w14:paraId="644D2E84" w14:textId="5FACC9DE" w:rsidR="00021FF6" w:rsidRPr="00A770A8" w:rsidRDefault="00021FF6" w:rsidP="00920A63">
      <w:pPr>
        <w:pStyle w:val="ListParagraph"/>
        <w:numPr>
          <w:ilvl w:val="0"/>
          <w:numId w:val="10"/>
        </w:numPr>
        <w:shd w:val="clear" w:color="auto" w:fill="FFFFFF"/>
        <w:spacing w:before="120" w:after="120"/>
        <w:jc w:val="both"/>
        <w:rPr>
          <w:b w:val="0"/>
          <w:lang w:val="nl-NL"/>
        </w:rPr>
      </w:pPr>
      <w:r w:rsidRPr="00A770A8">
        <w:rPr>
          <w:b w:val="0"/>
          <w:lang w:val="nl-NL"/>
        </w:rPr>
        <w:t xml:space="preserve">Trong giai đoạn từ ngày 03 tháng 04 năm 2019 là ngày thành lập Quỹ đến ngày 30 tháng 06 năm 2019, Quỹ không thực hiện phân phối lợi nhuận cho nhà đầu tư. </w:t>
      </w:r>
    </w:p>
    <w:p w14:paraId="25208449" w14:textId="77777777" w:rsidR="003F0046" w:rsidRPr="00A770A8" w:rsidRDefault="003F0046" w:rsidP="00920A63">
      <w:pPr>
        <w:spacing w:before="120"/>
        <w:jc w:val="both"/>
        <w:rPr>
          <w:rFonts w:ascii="Times New Roman" w:hAnsi="Times New Roman"/>
          <w:sz w:val="24"/>
          <w:szCs w:val="24"/>
          <w:lang w:val="nl-NL"/>
        </w:rPr>
      </w:pPr>
      <w:r w:rsidRPr="00A770A8">
        <w:rPr>
          <w:rFonts w:ascii="Times New Roman" w:hAnsi="Times New Roman"/>
          <w:sz w:val="24"/>
          <w:szCs w:val="24"/>
          <w:lang w:val="nl-NL"/>
        </w:rPr>
        <w:t>2. Báo cáo về kết quả hoạt động của quỹ</w:t>
      </w:r>
    </w:p>
    <w:p w14:paraId="6B7FA93A" w14:textId="77B24305" w:rsidR="003F0046" w:rsidRPr="00A770A8" w:rsidRDefault="003F0046" w:rsidP="00920A63">
      <w:pPr>
        <w:spacing w:before="120"/>
        <w:jc w:val="both"/>
        <w:rPr>
          <w:rFonts w:ascii="Times New Roman" w:hAnsi="Times New Roman"/>
          <w:sz w:val="24"/>
          <w:szCs w:val="24"/>
          <w:lang w:val="nl-NL"/>
        </w:rPr>
      </w:pPr>
      <w:r w:rsidRPr="00A770A8">
        <w:rPr>
          <w:rFonts w:ascii="Times New Roman" w:hAnsi="Times New Roman"/>
          <w:sz w:val="24"/>
          <w:szCs w:val="24"/>
          <w:lang w:val="nl-NL"/>
        </w:rPr>
        <w:t>a) Thông tin về danh mục đầu tư và giá trị tài sản ròng của quỹ, cụ thể:</w:t>
      </w:r>
    </w:p>
    <w:p w14:paraId="1B8C0591" w14:textId="7CBE2FEA" w:rsidR="00BC13F0" w:rsidRPr="00A770A8" w:rsidRDefault="00BC13F0" w:rsidP="00920A63">
      <w:pPr>
        <w:spacing w:before="120"/>
        <w:jc w:val="both"/>
        <w:rPr>
          <w:rFonts w:ascii="Times New Roman" w:hAnsi="Times New Roman"/>
          <w:sz w:val="24"/>
          <w:szCs w:val="24"/>
          <w:lang w:val="nl-NL"/>
        </w:rPr>
      </w:pPr>
      <w:r w:rsidRPr="00A770A8">
        <w:rPr>
          <w:rFonts w:ascii="Times New Roman" w:hAnsi="Times New Roman"/>
          <w:sz w:val="24"/>
          <w:szCs w:val="24"/>
          <w:lang w:val="nl-NL"/>
        </w:rPr>
        <w:t xml:space="preserve">Quỹ bắt đầu hoạt động kể từ ngày được cấp giấy phép thành lập Quỹ </w:t>
      </w:r>
      <w:r w:rsidR="00375101" w:rsidRPr="00A770A8">
        <w:rPr>
          <w:rFonts w:ascii="Times New Roman" w:hAnsi="Times New Roman"/>
          <w:sz w:val="24"/>
          <w:szCs w:val="24"/>
          <w:lang w:val="nl-NL"/>
        </w:rPr>
        <w:t>03/04/2019</w:t>
      </w:r>
      <w:r w:rsidR="00DA6D74" w:rsidRPr="00A770A8">
        <w:rPr>
          <w:rFonts w:ascii="Times New Roman" w:hAnsi="Times New Roman"/>
          <w:sz w:val="24"/>
          <w:szCs w:val="24"/>
          <w:lang w:val="nl-NL"/>
        </w:rPr>
        <w:t>. Tại thời điểm báo cáo</w:t>
      </w:r>
      <w:r w:rsidRPr="00A770A8">
        <w:rPr>
          <w:rFonts w:ascii="Times New Roman" w:hAnsi="Times New Roman"/>
          <w:sz w:val="24"/>
          <w:szCs w:val="24"/>
          <w:lang w:val="nl-NL"/>
        </w:rPr>
        <w:t xml:space="preserve">, Quỹ chỉ có Thông tin về danh mục đầu tư và giá trị tài sản ròng của </w:t>
      </w:r>
      <w:r w:rsidR="00375101" w:rsidRPr="00A770A8">
        <w:rPr>
          <w:rFonts w:ascii="Times New Roman" w:hAnsi="Times New Roman"/>
          <w:sz w:val="24"/>
          <w:szCs w:val="24"/>
          <w:lang w:val="nl-NL"/>
        </w:rPr>
        <w:t>03 tháng</w:t>
      </w:r>
      <w:r w:rsidRPr="00A770A8">
        <w:rPr>
          <w:rFonts w:ascii="Times New Roman" w:hAnsi="Times New Roman"/>
          <w:sz w:val="24"/>
          <w:szCs w:val="24"/>
          <w:lang w:val="nl-NL"/>
        </w:rPr>
        <w:t xml:space="preserve"> gần nhất </w:t>
      </w:r>
      <w:r w:rsidR="00375101" w:rsidRPr="00A770A8">
        <w:rPr>
          <w:rFonts w:ascii="Times New Roman" w:hAnsi="Times New Roman"/>
          <w:sz w:val="24"/>
          <w:szCs w:val="24"/>
          <w:lang w:val="nl-NL"/>
        </w:rPr>
        <w:t>đến</w:t>
      </w:r>
      <w:r w:rsidRPr="00A770A8">
        <w:rPr>
          <w:rFonts w:ascii="Times New Roman" w:hAnsi="Times New Roman"/>
          <w:sz w:val="24"/>
          <w:szCs w:val="24"/>
          <w:lang w:val="nl-NL"/>
        </w:rPr>
        <w:t xml:space="preserve"> thời điểm </w:t>
      </w:r>
      <w:r w:rsidR="00375101" w:rsidRPr="00A770A8">
        <w:rPr>
          <w:rFonts w:ascii="Times New Roman" w:hAnsi="Times New Roman"/>
          <w:sz w:val="24"/>
          <w:szCs w:val="24"/>
          <w:lang w:val="nl-NL"/>
        </w:rPr>
        <w:t>30/06/2019</w:t>
      </w:r>
      <w:r w:rsidRPr="00A770A8">
        <w:rPr>
          <w:rFonts w:ascii="Times New Roman" w:hAnsi="Times New Roman"/>
          <w:sz w:val="24"/>
          <w:szCs w:val="24"/>
          <w:lang w:val="nl-NL"/>
        </w:rPr>
        <w:t xml:space="preserve"> như sau</w:t>
      </w:r>
      <w:r w:rsidR="00375101" w:rsidRPr="00A770A8">
        <w:rPr>
          <w:rFonts w:ascii="Times New Roman" w:hAnsi="Times New Roman"/>
          <w:sz w:val="24"/>
          <w:szCs w:val="24"/>
          <w:lang w:val="nl-NL"/>
        </w:rPr>
        <w:t xml:space="preserve">: </w:t>
      </w:r>
    </w:p>
    <w:p w14:paraId="65BE49F0" w14:textId="28B04B35" w:rsidR="004C5125" w:rsidRPr="00A770A8" w:rsidRDefault="003F0046" w:rsidP="00920A63">
      <w:pPr>
        <w:spacing w:before="120"/>
        <w:jc w:val="both"/>
        <w:rPr>
          <w:rFonts w:ascii="Times New Roman" w:hAnsi="Times New Roman"/>
          <w:sz w:val="24"/>
          <w:szCs w:val="24"/>
          <w:lang w:val="nl-NL"/>
        </w:rPr>
      </w:pPr>
      <w:r w:rsidRPr="00A770A8">
        <w:rPr>
          <w:rFonts w:ascii="Times New Roman" w:hAnsi="Times New Roman"/>
          <w:sz w:val="24"/>
          <w:szCs w:val="24"/>
          <w:lang w:val="nl-NL"/>
        </w:rPr>
        <w:t xml:space="preserve">- Danh mục đầu tư của quỹ </w:t>
      </w:r>
      <w:r w:rsidR="007A3DAD" w:rsidRPr="00A770A8">
        <w:rPr>
          <w:rFonts w:ascii="Times New Roman" w:hAnsi="Times New Roman"/>
          <w:sz w:val="24"/>
          <w:szCs w:val="24"/>
          <w:lang w:val="nl-NL"/>
        </w:rPr>
        <w:t>tại thời điểm 30/06/2019:</w:t>
      </w:r>
    </w:p>
    <w:p w14:paraId="03A2BF8B" w14:textId="68B41A15" w:rsidR="00304D08" w:rsidRPr="00A770A8" w:rsidRDefault="00304D08" w:rsidP="00920A63">
      <w:pPr>
        <w:spacing w:before="120"/>
        <w:jc w:val="both"/>
        <w:rPr>
          <w:rFonts w:ascii="Times New Roman" w:hAnsi="Times New Roman"/>
          <w:sz w:val="24"/>
          <w:szCs w:val="24"/>
          <w:lang w:val="nl-NL"/>
        </w:rPr>
      </w:pPr>
    </w:p>
    <w:tbl>
      <w:tblPr>
        <w:tblStyle w:val="TableGrid"/>
        <w:tblW w:w="0" w:type="auto"/>
        <w:tblLook w:val="04A0" w:firstRow="1" w:lastRow="0" w:firstColumn="1" w:lastColumn="0" w:noHBand="0" w:noVBand="1"/>
      </w:tblPr>
      <w:tblGrid>
        <w:gridCol w:w="5013"/>
        <w:gridCol w:w="5013"/>
      </w:tblGrid>
      <w:tr w:rsidR="00375101" w:rsidRPr="00A770A8" w14:paraId="404088B5" w14:textId="77777777" w:rsidTr="00FF72F7">
        <w:trPr>
          <w:trHeight w:val="575"/>
        </w:trPr>
        <w:tc>
          <w:tcPr>
            <w:tcW w:w="5013" w:type="dxa"/>
            <w:shd w:val="clear" w:color="auto" w:fill="B8CCE4" w:themeFill="accent1" w:themeFillTint="66"/>
            <w:vAlign w:val="center"/>
          </w:tcPr>
          <w:p w14:paraId="681B4102" w14:textId="06C95C34" w:rsidR="00375101" w:rsidRPr="00A770A8" w:rsidRDefault="00375101" w:rsidP="00920A63">
            <w:pPr>
              <w:spacing w:before="120"/>
              <w:jc w:val="center"/>
              <w:rPr>
                <w:rFonts w:ascii="Times New Roman" w:hAnsi="Times New Roman"/>
                <w:b/>
                <w:sz w:val="24"/>
                <w:szCs w:val="24"/>
              </w:rPr>
            </w:pPr>
            <w:r w:rsidRPr="00A770A8">
              <w:rPr>
                <w:rFonts w:ascii="Times New Roman" w:hAnsi="Times New Roman"/>
                <w:b/>
                <w:sz w:val="24"/>
                <w:szCs w:val="24"/>
              </w:rPr>
              <w:t>Tài sản đầu tư</w:t>
            </w:r>
          </w:p>
        </w:tc>
        <w:tc>
          <w:tcPr>
            <w:tcW w:w="5013" w:type="dxa"/>
            <w:shd w:val="clear" w:color="auto" w:fill="B8CCE4" w:themeFill="accent1" w:themeFillTint="66"/>
            <w:vAlign w:val="center"/>
          </w:tcPr>
          <w:p w14:paraId="7899D2FF" w14:textId="75E2DF33" w:rsidR="00375101" w:rsidRPr="00A770A8" w:rsidRDefault="00375101" w:rsidP="00920A63">
            <w:pPr>
              <w:spacing w:before="120"/>
              <w:jc w:val="center"/>
              <w:rPr>
                <w:rFonts w:ascii="Times New Roman" w:hAnsi="Times New Roman"/>
                <w:b/>
                <w:sz w:val="24"/>
                <w:szCs w:val="24"/>
              </w:rPr>
            </w:pPr>
            <w:r w:rsidRPr="00A770A8">
              <w:rPr>
                <w:rFonts w:ascii="Times New Roman" w:hAnsi="Times New Roman"/>
                <w:b/>
                <w:sz w:val="24"/>
                <w:szCs w:val="24"/>
              </w:rPr>
              <w:t>Giá trị đến ngày 30/06/2019</w:t>
            </w:r>
          </w:p>
        </w:tc>
      </w:tr>
      <w:tr w:rsidR="00375101" w:rsidRPr="00A770A8" w14:paraId="2E37552C" w14:textId="77777777" w:rsidTr="00375101">
        <w:tc>
          <w:tcPr>
            <w:tcW w:w="5013" w:type="dxa"/>
          </w:tcPr>
          <w:p w14:paraId="12C77119" w14:textId="4D2ED039" w:rsidR="00375101" w:rsidRPr="00A770A8" w:rsidRDefault="00375101" w:rsidP="00920A63">
            <w:pPr>
              <w:spacing w:before="120"/>
              <w:jc w:val="both"/>
              <w:rPr>
                <w:rFonts w:ascii="Times New Roman" w:hAnsi="Times New Roman"/>
                <w:sz w:val="24"/>
                <w:szCs w:val="24"/>
              </w:rPr>
            </w:pPr>
            <w:r w:rsidRPr="00A770A8">
              <w:rPr>
                <w:rFonts w:ascii="Times New Roman" w:hAnsi="Times New Roman"/>
                <w:sz w:val="24"/>
                <w:szCs w:val="24"/>
              </w:rPr>
              <w:t>Tiền mặt</w:t>
            </w:r>
            <w:r w:rsidR="00304D08" w:rsidRPr="00A770A8">
              <w:rPr>
                <w:rFonts w:ascii="Times New Roman" w:hAnsi="Times New Roman"/>
                <w:sz w:val="24"/>
                <w:szCs w:val="24"/>
              </w:rPr>
              <w:t xml:space="preserve"> và các khoản tương đương tiền</w:t>
            </w:r>
          </w:p>
        </w:tc>
        <w:tc>
          <w:tcPr>
            <w:tcW w:w="5013" w:type="dxa"/>
          </w:tcPr>
          <w:p w14:paraId="084A875B" w14:textId="67C07AD9" w:rsidR="00375101" w:rsidRPr="00A770A8" w:rsidRDefault="003967DB" w:rsidP="00920A63">
            <w:pPr>
              <w:spacing w:before="120"/>
              <w:jc w:val="right"/>
              <w:rPr>
                <w:rFonts w:ascii="Times New Roman" w:hAnsi="Times New Roman"/>
                <w:sz w:val="24"/>
                <w:szCs w:val="24"/>
              </w:rPr>
            </w:pPr>
            <w:r w:rsidRPr="00A770A8">
              <w:rPr>
                <w:rFonts w:ascii="Times New Roman" w:hAnsi="Times New Roman"/>
                <w:sz w:val="24"/>
                <w:szCs w:val="24"/>
              </w:rPr>
              <w:t>40.691.046.</w:t>
            </w:r>
            <w:r w:rsidR="00375101" w:rsidRPr="00A770A8">
              <w:rPr>
                <w:rFonts w:ascii="Times New Roman" w:hAnsi="Times New Roman"/>
                <w:sz w:val="24"/>
                <w:szCs w:val="24"/>
              </w:rPr>
              <w:t>162</w:t>
            </w:r>
          </w:p>
        </w:tc>
      </w:tr>
      <w:tr w:rsidR="00375101" w:rsidRPr="00A770A8" w14:paraId="3C76BD46" w14:textId="77777777" w:rsidTr="00375101">
        <w:tc>
          <w:tcPr>
            <w:tcW w:w="5013" w:type="dxa"/>
          </w:tcPr>
          <w:p w14:paraId="313079D2" w14:textId="69610E51" w:rsidR="00375101" w:rsidRPr="00A770A8" w:rsidRDefault="00375101" w:rsidP="00920A63">
            <w:pPr>
              <w:spacing w:before="120"/>
              <w:jc w:val="both"/>
              <w:rPr>
                <w:rFonts w:ascii="Times New Roman" w:hAnsi="Times New Roman"/>
                <w:sz w:val="24"/>
                <w:szCs w:val="24"/>
              </w:rPr>
            </w:pPr>
            <w:r w:rsidRPr="00A770A8">
              <w:rPr>
                <w:rFonts w:ascii="Times New Roman" w:hAnsi="Times New Roman"/>
                <w:sz w:val="24"/>
                <w:szCs w:val="24"/>
              </w:rPr>
              <w:t>Hợp đồng tiền gửi có kỳ hạn</w:t>
            </w:r>
            <w:r w:rsidR="00304D08" w:rsidRPr="00A770A8">
              <w:rPr>
                <w:rFonts w:ascii="Times New Roman" w:hAnsi="Times New Roman"/>
                <w:sz w:val="24"/>
                <w:szCs w:val="24"/>
              </w:rPr>
              <w:t xml:space="preserve"> trên 3 tháng</w:t>
            </w:r>
          </w:p>
        </w:tc>
        <w:tc>
          <w:tcPr>
            <w:tcW w:w="5013" w:type="dxa"/>
          </w:tcPr>
          <w:p w14:paraId="2BBE3EAA" w14:textId="02EA3094" w:rsidR="00375101" w:rsidRPr="00A770A8" w:rsidRDefault="003967DB" w:rsidP="00920A63">
            <w:pPr>
              <w:spacing w:before="120"/>
              <w:jc w:val="right"/>
              <w:rPr>
                <w:rFonts w:ascii="Times New Roman" w:hAnsi="Times New Roman"/>
                <w:sz w:val="24"/>
                <w:szCs w:val="24"/>
              </w:rPr>
            </w:pPr>
            <w:r w:rsidRPr="00A770A8">
              <w:rPr>
                <w:rFonts w:ascii="Times New Roman" w:hAnsi="Times New Roman"/>
                <w:sz w:val="24"/>
                <w:szCs w:val="24"/>
              </w:rPr>
              <w:t>40.</w:t>
            </w:r>
            <w:r w:rsidR="00375101" w:rsidRPr="00A770A8">
              <w:rPr>
                <w:rFonts w:ascii="Times New Roman" w:hAnsi="Times New Roman"/>
                <w:sz w:val="24"/>
                <w:szCs w:val="24"/>
              </w:rPr>
              <w:t>000</w:t>
            </w:r>
            <w:r w:rsidRPr="00A770A8">
              <w:rPr>
                <w:rFonts w:ascii="Times New Roman" w:hAnsi="Times New Roman"/>
                <w:sz w:val="24"/>
                <w:szCs w:val="24"/>
              </w:rPr>
              <w:t>.</w:t>
            </w:r>
            <w:r w:rsidR="00375101" w:rsidRPr="00A770A8">
              <w:rPr>
                <w:rFonts w:ascii="Times New Roman" w:hAnsi="Times New Roman"/>
                <w:sz w:val="24"/>
                <w:szCs w:val="24"/>
              </w:rPr>
              <w:t>000</w:t>
            </w:r>
            <w:r w:rsidRPr="00A770A8">
              <w:rPr>
                <w:rFonts w:ascii="Times New Roman" w:hAnsi="Times New Roman"/>
                <w:sz w:val="24"/>
                <w:szCs w:val="24"/>
              </w:rPr>
              <w:t>.</w:t>
            </w:r>
            <w:r w:rsidR="00375101" w:rsidRPr="00A770A8">
              <w:rPr>
                <w:rFonts w:ascii="Times New Roman" w:hAnsi="Times New Roman"/>
                <w:sz w:val="24"/>
                <w:szCs w:val="24"/>
              </w:rPr>
              <w:t>000</w:t>
            </w:r>
          </w:p>
        </w:tc>
      </w:tr>
      <w:tr w:rsidR="00375101" w:rsidRPr="00A770A8" w14:paraId="772EF903" w14:textId="77777777" w:rsidTr="00375101">
        <w:tc>
          <w:tcPr>
            <w:tcW w:w="5013" w:type="dxa"/>
          </w:tcPr>
          <w:p w14:paraId="04EB96F2" w14:textId="1B64DF27" w:rsidR="00375101" w:rsidRPr="00A770A8" w:rsidRDefault="00375101" w:rsidP="00920A63">
            <w:pPr>
              <w:spacing w:before="120"/>
              <w:jc w:val="both"/>
              <w:rPr>
                <w:rFonts w:ascii="Times New Roman" w:hAnsi="Times New Roman"/>
                <w:sz w:val="24"/>
                <w:szCs w:val="24"/>
              </w:rPr>
            </w:pPr>
            <w:r w:rsidRPr="00A770A8">
              <w:rPr>
                <w:rFonts w:ascii="Times New Roman" w:hAnsi="Times New Roman"/>
                <w:sz w:val="24"/>
                <w:szCs w:val="24"/>
              </w:rPr>
              <w:t>Chứng chỉ tiền gửi</w:t>
            </w:r>
          </w:p>
        </w:tc>
        <w:tc>
          <w:tcPr>
            <w:tcW w:w="5013" w:type="dxa"/>
          </w:tcPr>
          <w:p w14:paraId="5D0A8220" w14:textId="79654024" w:rsidR="00375101" w:rsidRPr="00A770A8" w:rsidRDefault="00375101" w:rsidP="00920A63">
            <w:pPr>
              <w:spacing w:before="120"/>
              <w:jc w:val="right"/>
              <w:rPr>
                <w:rFonts w:ascii="Times New Roman" w:hAnsi="Times New Roman"/>
                <w:sz w:val="24"/>
                <w:szCs w:val="24"/>
              </w:rPr>
            </w:pPr>
            <w:r w:rsidRPr="00A770A8">
              <w:rPr>
                <w:rFonts w:ascii="Times New Roman" w:hAnsi="Times New Roman"/>
                <w:sz w:val="24"/>
                <w:szCs w:val="24"/>
              </w:rPr>
              <w:t>20</w:t>
            </w:r>
            <w:r w:rsidR="003967DB" w:rsidRPr="00A770A8">
              <w:rPr>
                <w:rFonts w:ascii="Times New Roman" w:hAnsi="Times New Roman"/>
                <w:sz w:val="24"/>
                <w:szCs w:val="24"/>
              </w:rPr>
              <w:t>.000.000.</w:t>
            </w:r>
            <w:r w:rsidRPr="00A770A8">
              <w:rPr>
                <w:rFonts w:ascii="Times New Roman" w:hAnsi="Times New Roman"/>
                <w:sz w:val="24"/>
                <w:szCs w:val="24"/>
              </w:rPr>
              <w:t>000</w:t>
            </w:r>
          </w:p>
        </w:tc>
      </w:tr>
      <w:tr w:rsidR="00304D08" w:rsidRPr="00A770A8" w14:paraId="1A42813F" w14:textId="77777777" w:rsidTr="00375101">
        <w:tc>
          <w:tcPr>
            <w:tcW w:w="5013" w:type="dxa"/>
          </w:tcPr>
          <w:p w14:paraId="60E3B292" w14:textId="28354A19" w:rsidR="00304D08" w:rsidRPr="00A770A8" w:rsidRDefault="00304D08" w:rsidP="00920A63">
            <w:pPr>
              <w:spacing w:before="120"/>
              <w:jc w:val="both"/>
              <w:rPr>
                <w:rFonts w:ascii="Times New Roman" w:hAnsi="Times New Roman"/>
                <w:sz w:val="24"/>
                <w:szCs w:val="24"/>
              </w:rPr>
            </w:pPr>
            <w:r w:rsidRPr="00A770A8">
              <w:rPr>
                <w:rFonts w:ascii="Times New Roman" w:hAnsi="Times New Roman"/>
                <w:sz w:val="24"/>
                <w:szCs w:val="24"/>
              </w:rPr>
              <w:t>Tài sản khác</w:t>
            </w:r>
          </w:p>
        </w:tc>
        <w:tc>
          <w:tcPr>
            <w:tcW w:w="5013" w:type="dxa"/>
          </w:tcPr>
          <w:p w14:paraId="1A46694D" w14:textId="1AD44A4C" w:rsidR="00304D08" w:rsidRPr="00A770A8" w:rsidRDefault="00612BC7" w:rsidP="00920A63">
            <w:pPr>
              <w:spacing w:before="120"/>
              <w:jc w:val="right"/>
              <w:rPr>
                <w:rFonts w:ascii="Times New Roman" w:hAnsi="Times New Roman"/>
                <w:sz w:val="24"/>
                <w:szCs w:val="24"/>
              </w:rPr>
            </w:pPr>
            <w:r w:rsidRPr="00A770A8">
              <w:rPr>
                <w:rFonts w:ascii="Times New Roman" w:hAnsi="Times New Roman"/>
                <w:sz w:val="24"/>
                <w:szCs w:val="24"/>
              </w:rPr>
              <w:t>758.246.</w:t>
            </w:r>
            <w:r w:rsidR="00304D08" w:rsidRPr="00A770A8">
              <w:rPr>
                <w:rFonts w:ascii="Times New Roman" w:hAnsi="Times New Roman"/>
                <w:sz w:val="24"/>
                <w:szCs w:val="24"/>
              </w:rPr>
              <w:t>576</w:t>
            </w:r>
          </w:p>
        </w:tc>
      </w:tr>
      <w:tr w:rsidR="00375101" w:rsidRPr="00A770A8" w14:paraId="28D1C12F" w14:textId="77777777" w:rsidTr="00375101">
        <w:tc>
          <w:tcPr>
            <w:tcW w:w="5013" w:type="dxa"/>
          </w:tcPr>
          <w:p w14:paraId="10B34876" w14:textId="11ECFFE5" w:rsidR="00375101" w:rsidRPr="00A770A8" w:rsidRDefault="00375101" w:rsidP="00920A63">
            <w:pPr>
              <w:spacing w:before="120"/>
              <w:jc w:val="center"/>
              <w:rPr>
                <w:rFonts w:ascii="Times New Roman" w:hAnsi="Times New Roman"/>
                <w:b/>
                <w:sz w:val="24"/>
                <w:szCs w:val="24"/>
              </w:rPr>
            </w:pPr>
            <w:r w:rsidRPr="00A770A8">
              <w:rPr>
                <w:rFonts w:ascii="Times New Roman" w:hAnsi="Times New Roman"/>
                <w:b/>
                <w:sz w:val="24"/>
                <w:szCs w:val="24"/>
              </w:rPr>
              <w:t>Tổng cộng</w:t>
            </w:r>
          </w:p>
        </w:tc>
        <w:tc>
          <w:tcPr>
            <w:tcW w:w="5013" w:type="dxa"/>
          </w:tcPr>
          <w:p w14:paraId="48EF8BC4" w14:textId="79740D33" w:rsidR="00375101" w:rsidRPr="00A770A8" w:rsidRDefault="00612BC7" w:rsidP="00920A63">
            <w:pPr>
              <w:spacing w:before="120"/>
              <w:jc w:val="right"/>
              <w:rPr>
                <w:rFonts w:ascii="Times New Roman" w:hAnsi="Times New Roman"/>
                <w:b/>
                <w:sz w:val="24"/>
                <w:szCs w:val="24"/>
              </w:rPr>
            </w:pPr>
            <w:r w:rsidRPr="00A770A8">
              <w:rPr>
                <w:rFonts w:ascii="Times New Roman" w:hAnsi="Times New Roman"/>
                <w:b/>
                <w:sz w:val="24"/>
                <w:szCs w:val="24"/>
              </w:rPr>
              <w:t>101.449.292.</w:t>
            </w:r>
            <w:r w:rsidR="00304D08" w:rsidRPr="00A770A8">
              <w:rPr>
                <w:rFonts w:ascii="Times New Roman" w:hAnsi="Times New Roman"/>
                <w:b/>
                <w:sz w:val="24"/>
                <w:szCs w:val="24"/>
              </w:rPr>
              <w:t>738</w:t>
            </w:r>
          </w:p>
        </w:tc>
      </w:tr>
    </w:tbl>
    <w:p w14:paraId="6317F21E" w14:textId="74759BDD" w:rsidR="007A3DAD" w:rsidRPr="00A770A8" w:rsidRDefault="007A3DAD" w:rsidP="00920A63">
      <w:pPr>
        <w:spacing w:before="120"/>
        <w:jc w:val="both"/>
        <w:rPr>
          <w:rFonts w:ascii="Times New Roman" w:hAnsi="Times New Roman"/>
          <w:b/>
          <w:i/>
          <w:sz w:val="24"/>
          <w:szCs w:val="24"/>
        </w:rPr>
      </w:pPr>
    </w:p>
    <w:p w14:paraId="15887DC1" w14:textId="4D60A21F"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Giá trị tài sản ròng của quỹ</w:t>
      </w:r>
      <w:r w:rsidR="00381E33" w:rsidRPr="00A770A8">
        <w:rPr>
          <w:rFonts w:ascii="Times New Roman" w:hAnsi="Times New Roman"/>
          <w:sz w:val="24"/>
          <w:szCs w:val="24"/>
        </w:rPr>
        <w:t xml:space="preserve"> </w:t>
      </w:r>
      <w:r w:rsidR="00381E33" w:rsidRPr="00A770A8">
        <w:rPr>
          <w:rFonts w:ascii="Times New Roman" w:hAnsi="Times New Roman"/>
          <w:sz w:val="24"/>
          <w:szCs w:val="24"/>
          <w:lang w:val="nl-NL"/>
        </w:rPr>
        <w:t>tại thời điểm 30/06/2019:</w:t>
      </w:r>
    </w:p>
    <w:p w14:paraId="304D0C90" w14:textId="77777777" w:rsidR="004C5125" w:rsidRPr="00A770A8" w:rsidRDefault="004C5125" w:rsidP="00920A63">
      <w:pPr>
        <w:spacing w:before="120"/>
        <w:jc w:val="both"/>
        <w:rPr>
          <w:rFonts w:ascii="Times New Roman" w:hAnsi="Times New Roman"/>
          <w:sz w:val="24"/>
          <w:szCs w:val="24"/>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62"/>
        <w:gridCol w:w="2018"/>
      </w:tblGrid>
      <w:tr w:rsidR="00C91CCA" w:rsidRPr="00A770A8" w14:paraId="4DA5F94C" w14:textId="77777777" w:rsidTr="00FF72F7">
        <w:trPr>
          <w:trHeight w:val="548"/>
        </w:trPr>
        <w:tc>
          <w:tcPr>
            <w:tcW w:w="8062" w:type="dxa"/>
            <w:shd w:val="clear" w:color="auto" w:fill="B8CCE4" w:themeFill="accent1" w:themeFillTint="66"/>
            <w:vAlign w:val="center"/>
            <w:hideMark/>
          </w:tcPr>
          <w:p w14:paraId="16E7B3AD" w14:textId="3AA8E26F" w:rsidR="00C91CCA" w:rsidRPr="00A770A8" w:rsidRDefault="00BD0547" w:rsidP="00920A63">
            <w:pPr>
              <w:jc w:val="center"/>
              <w:rPr>
                <w:rFonts w:ascii="Times New Roman" w:hAnsi="Times New Roman"/>
                <w:b/>
                <w:sz w:val="24"/>
                <w:szCs w:val="24"/>
              </w:rPr>
            </w:pPr>
            <w:r w:rsidRPr="00A770A8">
              <w:rPr>
                <w:rFonts w:ascii="Times New Roman" w:eastAsiaTheme="minorHAnsi" w:hAnsi="Times New Roman"/>
                <w:b/>
                <w:bCs/>
                <w:sz w:val="24"/>
                <w:szCs w:val="24"/>
              </w:rPr>
              <w:t>Chỉ tiêu</w:t>
            </w:r>
          </w:p>
        </w:tc>
        <w:tc>
          <w:tcPr>
            <w:tcW w:w="2018" w:type="dxa"/>
            <w:shd w:val="clear" w:color="auto" w:fill="B8CCE4" w:themeFill="accent1" w:themeFillTint="66"/>
            <w:vAlign w:val="center"/>
          </w:tcPr>
          <w:p w14:paraId="51E4B2A3" w14:textId="7E5D830A" w:rsidR="00C91CCA" w:rsidRPr="00A770A8" w:rsidRDefault="00E77A50" w:rsidP="00920A63">
            <w:pPr>
              <w:jc w:val="center"/>
              <w:rPr>
                <w:rFonts w:ascii="Times New Roman" w:hAnsi="Times New Roman"/>
                <w:b/>
                <w:sz w:val="24"/>
                <w:szCs w:val="24"/>
              </w:rPr>
            </w:pPr>
            <w:r w:rsidRPr="00A770A8">
              <w:rPr>
                <w:rFonts w:ascii="Times New Roman" w:hAnsi="Times New Roman"/>
                <w:b/>
                <w:sz w:val="24"/>
                <w:szCs w:val="24"/>
              </w:rPr>
              <w:t>30/06/2019</w:t>
            </w:r>
          </w:p>
        </w:tc>
      </w:tr>
      <w:tr w:rsidR="00C91CCA" w:rsidRPr="00A770A8" w14:paraId="40125741" w14:textId="77777777" w:rsidTr="009D6DBC">
        <w:trPr>
          <w:trHeight w:val="358"/>
        </w:trPr>
        <w:tc>
          <w:tcPr>
            <w:tcW w:w="8062" w:type="dxa"/>
            <w:shd w:val="clear" w:color="auto" w:fill="auto"/>
            <w:vAlign w:val="bottom"/>
            <w:hideMark/>
          </w:tcPr>
          <w:p w14:paraId="7359A987" w14:textId="77777777" w:rsidR="00C91CCA" w:rsidRPr="00A770A8" w:rsidRDefault="00C91CCA" w:rsidP="00920A63">
            <w:pPr>
              <w:rPr>
                <w:rFonts w:ascii="Times New Roman" w:hAnsi="Times New Roman"/>
                <w:sz w:val="24"/>
                <w:szCs w:val="24"/>
              </w:rPr>
            </w:pPr>
            <w:r w:rsidRPr="00A770A8">
              <w:rPr>
                <w:rFonts w:ascii="Times New Roman" w:hAnsi="Times New Roman"/>
                <w:sz w:val="24"/>
                <w:szCs w:val="24"/>
              </w:rPr>
              <w:t xml:space="preserve">Giá trị tài sản ròng của quỹ ngày </w:t>
            </w:r>
            <w:r w:rsidR="008463F5" w:rsidRPr="00A770A8">
              <w:rPr>
                <w:rFonts w:ascii="Times New Roman" w:hAnsi="Times New Roman"/>
                <w:sz w:val="24"/>
                <w:szCs w:val="24"/>
              </w:rPr>
              <w:t>30/06/2019</w:t>
            </w:r>
          </w:p>
        </w:tc>
        <w:tc>
          <w:tcPr>
            <w:tcW w:w="2018" w:type="dxa"/>
            <w:vAlign w:val="center"/>
          </w:tcPr>
          <w:p w14:paraId="51C9A6D7" w14:textId="33B02458" w:rsidR="00C91CCA" w:rsidRPr="00A770A8" w:rsidRDefault="0069610C" w:rsidP="00920A63">
            <w:pPr>
              <w:ind w:right="90"/>
              <w:jc w:val="right"/>
              <w:rPr>
                <w:rFonts w:ascii="Times New Roman" w:hAnsi="Times New Roman"/>
                <w:sz w:val="24"/>
                <w:szCs w:val="24"/>
              </w:rPr>
            </w:pPr>
            <w:r w:rsidRPr="00A770A8">
              <w:rPr>
                <w:rFonts w:ascii="Times New Roman" w:hAnsi="Times New Roman"/>
                <w:sz w:val="24"/>
                <w:szCs w:val="24"/>
              </w:rPr>
              <w:t>101.063.414.</w:t>
            </w:r>
            <w:r w:rsidR="00E77A50" w:rsidRPr="00A770A8">
              <w:rPr>
                <w:rFonts w:ascii="Times New Roman" w:hAnsi="Times New Roman"/>
                <w:sz w:val="24"/>
                <w:szCs w:val="24"/>
              </w:rPr>
              <w:t>836</w:t>
            </w:r>
          </w:p>
        </w:tc>
      </w:tr>
      <w:tr w:rsidR="00C91CCA" w:rsidRPr="00A770A8" w14:paraId="5F5FD3CE" w14:textId="77777777" w:rsidTr="009D6DBC">
        <w:trPr>
          <w:trHeight w:val="358"/>
        </w:trPr>
        <w:tc>
          <w:tcPr>
            <w:tcW w:w="8062" w:type="dxa"/>
            <w:shd w:val="clear" w:color="auto" w:fill="auto"/>
            <w:vAlign w:val="bottom"/>
            <w:hideMark/>
          </w:tcPr>
          <w:p w14:paraId="1AAA2797" w14:textId="77777777" w:rsidR="00C91CCA" w:rsidRPr="00A770A8" w:rsidRDefault="00C91CCA" w:rsidP="00920A63">
            <w:pPr>
              <w:rPr>
                <w:rFonts w:ascii="Times New Roman" w:hAnsi="Times New Roman"/>
                <w:sz w:val="24"/>
                <w:szCs w:val="24"/>
              </w:rPr>
            </w:pPr>
            <w:r w:rsidRPr="00A770A8">
              <w:rPr>
                <w:rFonts w:ascii="Times New Roman" w:hAnsi="Times New Roman"/>
                <w:sz w:val="24"/>
                <w:szCs w:val="24"/>
                <w:lang w:val="nl-NL"/>
              </w:rPr>
              <w:t>Giá trị tài sản ròng trên một đơn vị quỹ, số lượng chứng chỉ quỹ đang lưu hành</w:t>
            </w:r>
          </w:p>
        </w:tc>
        <w:tc>
          <w:tcPr>
            <w:tcW w:w="2018" w:type="dxa"/>
            <w:vAlign w:val="center"/>
          </w:tcPr>
          <w:p w14:paraId="0CBD9091" w14:textId="77777777" w:rsidR="00C91CCA" w:rsidRPr="00A770A8" w:rsidRDefault="00C91CCA" w:rsidP="00920A63">
            <w:pPr>
              <w:ind w:right="90"/>
              <w:jc w:val="right"/>
              <w:rPr>
                <w:rFonts w:ascii="Times New Roman" w:hAnsi="Times New Roman"/>
                <w:sz w:val="24"/>
                <w:szCs w:val="24"/>
              </w:rPr>
            </w:pPr>
          </w:p>
        </w:tc>
      </w:tr>
      <w:tr w:rsidR="00C91CCA" w:rsidRPr="00A770A8" w14:paraId="46E5F51C" w14:textId="77777777" w:rsidTr="009D6DBC">
        <w:trPr>
          <w:trHeight w:val="358"/>
        </w:trPr>
        <w:tc>
          <w:tcPr>
            <w:tcW w:w="8062" w:type="dxa"/>
            <w:shd w:val="clear" w:color="auto" w:fill="auto"/>
            <w:vAlign w:val="bottom"/>
          </w:tcPr>
          <w:p w14:paraId="7A4D6A76" w14:textId="77777777" w:rsidR="00C91CCA" w:rsidRPr="00A770A8" w:rsidRDefault="00C91CCA" w:rsidP="00920A63">
            <w:pPr>
              <w:pStyle w:val="ListParagraph"/>
              <w:numPr>
                <w:ilvl w:val="0"/>
                <w:numId w:val="7"/>
              </w:numPr>
              <w:rPr>
                <w:b w:val="0"/>
              </w:rPr>
            </w:pPr>
            <w:r w:rsidRPr="00A770A8">
              <w:rPr>
                <w:b w:val="0"/>
              </w:rPr>
              <w:t xml:space="preserve">Giá trị tài sản ròng trên một đơn vị quỹ tại ngày </w:t>
            </w:r>
            <w:r w:rsidR="008463F5" w:rsidRPr="00A770A8">
              <w:rPr>
                <w:b w:val="0"/>
              </w:rPr>
              <w:t>30/06/2019</w:t>
            </w:r>
          </w:p>
        </w:tc>
        <w:tc>
          <w:tcPr>
            <w:tcW w:w="2018" w:type="dxa"/>
            <w:vAlign w:val="center"/>
          </w:tcPr>
          <w:p w14:paraId="06FA2EE7" w14:textId="7CACF392" w:rsidR="00C91CCA" w:rsidRPr="00A770A8" w:rsidRDefault="00E77A50" w:rsidP="00920A63">
            <w:pPr>
              <w:ind w:right="90"/>
              <w:jc w:val="right"/>
              <w:rPr>
                <w:rFonts w:ascii="Times New Roman" w:hAnsi="Times New Roman"/>
                <w:sz w:val="24"/>
                <w:szCs w:val="24"/>
              </w:rPr>
            </w:pPr>
            <w:r w:rsidRPr="00A770A8">
              <w:rPr>
                <w:rFonts w:ascii="Times New Roman" w:hAnsi="Times New Roman"/>
                <w:sz w:val="24"/>
                <w:szCs w:val="24"/>
              </w:rPr>
              <w:t>10</w:t>
            </w:r>
            <w:r w:rsidR="0072245F" w:rsidRPr="00A770A8">
              <w:rPr>
                <w:rFonts w:ascii="Times New Roman" w:hAnsi="Times New Roman"/>
                <w:sz w:val="24"/>
                <w:szCs w:val="24"/>
              </w:rPr>
              <w:t>.054,</w:t>
            </w:r>
            <w:r w:rsidRPr="00A770A8">
              <w:rPr>
                <w:rFonts w:ascii="Times New Roman" w:hAnsi="Times New Roman"/>
                <w:sz w:val="24"/>
                <w:szCs w:val="24"/>
              </w:rPr>
              <w:t>97</w:t>
            </w:r>
          </w:p>
        </w:tc>
      </w:tr>
      <w:tr w:rsidR="00C91CCA" w:rsidRPr="00A770A8" w14:paraId="1DF4D72D" w14:textId="77777777" w:rsidTr="009D6DBC">
        <w:trPr>
          <w:trHeight w:val="358"/>
        </w:trPr>
        <w:tc>
          <w:tcPr>
            <w:tcW w:w="8062" w:type="dxa"/>
            <w:shd w:val="clear" w:color="auto" w:fill="auto"/>
            <w:vAlign w:val="bottom"/>
            <w:hideMark/>
          </w:tcPr>
          <w:p w14:paraId="7EF91EEA" w14:textId="77777777" w:rsidR="00C91CCA" w:rsidRPr="00A770A8" w:rsidRDefault="00C91CCA" w:rsidP="00920A63">
            <w:pPr>
              <w:pStyle w:val="ListParagraph"/>
              <w:numPr>
                <w:ilvl w:val="0"/>
                <w:numId w:val="7"/>
              </w:numPr>
              <w:rPr>
                <w:b w:val="0"/>
              </w:rPr>
            </w:pPr>
            <w:r w:rsidRPr="00A770A8">
              <w:rPr>
                <w:b w:val="0"/>
              </w:rPr>
              <w:t xml:space="preserve">Số lượng chứng chỉ quỹ đang lưu hành tại ngày </w:t>
            </w:r>
            <w:r w:rsidR="008463F5" w:rsidRPr="00A770A8">
              <w:rPr>
                <w:b w:val="0"/>
              </w:rPr>
              <w:t>30/06/2019</w:t>
            </w:r>
          </w:p>
        </w:tc>
        <w:tc>
          <w:tcPr>
            <w:tcW w:w="2018" w:type="dxa"/>
            <w:vAlign w:val="center"/>
          </w:tcPr>
          <w:p w14:paraId="3623FEDB" w14:textId="31531A5B" w:rsidR="00C91CCA" w:rsidRPr="00A770A8" w:rsidRDefault="0072245F" w:rsidP="00920A63">
            <w:pPr>
              <w:ind w:right="90"/>
              <w:jc w:val="right"/>
              <w:rPr>
                <w:rFonts w:ascii="Times New Roman" w:hAnsi="Times New Roman"/>
                <w:sz w:val="24"/>
                <w:szCs w:val="24"/>
              </w:rPr>
            </w:pPr>
            <w:r w:rsidRPr="00A770A8">
              <w:rPr>
                <w:rFonts w:ascii="Times New Roman" w:hAnsi="Times New Roman"/>
                <w:sz w:val="24"/>
                <w:szCs w:val="24"/>
              </w:rPr>
              <w:t>10.051.088,</w:t>
            </w:r>
            <w:r w:rsidR="00E77A50" w:rsidRPr="00A770A8">
              <w:rPr>
                <w:rFonts w:ascii="Times New Roman" w:hAnsi="Times New Roman"/>
                <w:sz w:val="24"/>
                <w:szCs w:val="24"/>
              </w:rPr>
              <w:t>93</w:t>
            </w:r>
          </w:p>
        </w:tc>
      </w:tr>
      <w:tr w:rsidR="00C91CCA" w:rsidRPr="00A770A8" w14:paraId="0549FBA1" w14:textId="77777777" w:rsidTr="009D6DBC">
        <w:trPr>
          <w:trHeight w:val="358"/>
        </w:trPr>
        <w:tc>
          <w:tcPr>
            <w:tcW w:w="8062" w:type="dxa"/>
            <w:shd w:val="clear" w:color="auto" w:fill="auto"/>
            <w:vAlign w:val="bottom"/>
            <w:hideMark/>
          </w:tcPr>
          <w:p w14:paraId="54EF94FD" w14:textId="62342899" w:rsidR="00C91CCA" w:rsidRPr="00A770A8" w:rsidRDefault="00C91CCA" w:rsidP="00920A63">
            <w:pPr>
              <w:rPr>
                <w:rFonts w:ascii="Times New Roman" w:hAnsi="Times New Roman"/>
                <w:sz w:val="24"/>
                <w:szCs w:val="24"/>
              </w:rPr>
            </w:pPr>
            <w:r w:rsidRPr="00A770A8">
              <w:rPr>
                <w:rFonts w:ascii="Times New Roman" w:hAnsi="Times New Roman"/>
                <w:sz w:val="24"/>
                <w:szCs w:val="24"/>
                <w:lang w:val="nl-NL"/>
              </w:rPr>
              <w:t>Giá trị tài sản ròng trên một đơn vị quỹ cao nhất/thấp nhất trong</w:t>
            </w:r>
            <w:r w:rsidR="00E77A50" w:rsidRPr="00A770A8">
              <w:rPr>
                <w:rFonts w:ascii="Times New Roman" w:hAnsi="Times New Roman"/>
                <w:sz w:val="24"/>
                <w:szCs w:val="24"/>
                <w:lang w:val="nl-NL"/>
              </w:rPr>
              <w:t xml:space="preserve"> kỳ</w:t>
            </w:r>
          </w:p>
        </w:tc>
        <w:tc>
          <w:tcPr>
            <w:tcW w:w="2018" w:type="dxa"/>
            <w:vAlign w:val="center"/>
          </w:tcPr>
          <w:p w14:paraId="06339E3B" w14:textId="77777777" w:rsidR="00C91CCA" w:rsidRPr="00A770A8" w:rsidRDefault="00C91CCA" w:rsidP="00920A63">
            <w:pPr>
              <w:ind w:right="90"/>
              <w:jc w:val="right"/>
              <w:rPr>
                <w:rFonts w:ascii="Times New Roman" w:hAnsi="Times New Roman"/>
                <w:sz w:val="24"/>
                <w:szCs w:val="24"/>
              </w:rPr>
            </w:pPr>
          </w:p>
        </w:tc>
      </w:tr>
      <w:tr w:rsidR="00C91CCA" w:rsidRPr="00A770A8" w14:paraId="0880C527" w14:textId="77777777" w:rsidTr="009D6DBC">
        <w:trPr>
          <w:trHeight w:val="358"/>
        </w:trPr>
        <w:tc>
          <w:tcPr>
            <w:tcW w:w="8062" w:type="dxa"/>
            <w:shd w:val="clear" w:color="auto" w:fill="auto"/>
            <w:vAlign w:val="bottom"/>
          </w:tcPr>
          <w:p w14:paraId="0246F9D4" w14:textId="7863EC74" w:rsidR="00C91CCA" w:rsidRPr="00A770A8" w:rsidRDefault="00C91CCA" w:rsidP="00920A63">
            <w:pPr>
              <w:pStyle w:val="ListParagraph"/>
              <w:numPr>
                <w:ilvl w:val="0"/>
                <w:numId w:val="7"/>
              </w:numPr>
              <w:rPr>
                <w:b w:val="0"/>
              </w:rPr>
            </w:pPr>
            <w:r w:rsidRPr="00A770A8">
              <w:rPr>
                <w:b w:val="0"/>
              </w:rPr>
              <w:t xml:space="preserve">Giá trị tài sản ròng trên một đơn vị quỹ cao nhất </w:t>
            </w:r>
          </w:p>
        </w:tc>
        <w:tc>
          <w:tcPr>
            <w:tcW w:w="2018" w:type="dxa"/>
            <w:vAlign w:val="center"/>
          </w:tcPr>
          <w:p w14:paraId="77EADF2D" w14:textId="78DE6142" w:rsidR="00C91CCA" w:rsidRPr="00A770A8" w:rsidRDefault="00E77A50" w:rsidP="00920A63">
            <w:pPr>
              <w:ind w:right="90"/>
              <w:jc w:val="right"/>
              <w:rPr>
                <w:rFonts w:ascii="Times New Roman" w:hAnsi="Times New Roman"/>
                <w:sz w:val="24"/>
                <w:szCs w:val="24"/>
              </w:rPr>
            </w:pPr>
            <w:r w:rsidRPr="00A770A8">
              <w:rPr>
                <w:rFonts w:ascii="Times New Roman" w:hAnsi="Times New Roman"/>
                <w:sz w:val="24"/>
                <w:szCs w:val="24"/>
              </w:rPr>
              <w:t>10</w:t>
            </w:r>
            <w:r w:rsidR="0072245F" w:rsidRPr="00A770A8">
              <w:rPr>
                <w:rFonts w:ascii="Times New Roman" w:hAnsi="Times New Roman"/>
                <w:sz w:val="24"/>
                <w:szCs w:val="24"/>
              </w:rPr>
              <w:t>.054,</w:t>
            </w:r>
            <w:r w:rsidRPr="00A770A8">
              <w:rPr>
                <w:rFonts w:ascii="Times New Roman" w:hAnsi="Times New Roman"/>
                <w:sz w:val="24"/>
                <w:szCs w:val="24"/>
              </w:rPr>
              <w:t>97</w:t>
            </w:r>
          </w:p>
        </w:tc>
      </w:tr>
      <w:tr w:rsidR="00C91CCA" w:rsidRPr="00A770A8" w14:paraId="17DE3186" w14:textId="77777777" w:rsidTr="009D6DBC">
        <w:trPr>
          <w:trHeight w:val="358"/>
        </w:trPr>
        <w:tc>
          <w:tcPr>
            <w:tcW w:w="8062" w:type="dxa"/>
            <w:shd w:val="clear" w:color="auto" w:fill="auto"/>
            <w:vAlign w:val="bottom"/>
            <w:hideMark/>
          </w:tcPr>
          <w:p w14:paraId="4F1820B0" w14:textId="2C73168D" w:rsidR="00C91CCA" w:rsidRPr="00A770A8" w:rsidRDefault="00C91CCA" w:rsidP="00920A63">
            <w:pPr>
              <w:pStyle w:val="ListParagraph"/>
              <w:numPr>
                <w:ilvl w:val="0"/>
                <w:numId w:val="7"/>
              </w:numPr>
              <w:rPr>
                <w:b w:val="0"/>
              </w:rPr>
            </w:pPr>
            <w:r w:rsidRPr="00A770A8">
              <w:rPr>
                <w:b w:val="0"/>
              </w:rPr>
              <w:t xml:space="preserve">Giá trị tài sản ròng trên một đơn vị quỹ thấp nhất </w:t>
            </w:r>
          </w:p>
        </w:tc>
        <w:tc>
          <w:tcPr>
            <w:tcW w:w="2018" w:type="dxa"/>
            <w:vAlign w:val="center"/>
          </w:tcPr>
          <w:p w14:paraId="6BAAF0A1" w14:textId="3505A96F" w:rsidR="00C91CCA" w:rsidRPr="00A770A8" w:rsidRDefault="0072245F" w:rsidP="00920A63">
            <w:pPr>
              <w:ind w:right="90"/>
              <w:jc w:val="right"/>
              <w:rPr>
                <w:rFonts w:ascii="Times New Roman" w:hAnsi="Times New Roman"/>
                <w:sz w:val="24"/>
                <w:szCs w:val="24"/>
              </w:rPr>
            </w:pPr>
            <w:r w:rsidRPr="00A770A8">
              <w:rPr>
                <w:rFonts w:ascii="Times New Roman" w:hAnsi="Times New Roman"/>
                <w:sz w:val="24"/>
                <w:szCs w:val="24"/>
              </w:rPr>
              <w:t>9.997,</w:t>
            </w:r>
            <w:r w:rsidR="00E77A50" w:rsidRPr="00A770A8">
              <w:rPr>
                <w:rFonts w:ascii="Times New Roman" w:hAnsi="Times New Roman"/>
                <w:sz w:val="24"/>
                <w:szCs w:val="24"/>
              </w:rPr>
              <w:t>36</w:t>
            </w:r>
          </w:p>
        </w:tc>
      </w:tr>
    </w:tbl>
    <w:p w14:paraId="421E9DD9" w14:textId="77777777" w:rsidR="003F0046" w:rsidRPr="00A770A8" w:rsidRDefault="003F0046" w:rsidP="00920A63">
      <w:pPr>
        <w:spacing w:before="120"/>
        <w:jc w:val="both"/>
        <w:rPr>
          <w:rFonts w:ascii="Times New Roman" w:hAnsi="Times New Roman"/>
          <w:sz w:val="24"/>
          <w:szCs w:val="24"/>
        </w:rPr>
      </w:pPr>
    </w:p>
    <w:p w14:paraId="2B9A6234" w14:textId="770C4DE8"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Tổng lợi nhuận của quỹ, nêu chi tiết phần lợi nhuận thu được từ sự tăng trưởng giá chứng khoán (giá trị lãi vốn) và phần lợi nhuận thu được từ lợi tức chứng khoán (cổ tức, trái tức, lãi suấ</w:t>
      </w:r>
      <w:r w:rsidR="00381E33" w:rsidRPr="00A770A8">
        <w:rPr>
          <w:rFonts w:ascii="Times New Roman" w:hAnsi="Times New Roman"/>
          <w:sz w:val="24"/>
          <w:szCs w:val="24"/>
        </w:rPr>
        <w:t>t tiền gửi…) (giá trị thu nhập):</w:t>
      </w:r>
    </w:p>
    <w:p w14:paraId="5CB62C98" w14:textId="77777777" w:rsidR="00100E1C" w:rsidRPr="00A770A8" w:rsidRDefault="00100E1C" w:rsidP="00920A63">
      <w:pPr>
        <w:spacing w:before="120"/>
        <w:jc w:val="both"/>
        <w:rPr>
          <w:rFonts w:ascii="Times New Roman" w:hAnsi="Times New Roman"/>
          <w:sz w:val="24"/>
          <w:szCs w:val="24"/>
        </w:rPr>
      </w:pPr>
    </w:p>
    <w:tbl>
      <w:tblPr>
        <w:tblW w:w="100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61"/>
        <w:gridCol w:w="2019"/>
      </w:tblGrid>
      <w:tr w:rsidR="00C91CCA" w:rsidRPr="00A770A8" w14:paraId="60BBBC2E" w14:textId="77777777" w:rsidTr="00FF72F7">
        <w:trPr>
          <w:trHeight w:val="548"/>
        </w:trPr>
        <w:tc>
          <w:tcPr>
            <w:tcW w:w="8061" w:type="dxa"/>
            <w:shd w:val="clear" w:color="auto" w:fill="B8CCE4" w:themeFill="accent1" w:themeFillTint="66"/>
            <w:vAlign w:val="center"/>
            <w:hideMark/>
          </w:tcPr>
          <w:p w14:paraId="53D9BCE7" w14:textId="2474D115" w:rsidR="00C91CCA" w:rsidRPr="00A770A8" w:rsidRDefault="00BD0547" w:rsidP="00920A63">
            <w:pPr>
              <w:spacing w:before="100" w:beforeAutospacing="1" w:after="100" w:afterAutospacing="1"/>
              <w:jc w:val="center"/>
              <w:rPr>
                <w:rFonts w:ascii="Times New Roman" w:eastAsiaTheme="minorHAnsi" w:hAnsi="Times New Roman"/>
                <w:b/>
                <w:bCs/>
                <w:iCs/>
                <w:sz w:val="24"/>
                <w:szCs w:val="24"/>
              </w:rPr>
            </w:pPr>
            <w:r w:rsidRPr="00A770A8">
              <w:rPr>
                <w:rFonts w:ascii="Times New Roman" w:eastAsiaTheme="minorHAnsi" w:hAnsi="Times New Roman"/>
                <w:b/>
                <w:bCs/>
                <w:sz w:val="24"/>
                <w:szCs w:val="24"/>
              </w:rPr>
              <w:t>Chỉ tiêu</w:t>
            </w:r>
          </w:p>
        </w:tc>
        <w:tc>
          <w:tcPr>
            <w:tcW w:w="2019" w:type="dxa"/>
            <w:shd w:val="clear" w:color="auto" w:fill="B8CCE4" w:themeFill="accent1" w:themeFillTint="66"/>
            <w:vAlign w:val="center"/>
          </w:tcPr>
          <w:p w14:paraId="6330C328" w14:textId="455B6FE5" w:rsidR="00C91CCA" w:rsidRPr="00A770A8" w:rsidRDefault="0031567D" w:rsidP="00920A63">
            <w:pPr>
              <w:jc w:val="center"/>
              <w:rPr>
                <w:rFonts w:ascii="Times New Roman" w:hAnsi="Times New Roman"/>
                <w:b/>
                <w:sz w:val="24"/>
                <w:szCs w:val="24"/>
              </w:rPr>
            </w:pPr>
            <w:r w:rsidRPr="00A770A8">
              <w:rPr>
                <w:rFonts w:ascii="Times New Roman" w:hAnsi="Times New Roman"/>
                <w:b/>
                <w:sz w:val="24"/>
                <w:szCs w:val="24"/>
              </w:rPr>
              <w:t>30/06/2019</w:t>
            </w:r>
          </w:p>
        </w:tc>
      </w:tr>
      <w:tr w:rsidR="00C91CCA" w:rsidRPr="00A770A8" w14:paraId="0E207322" w14:textId="77777777" w:rsidTr="009D6DBC">
        <w:trPr>
          <w:trHeight w:val="362"/>
        </w:trPr>
        <w:tc>
          <w:tcPr>
            <w:tcW w:w="8061" w:type="dxa"/>
            <w:shd w:val="clear" w:color="auto" w:fill="auto"/>
            <w:vAlign w:val="center"/>
            <w:hideMark/>
          </w:tcPr>
          <w:p w14:paraId="1D2F2B12" w14:textId="77777777" w:rsidR="00C91CCA" w:rsidRPr="00A770A8" w:rsidRDefault="00C91CCA" w:rsidP="00920A63">
            <w:pPr>
              <w:rPr>
                <w:rFonts w:ascii="Times New Roman" w:hAnsi="Times New Roman"/>
                <w:b/>
                <w:sz w:val="24"/>
                <w:szCs w:val="24"/>
              </w:rPr>
            </w:pPr>
            <w:r w:rsidRPr="00A770A8">
              <w:rPr>
                <w:rFonts w:ascii="Times New Roman" w:hAnsi="Times New Roman"/>
                <w:b/>
                <w:sz w:val="24"/>
                <w:szCs w:val="24"/>
              </w:rPr>
              <w:t>Tổng thu nhập của Quỹ</w:t>
            </w:r>
          </w:p>
        </w:tc>
        <w:tc>
          <w:tcPr>
            <w:tcW w:w="2019" w:type="dxa"/>
            <w:vAlign w:val="center"/>
          </w:tcPr>
          <w:p w14:paraId="35941CC5" w14:textId="2091F9AB" w:rsidR="00C91CCA" w:rsidRPr="00A770A8" w:rsidRDefault="00F05C43" w:rsidP="00920A63">
            <w:pPr>
              <w:ind w:right="95"/>
              <w:jc w:val="right"/>
              <w:rPr>
                <w:rFonts w:ascii="Times New Roman" w:eastAsiaTheme="minorHAnsi" w:hAnsi="Times New Roman"/>
                <w:b/>
                <w:bCs/>
                <w:sz w:val="24"/>
                <w:szCs w:val="24"/>
              </w:rPr>
            </w:pPr>
            <w:r w:rsidRPr="00A770A8">
              <w:rPr>
                <w:rFonts w:ascii="Times New Roman" w:eastAsiaTheme="minorHAnsi" w:hAnsi="Times New Roman"/>
                <w:b/>
                <w:bCs/>
                <w:sz w:val="24"/>
                <w:szCs w:val="24"/>
              </w:rPr>
              <w:t>796.</w:t>
            </w:r>
            <w:r w:rsidR="00E83978" w:rsidRPr="00A770A8">
              <w:rPr>
                <w:rFonts w:ascii="Times New Roman" w:eastAsiaTheme="minorHAnsi" w:hAnsi="Times New Roman"/>
                <w:b/>
                <w:bCs/>
                <w:sz w:val="24"/>
                <w:szCs w:val="24"/>
              </w:rPr>
              <w:t>821</w:t>
            </w:r>
            <w:r w:rsidRPr="00A770A8">
              <w:rPr>
                <w:rFonts w:ascii="Times New Roman" w:eastAsiaTheme="minorHAnsi" w:hAnsi="Times New Roman"/>
                <w:b/>
                <w:bCs/>
                <w:sz w:val="24"/>
                <w:szCs w:val="24"/>
              </w:rPr>
              <w:t>.</w:t>
            </w:r>
            <w:r w:rsidR="00E83978" w:rsidRPr="00A770A8">
              <w:rPr>
                <w:rFonts w:ascii="Times New Roman" w:eastAsiaTheme="minorHAnsi" w:hAnsi="Times New Roman"/>
                <w:b/>
                <w:bCs/>
                <w:sz w:val="24"/>
                <w:szCs w:val="24"/>
              </w:rPr>
              <w:t>918</w:t>
            </w:r>
          </w:p>
        </w:tc>
      </w:tr>
      <w:tr w:rsidR="00C91CCA" w:rsidRPr="00A770A8" w14:paraId="38115C6D" w14:textId="77777777" w:rsidTr="009D6DBC">
        <w:trPr>
          <w:trHeight w:val="351"/>
        </w:trPr>
        <w:tc>
          <w:tcPr>
            <w:tcW w:w="8061" w:type="dxa"/>
            <w:shd w:val="clear" w:color="auto" w:fill="auto"/>
            <w:vAlign w:val="center"/>
            <w:hideMark/>
          </w:tcPr>
          <w:p w14:paraId="69C9D9D9" w14:textId="27C1658C" w:rsidR="00C91CCA" w:rsidRPr="00A770A8" w:rsidRDefault="00C91CCA" w:rsidP="00920A63">
            <w:pPr>
              <w:rPr>
                <w:rFonts w:ascii="Times New Roman" w:hAnsi="Times New Roman"/>
                <w:sz w:val="24"/>
                <w:szCs w:val="24"/>
              </w:rPr>
            </w:pPr>
            <w:r w:rsidRPr="00A770A8">
              <w:rPr>
                <w:rFonts w:ascii="Times New Roman" w:hAnsi="Times New Roman"/>
                <w:sz w:val="24"/>
                <w:szCs w:val="24"/>
              </w:rPr>
              <w:t xml:space="preserve">- Lãi suất tiền gửi được nhận trong </w:t>
            </w:r>
            <w:r w:rsidR="0031567D" w:rsidRPr="00A770A8">
              <w:rPr>
                <w:rFonts w:ascii="Times New Roman" w:hAnsi="Times New Roman"/>
                <w:sz w:val="24"/>
                <w:szCs w:val="24"/>
              </w:rPr>
              <w:t>kỳ</w:t>
            </w:r>
          </w:p>
        </w:tc>
        <w:tc>
          <w:tcPr>
            <w:tcW w:w="2019" w:type="dxa"/>
            <w:vAlign w:val="center"/>
          </w:tcPr>
          <w:p w14:paraId="7FB75A55" w14:textId="49006AC3" w:rsidR="00C91CCA" w:rsidRPr="00A770A8" w:rsidRDefault="00E83978" w:rsidP="00920A63">
            <w:pPr>
              <w:ind w:right="95"/>
              <w:jc w:val="right"/>
              <w:rPr>
                <w:rFonts w:ascii="Times New Roman" w:eastAsiaTheme="minorHAnsi" w:hAnsi="Times New Roman"/>
                <w:iCs/>
                <w:sz w:val="24"/>
                <w:szCs w:val="24"/>
              </w:rPr>
            </w:pPr>
            <w:r w:rsidRPr="00A770A8">
              <w:rPr>
                <w:rFonts w:ascii="Times New Roman" w:eastAsiaTheme="minorHAnsi" w:hAnsi="Times New Roman"/>
                <w:iCs/>
                <w:sz w:val="24"/>
                <w:szCs w:val="24"/>
              </w:rPr>
              <w:t>537</w:t>
            </w:r>
            <w:r w:rsidR="00F05C43" w:rsidRPr="00A770A8">
              <w:rPr>
                <w:rFonts w:ascii="Times New Roman" w:eastAsiaTheme="minorHAnsi" w:hAnsi="Times New Roman"/>
                <w:iCs/>
                <w:sz w:val="24"/>
                <w:szCs w:val="24"/>
              </w:rPr>
              <w:t>.561.</w:t>
            </w:r>
            <w:r w:rsidRPr="00A770A8">
              <w:rPr>
                <w:rFonts w:ascii="Times New Roman" w:eastAsiaTheme="minorHAnsi" w:hAnsi="Times New Roman"/>
                <w:iCs/>
                <w:sz w:val="24"/>
                <w:szCs w:val="24"/>
              </w:rPr>
              <w:t>644</w:t>
            </w:r>
          </w:p>
        </w:tc>
      </w:tr>
      <w:tr w:rsidR="0031567D" w:rsidRPr="00A770A8" w14:paraId="7CA8DCD1" w14:textId="77777777" w:rsidTr="009D6DBC">
        <w:trPr>
          <w:trHeight w:val="351"/>
        </w:trPr>
        <w:tc>
          <w:tcPr>
            <w:tcW w:w="8061" w:type="dxa"/>
            <w:shd w:val="clear" w:color="auto" w:fill="auto"/>
            <w:vAlign w:val="center"/>
          </w:tcPr>
          <w:p w14:paraId="72694226" w14:textId="06B6A8D8" w:rsidR="0031567D" w:rsidRPr="00A770A8" w:rsidRDefault="0031567D" w:rsidP="00920A63">
            <w:pPr>
              <w:rPr>
                <w:rFonts w:ascii="Times New Roman" w:hAnsi="Times New Roman"/>
                <w:sz w:val="24"/>
                <w:szCs w:val="24"/>
              </w:rPr>
            </w:pPr>
            <w:r w:rsidRPr="00A770A8">
              <w:rPr>
                <w:rFonts w:ascii="Times New Roman" w:hAnsi="Times New Roman"/>
                <w:sz w:val="24"/>
                <w:szCs w:val="24"/>
              </w:rPr>
              <w:t>- Lãi suất chứng chỉ tiền gửi trong kỳ</w:t>
            </w:r>
          </w:p>
        </w:tc>
        <w:tc>
          <w:tcPr>
            <w:tcW w:w="2019" w:type="dxa"/>
            <w:vAlign w:val="center"/>
          </w:tcPr>
          <w:p w14:paraId="4B1B9827" w14:textId="126D5596" w:rsidR="0031567D" w:rsidRPr="00A770A8" w:rsidRDefault="00E83978" w:rsidP="00920A63">
            <w:pPr>
              <w:ind w:right="95"/>
              <w:jc w:val="right"/>
              <w:rPr>
                <w:rFonts w:ascii="Times New Roman" w:eastAsiaTheme="minorHAnsi" w:hAnsi="Times New Roman"/>
                <w:iCs/>
                <w:sz w:val="24"/>
                <w:szCs w:val="24"/>
              </w:rPr>
            </w:pPr>
            <w:r w:rsidRPr="00A770A8">
              <w:rPr>
                <w:rFonts w:ascii="Times New Roman" w:eastAsiaTheme="minorHAnsi" w:hAnsi="Times New Roman"/>
                <w:iCs/>
                <w:sz w:val="24"/>
                <w:szCs w:val="24"/>
              </w:rPr>
              <w:t>259</w:t>
            </w:r>
            <w:r w:rsidR="00F05C43" w:rsidRPr="00A770A8">
              <w:rPr>
                <w:rFonts w:ascii="Times New Roman" w:eastAsiaTheme="minorHAnsi" w:hAnsi="Times New Roman"/>
                <w:iCs/>
                <w:sz w:val="24"/>
                <w:szCs w:val="24"/>
              </w:rPr>
              <w:t>.260.</w:t>
            </w:r>
            <w:r w:rsidRPr="00A770A8">
              <w:rPr>
                <w:rFonts w:ascii="Times New Roman" w:eastAsiaTheme="minorHAnsi" w:hAnsi="Times New Roman"/>
                <w:iCs/>
                <w:sz w:val="24"/>
                <w:szCs w:val="24"/>
              </w:rPr>
              <w:t>274</w:t>
            </w:r>
          </w:p>
        </w:tc>
      </w:tr>
      <w:tr w:rsidR="00C91CCA" w:rsidRPr="00A770A8" w14:paraId="7B2CF325" w14:textId="77777777" w:rsidTr="009D6DBC">
        <w:trPr>
          <w:trHeight w:val="351"/>
        </w:trPr>
        <w:tc>
          <w:tcPr>
            <w:tcW w:w="8061" w:type="dxa"/>
            <w:shd w:val="clear" w:color="auto" w:fill="auto"/>
            <w:vAlign w:val="center"/>
            <w:hideMark/>
          </w:tcPr>
          <w:p w14:paraId="30101396" w14:textId="77777777" w:rsidR="00C91CCA" w:rsidRPr="00A770A8" w:rsidRDefault="00C91CCA" w:rsidP="00920A63">
            <w:pPr>
              <w:rPr>
                <w:rFonts w:ascii="Times New Roman" w:hAnsi="Times New Roman"/>
                <w:b/>
                <w:sz w:val="24"/>
                <w:szCs w:val="24"/>
              </w:rPr>
            </w:pPr>
            <w:r w:rsidRPr="00A770A8">
              <w:rPr>
                <w:rFonts w:ascii="Times New Roman" w:hAnsi="Times New Roman"/>
                <w:b/>
                <w:sz w:val="24"/>
                <w:szCs w:val="24"/>
              </w:rPr>
              <w:t>Tổng chi phí của Quỹ</w:t>
            </w:r>
          </w:p>
        </w:tc>
        <w:tc>
          <w:tcPr>
            <w:tcW w:w="2019" w:type="dxa"/>
            <w:vAlign w:val="center"/>
          </w:tcPr>
          <w:p w14:paraId="73CC2ED1" w14:textId="4382C9BA" w:rsidR="00C91CCA" w:rsidRPr="00A770A8" w:rsidRDefault="00E83978" w:rsidP="00920A63">
            <w:pPr>
              <w:ind w:right="95"/>
              <w:jc w:val="right"/>
              <w:rPr>
                <w:rFonts w:ascii="Times New Roman" w:eastAsiaTheme="minorHAnsi" w:hAnsi="Times New Roman"/>
                <w:b/>
                <w:bCs/>
                <w:sz w:val="24"/>
                <w:szCs w:val="24"/>
              </w:rPr>
            </w:pPr>
            <w:r w:rsidRPr="00A770A8">
              <w:rPr>
                <w:rFonts w:ascii="Times New Roman" w:eastAsiaTheme="minorHAnsi" w:hAnsi="Times New Roman"/>
                <w:b/>
                <w:bCs/>
                <w:sz w:val="24"/>
                <w:szCs w:val="24"/>
              </w:rPr>
              <w:t>449</w:t>
            </w:r>
            <w:r w:rsidR="00F05C43" w:rsidRPr="00A770A8">
              <w:rPr>
                <w:rFonts w:ascii="Times New Roman" w:eastAsiaTheme="minorHAnsi" w:hAnsi="Times New Roman"/>
                <w:b/>
                <w:bCs/>
                <w:sz w:val="24"/>
                <w:szCs w:val="24"/>
              </w:rPr>
              <w:t>.</w:t>
            </w:r>
            <w:r w:rsidRPr="00A770A8">
              <w:rPr>
                <w:rFonts w:ascii="Times New Roman" w:eastAsiaTheme="minorHAnsi" w:hAnsi="Times New Roman"/>
                <w:b/>
                <w:bCs/>
                <w:sz w:val="24"/>
                <w:szCs w:val="24"/>
              </w:rPr>
              <w:t>380</w:t>
            </w:r>
            <w:r w:rsidR="00F05C43" w:rsidRPr="00A770A8">
              <w:rPr>
                <w:rFonts w:ascii="Times New Roman" w:eastAsiaTheme="minorHAnsi" w:hAnsi="Times New Roman"/>
                <w:b/>
                <w:bCs/>
                <w:sz w:val="24"/>
                <w:szCs w:val="24"/>
              </w:rPr>
              <w:t>.</w:t>
            </w:r>
            <w:r w:rsidRPr="00A770A8">
              <w:rPr>
                <w:rFonts w:ascii="Times New Roman" w:eastAsiaTheme="minorHAnsi" w:hAnsi="Times New Roman"/>
                <w:b/>
                <w:bCs/>
                <w:sz w:val="24"/>
                <w:szCs w:val="24"/>
              </w:rPr>
              <w:t>082</w:t>
            </w:r>
          </w:p>
        </w:tc>
      </w:tr>
      <w:tr w:rsidR="00C91CCA" w:rsidRPr="00A770A8" w14:paraId="7E6CBD3A" w14:textId="77777777" w:rsidTr="009D6DBC">
        <w:trPr>
          <w:trHeight w:val="351"/>
        </w:trPr>
        <w:tc>
          <w:tcPr>
            <w:tcW w:w="8061" w:type="dxa"/>
            <w:shd w:val="clear" w:color="auto" w:fill="auto"/>
            <w:vAlign w:val="center"/>
            <w:hideMark/>
          </w:tcPr>
          <w:p w14:paraId="0678CFF3" w14:textId="77777777" w:rsidR="00C91CCA" w:rsidRPr="00A770A8" w:rsidRDefault="00C91CCA" w:rsidP="00920A63">
            <w:pPr>
              <w:rPr>
                <w:rFonts w:ascii="Times New Roman" w:hAnsi="Times New Roman"/>
                <w:b/>
                <w:sz w:val="24"/>
                <w:szCs w:val="24"/>
              </w:rPr>
            </w:pPr>
            <w:r w:rsidRPr="00A770A8">
              <w:rPr>
                <w:rFonts w:ascii="Times New Roman" w:hAnsi="Times New Roman"/>
                <w:b/>
                <w:sz w:val="24"/>
                <w:szCs w:val="24"/>
              </w:rPr>
              <w:t xml:space="preserve">Tổng lợi nhuận của Quỹ tại ngày </w:t>
            </w:r>
            <w:r w:rsidR="008463F5" w:rsidRPr="00A770A8">
              <w:rPr>
                <w:rFonts w:ascii="Times New Roman" w:hAnsi="Times New Roman"/>
                <w:b/>
                <w:sz w:val="24"/>
                <w:szCs w:val="24"/>
              </w:rPr>
              <w:t>30/06/2019</w:t>
            </w:r>
          </w:p>
        </w:tc>
        <w:tc>
          <w:tcPr>
            <w:tcW w:w="2019" w:type="dxa"/>
            <w:vAlign w:val="center"/>
          </w:tcPr>
          <w:p w14:paraId="63CE5A58" w14:textId="0B247860" w:rsidR="00C91CCA" w:rsidRPr="00A770A8" w:rsidRDefault="00E83978" w:rsidP="00920A63">
            <w:pPr>
              <w:ind w:right="95"/>
              <w:jc w:val="right"/>
              <w:rPr>
                <w:rFonts w:ascii="Times New Roman" w:eastAsiaTheme="minorHAnsi" w:hAnsi="Times New Roman"/>
                <w:b/>
                <w:bCs/>
                <w:sz w:val="24"/>
                <w:szCs w:val="24"/>
              </w:rPr>
            </w:pPr>
            <w:r w:rsidRPr="00A770A8">
              <w:rPr>
                <w:rFonts w:ascii="Times New Roman" w:eastAsiaTheme="minorHAnsi" w:hAnsi="Times New Roman"/>
                <w:b/>
                <w:bCs/>
                <w:sz w:val="24"/>
                <w:szCs w:val="24"/>
              </w:rPr>
              <w:t>347</w:t>
            </w:r>
            <w:r w:rsidR="00F05C43" w:rsidRPr="00A770A8">
              <w:rPr>
                <w:rFonts w:ascii="Times New Roman" w:eastAsiaTheme="minorHAnsi" w:hAnsi="Times New Roman"/>
                <w:b/>
                <w:bCs/>
                <w:sz w:val="24"/>
                <w:szCs w:val="24"/>
              </w:rPr>
              <w:t>.</w:t>
            </w:r>
            <w:r w:rsidRPr="00A770A8">
              <w:rPr>
                <w:rFonts w:ascii="Times New Roman" w:eastAsiaTheme="minorHAnsi" w:hAnsi="Times New Roman"/>
                <w:b/>
                <w:bCs/>
                <w:sz w:val="24"/>
                <w:szCs w:val="24"/>
              </w:rPr>
              <w:t>441</w:t>
            </w:r>
            <w:r w:rsidR="00F05C43" w:rsidRPr="00A770A8">
              <w:rPr>
                <w:rFonts w:ascii="Times New Roman" w:eastAsiaTheme="minorHAnsi" w:hAnsi="Times New Roman"/>
                <w:b/>
                <w:bCs/>
                <w:sz w:val="24"/>
                <w:szCs w:val="24"/>
              </w:rPr>
              <w:t>.</w:t>
            </w:r>
            <w:r w:rsidRPr="00A770A8">
              <w:rPr>
                <w:rFonts w:ascii="Times New Roman" w:eastAsiaTheme="minorHAnsi" w:hAnsi="Times New Roman"/>
                <w:b/>
                <w:bCs/>
                <w:sz w:val="24"/>
                <w:szCs w:val="24"/>
              </w:rPr>
              <w:t>836</w:t>
            </w:r>
          </w:p>
        </w:tc>
      </w:tr>
    </w:tbl>
    <w:p w14:paraId="2CA4636A" w14:textId="77777777" w:rsidR="00100E1C" w:rsidRPr="00A770A8" w:rsidRDefault="00100E1C" w:rsidP="00920A63">
      <w:pPr>
        <w:spacing w:before="120"/>
        <w:jc w:val="both"/>
        <w:rPr>
          <w:rFonts w:ascii="Times New Roman" w:hAnsi="Times New Roman"/>
          <w:sz w:val="24"/>
          <w:szCs w:val="24"/>
        </w:rPr>
      </w:pPr>
    </w:p>
    <w:p w14:paraId="3986B166"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 Lợi nhuận đã phân phối trên một đơn vị quỹ (giá trị thuần và giá trị gộp) trong kỳ báo cáo, kể cả trong trường hợp chi trả bằng tiền mặt hoặc chi trả bằng đơn vị quỹ; Thời điểm phân chia lợi nhuận; Giá trị tài sản ròng trên một đơn vị quỹ trước và sau thời điểm phân </w:t>
      </w:r>
      <w:r w:rsidR="00100E1C" w:rsidRPr="00A770A8">
        <w:rPr>
          <w:rFonts w:ascii="Times New Roman" w:hAnsi="Times New Roman"/>
          <w:sz w:val="24"/>
          <w:szCs w:val="24"/>
        </w:rPr>
        <w:t>chia lợi nhuận:</w:t>
      </w:r>
    </w:p>
    <w:p w14:paraId="0205513E" w14:textId="74C690F1" w:rsidR="009A3BB9" w:rsidRPr="00A770A8" w:rsidRDefault="00C315AB" w:rsidP="00920A63">
      <w:pPr>
        <w:spacing w:before="120"/>
        <w:ind w:firstLine="720"/>
        <w:jc w:val="both"/>
        <w:rPr>
          <w:rFonts w:ascii="Times New Roman" w:hAnsi="Times New Roman"/>
          <w:sz w:val="24"/>
          <w:szCs w:val="24"/>
        </w:rPr>
      </w:pPr>
      <w:r w:rsidRPr="00A770A8">
        <w:rPr>
          <w:rFonts w:ascii="Times New Roman" w:hAnsi="Times New Roman"/>
          <w:sz w:val="24"/>
          <w:szCs w:val="24"/>
        </w:rPr>
        <w:t xml:space="preserve">Trong </w:t>
      </w:r>
      <w:r w:rsidR="00DA6D74" w:rsidRPr="00A770A8">
        <w:rPr>
          <w:rFonts w:ascii="Times New Roman" w:hAnsi="Times New Roman"/>
          <w:sz w:val="24"/>
          <w:szCs w:val="24"/>
        </w:rPr>
        <w:t>kỳ báo cáo</w:t>
      </w:r>
      <w:r w:rsidR="00100E1C" w:rsidRPr="00A770A8">
        <w:rPr>
          <w:rFonts w:ascii="Times New Roman" w:hAnsi="Times New Roman"/>
          <w:sz w:val="24"/>
          <w:szCs w:val="24"/>
        </w:rPr>
        <w:t xml:space="preserve"> Quỹ </w:t>
      </w:r>
      <w:r w:rsidR="008463F5" w:rsidRPr="00A770A8">
        <w:rPr>
          <w:rFonts w:ascii="Times New Roman" w:hAnsi="Times New Roman"/>
          <w:sz w:val="24"/>
          <w:szCs w:val="24"/>
        </w:rPr>
        <w:t>chưa</w:t>
      </w:r>
      <w:r w:rsidR="00100E1C" w:rsidRPr="00A770A8">
        <w:rPr>
          <w:rFonts w:ascii="Times New Roman" w:hAnsi="Times New Roman"/>
          <w:sz w:val="24"/>
          <w:szCs w:val="24"/>
        </w:rPr>
        <w:t xml:space="preserve"> tiến hành phân phối lợi nhuận cho nhà đầu tư</w:t>
      </w:r>
    </w:p>
    <w:p w14:paraId="4C405198" w14:textId="77D345C4" w:rsidR="003F0046" w:rsidRPr="00A770A8" w:rsidRDefault="003F0046" w:rsidP="00920A63">
      <w:pPr>
        <w:spacing w:before="120"/>
        <w:jc w:val="both"/>
        <w:rPr>
          <w:rFonts w:ascii="Times New Roman" w:hAnsi="Times New Roman"/>
          <w:i/>
          <w:sz w:val="24"/>
          <w:szCs w:val="24"/>
        </w:rPr>
      </w:pPr>
      <w:r w:rsidRPr="00A770A8">
        <w:rPr>
          <w:rFonts w:ascii="Times New Roman" w:hAnsi="Times New Roman"/>
          <w:sz w:val="24"/>
          <w:szCs w:val="24"/>
        </w:rPr>
        <w:t>- Tỷ lệ chi phí hoạt động của quỹ và thuyết minh về việc chênh</w:t>
      </w:r>
      <w:r w:rsidR="00E26C0A" w:rsidRPr="00A770A8">
        <w:rPr>
          <w:rFonts w:ascii="Times New Roman" w:hAnsi="Times New Roman"/>
          <w:sz w:val="24"/>
          <w:szCs w:val="24"/>
        </w:rPr>
        <w:t xml:space="preserve"> lệch chi phí hoạt động của quỹ:</w:t>
      </w:r>
    </w:p>
    <w:p w14:paraId="5A871F24" w14:textId="4756C645" w:rsidR="00100E1C" w:rsidRPr="00A770A8" w:rsidRDefault="00100E1C" w:rsidP="00920A63">
      <w:pPr>
        <w:spacing w:before="120"/>
        <w:jc w:val="both"/>
        <w:rPr>
          <w:rFonts w:ascii="Times New Roman" w:hAnsi="Times New Roman"/>
          <w:i/>
          <w:sz w:val="24"/>
          <w:szCs w:val="24"/>
        </w:rPr>
      </w:pPr>
    </w:p>
    <w:tbl>
      <w:tblPr>
        <w:tblW w:w="10080" w:type="dxa"/>
        <w:tblInd w:w="-85" w:type="dxa"/>
        <w:tblCellMar>
          <w:left w:w="0" w:type="dxa"/>
          <w:right w:w="0" w:type="dxa"/>
        </w:tblCellMar>
        <w:tblLook w:val="04A0" w:firstRow="1" w:lastRow="0" w:firstColumn="1" w:lastColumn="0" w:noHBand="0" w:noVBand="1"/>
      </w:tblPr>
      <w:tblGrid>
        <w:gridCol w:w="8010"/>
        <w:gridCol w:w="2070"/>
      </w:tblGrid>
      <w:tr w:rsidR="009A3BB9" w:rsidRPr="00A770A8" w14:paraId="77DEA212" w14:textId="77777777" w:rsidTr="006B7A58">
        <w:trPr>
          <w:trHeight w:val="512"/>
        </w:trPr>
        <w:tc>
          <w:tcPr>
            <w:tcW w:w="8010"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14:paraId="0CC289A3" w14:textId="18EAF604" w:rsidR="009A3BB9" w:rsidRPr="00A770A8" w:rsidRDefault="00BD0547" w:rsidP="00920A63">
            <w:pPr>
              <w:spacing w:before="100" w:beforeAutospacing="1" w:after="100" w:afterAutospacing="1"/>
              <w:jc w:val="center"/>
              <w:rPr>
                <w:rFonts w:ascii="Times New Roman" w:eastAsiaTheme="minorHAnsi" w:hAnsi="Times New Roman"/>
                <w:b/>
                <w:bCs/>
                <w:sz w:val="24"/>
                <w:szCs w:val="24"/>
              </w:rPr>
            </w:pPr>
            <w:r w:rsidRPr="00A770A8">
              <w:rPr>
                <w:rFonts w:ascii="Times New Roman" w:eastAsiaTheme="minorHAnsi" w:hAnsi="Times New Roman"/>
                <w:b/>
                <w:bCs/>
                <w:sz w:val="24"/>
                <w:szCs w:val="24"/>
              </w:rPr>
              <w:t>Chỉ tiêu</w:t>
            </w:r>
          </w:p>
        </w:tc>
        <w:tc>
          <w:tcPr>
            <w:tcW w:w="2070"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1E26F8BA" w14:textId="77777777" w:rsidR="009A3BB9" w:rsidRPr="00A770A8" w:rsidRDefault="009A3BB9" w:rsidP="00920A63">
            <w:pPr>
              <w:keepNext/>
              <w:spacing w:before="100" w:beforeAutospacing="1" w:after="100" w:afterAutospacing="1"/>
              <w:jc w:val="center"/>
              <w:outlineLvl w:val="0"/>
              <w:rPr>
                <w:rFonts w:ascii="Times New Roman" w:hAnsi="Times New Roman"/>
                <w:b/>
                <w:bCs/>
                <w:sz w:val="24"/>
                <w:szCs w:val="24"/>
              </w:rPr>
            </w:pPr>
            <w:r w:rsidRPr="00A770A8">
              <w:rPr>
                <w:rFonts w:ascii="Times New Roman" w:hAnsi="Times New Roman"/>
                <w:b/>
                <w:bCs/>
                <w:sz w:val="24"/>
                <w:szCs w:val="24"/>
              </w:rPr>
              <w:t>Tại thời điểm 30/06/2019</w:t>
            </w:r>
          </w:p>
        </w:tc>
      </w:tr>
      <w:tr w:rsidR="009A3BB9" w:rsidRPr="00A770A8" w14:paraId="1457C18C" w14:textId="77777777" w:rsidTr="009D6DBC">
        <w:trPr>
          <w:trHeight w:val="737"/>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32FC9390"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phí quản lý trả cho công ty quản lý quỹ trên Giá trị tài sản ròng trung bình trong kỳ (%)</w:t>
            </w:r>
          </w:p>
        </w:tc>
        <w:tc>
          <w:tcPr>
            <w:tcW w:w="2070" w:type="dxa"/>
            <w:tcBorders>
              <w:top w:val="single" w:sz="4" w:space="0" w:color="auto"/>
              <w:left w:val="nil"/>
              <w:bottom w:val="single" w:sz="4" w:space="0" w:color="auto"/>
              <w:right w:val="single" w:sz="4" w:space="0" w:color="auto"/>
            </w:tcBorders>
            <w:vAlign w:val="center"/>
          </w:tcPr>
          <w:p w14:paraId="1EB5BB14" w14:textId="746902A8" w:rsidR="009A3BB9" w:rsidRPr="00A770A8" w:rsidRDefault="008113E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0</w:t>
            </w:r>
            <w:r w:rsidR="007C4314" w:rsidRPr="00A770A8">
              <w:rPr>
                <w:rFonts w:ascii="Times New Roman" w:eastAsiaTheme="minorHAnsi" w:hAnsi="Times New Roman"/>
                <w:sz w:val="24"/>
                <w:szCs w:val="24"/>
              </w:rPr>
              <w:t>,</w:t>
            </w:r>
            <w:r w:rsidRPr="00A770A8">
              <w:rPr>
                <w:rFonts w:ascii="Times New Roman" w:eastAsiaTheme="minorHAnsi" w:hAnsi="Times New Roman"/>
                <w:sz w:val="24"/>
                <w:szCs w:val="24"/>
              </w:rPr>
              <w:t>90</w:t>
            </w:r>
            <w:r w:rsidR="009A3BB9" w:rsidRPr="00A770A8">
              <w:rPr>
                <w:rFonts w:ascii="Times New Roman" w:eastAsiaTheme="minorHAnsi" w:hAnsi="Times New Roman"/>
                <w:sz w:val="24"/>
                <w:szCs w:val="24"/>
              </w:rPr>
              <w:t>%</w:t>
            </w:r>
          </w:p>
        </w:tc>
      </w:tr>
      <w:tr w:rsidR="009A3BB9" w:rsidRPr="00A770A8" w14:paraId="69D2534D" w14:textId="77777777" w:rsidTr="009D6DBC">
        <w:trPr>
          <w:trHeight w:val="710"/>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05A8D6CE"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phí lưu ký, giám sát trả cho Ngân hàng Giám sát trên Giá trị tài sản ròng trung bình trong kỳ (%)</w:t>
            </w:r>
          </w:p>
        </w:tc>
        <w:tc>
          <w:tcPr>
            <w:tcW w:w="2070" w:type="dxa"/>
            <w:tcBorders>
              <w:top w:val="single" w:sz="4" w:space="0" w:color="auto"/>
              <w:left w:val="nil"/>
              <w:bottom w:val="single" w:sz="4" w:space="0" w:color="auto"/>
              <w:right w:val="single" w:sz="4" w:space="0" w:color="auto"/>
            </w:tcBorders>
            <w:vAlign w:val="center"/>
          </w:tcPr>
          <w:p w14:paraId="39454021" w14:textId="38C6B89E" w:rsidR="009A3BB9" w:rsidRPr="00A770A8" w:rsidRDefault="009A3BB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0</w:t>
            </w:r>
            <w:r w:rsidR="007C4314" w:rsidRPr="00A770A8">
              <w:rPr>
                <w:rFonts w:ascii="Times New Roman" w:eastAsiaTheme="minorHAnsi" w:hAnsi="Times New Roman"/>
                <w:sz w:val="24"/>
                <w:szCs w:val="24"/>
              </w:rPr>
              <w:t>,</w:t>
            </w:r>
            <w:r w:rsidRPr="00A770A8">
              <w:rPr>
                <w:rFonts w:ascii="Times New Roman" w:eastAsiaTheme="minorHAnsi" w:hAnsi="Times New Roman"/>
                <w:sz w:val="24"/>
                <w:szCs w:val="24"/>
              </w:rPr>
              <w:t>5</w:t>
            </w:r>
            <w:r w:rsidR="008113E9" w:rsidRPr="00A770A8">
              <w:rPr>
                <w:rFonts w:ascii="Times New Roman" w:eastAsiaTheme="minorHAnsi" w:hAnsi="Times New Roman"/>
                <w:sz w:val="24"/>
                <w:szCs w:val="24"/>
              </w:rPr>
              <w:t>6</w:t>
            </w:r>
            <w:r w:rsidRPr="00A770A8">
              <w:rPr>
                <w:rFonts w:ascii="Times New Roman" w:eastAsiaTheme="minorHAnsi" w:hAnsi="Times New Roman"/>
                <w:sz w:val="24"/>
                <w:szCs w:val="24"/>
              </w:rPr>
              <w:t>%</w:t>
            </w:r>
          </w:p>
        </w:tc>
      </w:tr>
      <w:tr w:rsidR="009A3BB9" w:rsidRPr="00A770A8" w14:paraId="34E6BEB2" w14:textId="77777777" w:rsidTr="009D6DBC">
        <w:trPr>
          <w:trHeight w:val="1232"/>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44D2A15D"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chi phí dịch vụ quản trị quỹ, chi phí dịch vụ đại lý chuyển nhượng và các chi phí khác mà công ty quản lý quỹ trả cho tổ chức cung cấp dịch vụ có liên quan trên Giá trị tài sản ròng của quỹ trung bình trong kỳ (%)</w:t>
            </w:r>
          </w:p>
        </w:tc>
        <w:tc>
          <w:tcPr>
            <w:tcW w:w="2070" w:type="dxa"/>
            <w:tcBorders>
              <w:top w:val="single" w:sz="4" w:space="0" w:color="auto"/>
              <w:left w:val="nil"/>
              <w:bottom w:val="single" w:sz="4" w:space="0" w:color="auto"/>
              <w:right w:val="single" w:sz="4" w:space="0" w:color="auto"/>
            </w:tcBorders>
            <w:vAlign w:val="center"/>
          </w:tcPr>
          <w:p w14:paraId="5F85584E" w14:textId="2ECE7C4B" w:rsidR="009A3BB9" w:rsidRPr="00A770A8" w:rsidRDefault="009A3BB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0</w:t>
            </w:r>
            <w:r w:rsidR="007C4314" w:rsidRPr="00A770A8">
              <w:rPr>
                <w:rFonts w:ascii="Times New Roman" w:eastAsiaTheme="minorHAnsi" w:hAnsi="Times New Roman"/>
                <w:sz w:val="24"/>
                <w:szCs w:val="24"/>
              </w:rPr>
              <w:t>,</w:t>
            </w:r>
            <w:r w:rsidRPr="00A770A8">
              <w:rPr>
                <w:rFonts w:ascii="Times New Roman" w:eastAsiaTheme="minorHAnsi" w:hAnsi="Times New Roman"/>
                <w:sz w:val="24"/>
                <w:szCs w:val="24"/>
              </w:rPr>
              <w:t>7</w:t>
            </w:r>
            <w:r w:rsidR="008113E9" w:rsidRPr="00A770A8">
              <w:rPr>
                <w:rFonts w:ascii="Times New Roman" w:eastAsiaTheme="minorHAnsi" w:hAnsi="Times New Roman"/>
                <w:sz w:val="24"/>
                <w:szCs w:val="24"/>
              </w:rPr>
              <w:t>1</w:t>
            </w:r>
            <w:r w:rsidRPr="00A770A8">
              <w:rPr>
                <w:rFonts w:ascii="Times New Roman" w:eastAsiaTheme="minorHAnsi" w:hAnsi="Times New Roman"/>
                <w:sz w:val="24"/>
                <w:szCs w:val="24"/>
              </w:rPr>
              <w:t>%</w:t>
            </w:r>
          </w:p>
        </w:tc>
      </w:tr>
      <w:tr w:rsidR="009A3BB9" w:rsidRPr="00A770A8" w14:paraId="717A1278" w14:textId="77777777" w:rsidTr="009D6DBC">
        <w:trPr>
          <w:trHeight w:val="800"/>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132E8C95"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Chi phí kiểm toán trả cho tổ chức kiểm toán trên Giá trị tài sản ròng trung bình trong kỳ (%)</w:t>
            </w:r>
          </w:p>
        </w:tc>
        <w:tc>
          <w:tcPr>
            <w:tcW w:w="2070" w:type="dxa"/>
            <w:tcBorders>
              <w:top w:val="single" w:sz="4" w:space="0" w:color="auto"/>
              <w:left w:val="nil"/>
              <w:bottom w:val="single" w:sz="4" w:space="0" w:color="auto"/>
              <w:right w:val="single" w:sz="4" w:space="0" w:color="auto"/>
            </w:tcBorders>
            <w:vAlign w:val="center"/>
          </w:tcPr>
          <w:p w14:paraId="7BD3E267" w14:textId="01F6CD07" w:rsidR="009A3BB9" w:rsidRPr="00A770A8" w:rsidRDefault="009A3BB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0</w:t>
            </w:r>
            <w:r w:rsidR="007C4314" w:rsidRPr="00A770A8">
              <w:rPr>
                <w:rFonts w:ascii="Times New Roman" w:eastAsiaTheme="minorHAnsi" w:hAnsi="Times New Roman"/>
                <w:sz w:val="24"/>
                <w:szCs w:val="24"/>
              </w:rPr>
              <w:t>,</w:t>
            </w:r>
            <w:r w:rsidRPr="00A770A8">
              <w:rPr>
                <w:rFonts w:ascii="Times New Roman" w:eastAsiaTheme="minorHAnsi" w:hAnsi="Times New Roman"/>
                <w:sz w:val="24"/>
                <w:szCs w:val="24"/>
              </w:rPr>
              <w:t>3</w:t>
            </w:r>
            <w:r w:rsidR="008113E9" w:rsidRPr="00A770A8">
              <w:rPr>
                <w:rFonts w:ascii="Times New Roman" w:eastAsiaTheme="minorHAnsi" w:hAnsi="Times New Roman"/>
                <w:sz w:val="24"/>
                <w:szCs w:val="24"/>
              </w:rPr>
              <w:t>8</w:t>
            </w:r>
            <w:r w:rsidRPr="00A770A8">
              <w:rPr>
                <w:rFonts w:ascii="Times New Roman" w:eastAsiaTheme="minorHAnsi" w:hAnsi="Times New Roman"/>
                <w:sz w:val="24"/>
                <w:szCs w:val="24"/>
              </w:rPr>
              <w:t>%</w:t>
            </w:r>
          </w:p>
        </w:tc>
      </w:tr>
      <w:tr w:rsidR="009A3BB9" w:rsidRPr="00A770A8" w14:paraId="687E924C" w14:textId="77777777" w:rsidTr="009D6DBC">
        <w:trPr>
          <w:trHeight w:val="800"/>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7323821F"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 xml:space="preserve">Chi phí dịch vụ tư vấn pháp lý, dịch vụ báo giá và các dịch vụ hợp lý khác, thù lao trả cho ban đại diện quỹ trên Giá trị tài sản ròng trung bình trong kỳ (%)  </w:t>
            </w:r>
          </w:p>
        </w:tc>
        <w:tc>
          <w:tcPr>
            <w:tcW w:w="2070" w:type="dxa"/>
            <w:tcBorders>
              <w:top w:val="single" w:sz="4" w:space="0" w:color="auto"/>
              <w:left w:val="nil"/>
              <w:bottom w:val="single" w:sz="4" w:space="0" w:color="auto"/>
              <w:right w:val="single" w:sz="4" w:space="0" w:color="auto"/>
            </w:tcBorders>
            <w:vAlign w:val="center"/>
          </w:tcPr>
          <w:p w14:paraId="3443DB45" w14:textId="5B58FE4D" w:rsidR="009A3BB9" w:rsidRPr="00A770A8" w:rsidRDefault="009A3BB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0</w:t>
            </w:r>
            <w:r w:rsidR="007C4314" w:rsidRPr="00A770A8">
              <w:rPr>
                <w:rFonts w:ascii="Times New Roman" w:eastAsiaTheme="minorHAnsi" w:hAnsi="Times New Roman"/>
                <w:sz w:val="24"/>
                <w:szCs w:val="24"/>
              </w:rPr>
              <w:t>,</w:t>
            </w:r>
            <w:r w:rsidRPr="00A770A8">
              <w:rPr>
                <w:rFonts w:ascii="Times New Roman" w:eastAsiaTheme="minorHAnsi" w:hAnsi="Times New Roman"/>
                <w:sz w:val="24"/>
                <w:szCs w:val="24"/>
              </w:rPr>
              <w:t>2</w:t>
            </w:r>
            <w:r w:rsidR="008113E9" w:rsidRPr="00A770A8">
              <w:rPr>
                <w:rFonts w:ascii="Times New Roman" w:eastAsiaTheme="minorHAnsi" w:hAnsi="Times New Roman"/>
                <w:sz w:val="24"/>
                <w:szCs w:val="24"/>
              </w:rPr>
              <w:t>9</w:t>
            </w:r>
            <w:r w:rsidRPr="00A770A8">
              <w:rPr>
                <w:rFonts w:ascii="Times New Roman" w:eastAsiaTheme="minorHAnsi" w:hAnsi="Times New Roman"/>
                <w:sz w:val="24"/>
                <w:szCs w:val="24"/>
              </w:rPr>
              <w:t>%</w:t>
            </w:r>
          </w:p>
        </w:tc>
      </w:tr>
      <w:tr w:rsidR="009A3BB9" w:rsidRPr="00A770A8" w14:paraId="34B3C533" w14:textId="77777777" w:rsidTr="009D6DBC">
        <w:trPr>
          <w:trHeight w:val="620"/>
        </w:trPr>
        <w:tc>
          <w:tcPr>
            <w:tcW w:w="8010" w:type="dxa"/>
            <w:tcBorders>
              <w:top w:val="nil"/>
              <w:left w:val="single" w:sz="4" w:space="0" w:color="auto"/>
              <w:bottom w:val="single" w:sz="4" w:space="0" w:color="auto"/>
              <w:right w:val="single" w:sz="4" w:space="0" w:color="auto"/>
            </w:tcBorders>
            <w:shd w:val="clear" w:color="auto" w:fill="auto"/>
            <w:vAlign w:val="center"/>
            <w:hideMark/>
          </w:tcPr>
          <w:p w14:paraId="5ABF6F75" w14:textId="77777777" w:rsidR="009A3BB9" w:rsidRPr="00A770A8" w:rsidRDefault="009A3BB9" w:rsidP="00920A63">
            <w:pPr>
              <w:spacing w:before="100" w:beforeAutospacing="1" w:after="100" w:afterAutospacing="1"/>
              <w:ind w:left="90" w:right="90"/>
              <w:jc w:val="both"/>
              <w:rPr>
                <w:rFonts w:ascii="Times New Roman" w:eastAsiaTheme="minorHAnsi" w:hAnsi="Times New Roman"/>
                <w:b/>
                <w:sz w:val="24"/>
                <w:szCs w:val="24"/>
              </w:rPr>
            </w:pPr>
            <w:r w:rsidRPr="00A770A8">
              <w:rPr>
                <w:rFonts w:ascii="Times New Roman" w:eastAsiaTheme="minorHAnsi" w:hAnsi="Times New Roman"/>
                <w:sz w:val="24"/>
                <w:szCs w:val="24"/>
              </w:rPr>
              <w:t>Tỷ lệ chi phí hoạt động trên Giá trị tài sản ròng trung bình trong kỳ (%)</w:t>
            </w:r>
          </w:p>
        </w:tc>
        <w:tc>
          <w:tcPr>
            <w:tcW w:w="2070" w:type="dxa"/>
            <w:tcBorders>
              <w:top w:val="single" w:sz="4" w:space="0" w:color="auto"/>
              <w:left w:val="nil"/>
              <w:bottom w:val="single" w:sz="4" w:space="0" w:color="auto"/>
              <w:right w:val="single" w:sz="4" w:space="0" w:color="auto"/>
            </w:tcBorders>
            <w:vAlign w:val="center"/>
          </w:tcPr>
          <w:p w14:paraId="7D23D363" w14:textId="3FE5D164" w:rsidR="009A3BB9" w:rsidRPr="00A770A8" w:rsidRDefault="009A3BB9" w:rsidP="007C4314">
            <w:pPr>
              <w:spacing w:before="100" w:beforeAutospacing="1" w:after="100" w:afterAutospacing="1"/>
              <w:jc w:val="center"/>
              <w:rPr>
                <w:rFonts w:ascii="Times New Roman" w:eastAsiaTheme="minorHAnsi" w:hAnsi="Times New Roman"/>
                <w:sz w:val="24"/>
                <w:szCs w:val="24"/>
              </w:rPr>
            </w:pPr>
            <w:r w:rsidRPr="00A770A8">
              <w:rPr>
                <w:rFonts w:ascii="Times New Roman" w:eastAsiaTheme="minorHAnsi" w:hAnsi="Times New Roman"/>
                <w:sz w:val="24"/>
                <w:szCs w:val="24"/>
              </w:rPr>
              <w:t>2</w:t>
            </w:r>
            <w:r w:rsidR="007C4314" w:rsidRPr="00A770A8">
              <w:rPr>
                <w:rFonts w:ascii="Times New Roman" w:eastAsiaTheme="minorHAnsi" w:hAnsi="Times New Roman"/>
                <w:sz w:val="24"/>
                <w:szCs w:val="24"/>
              </w:rPr>
              <w:t>,</w:t>
            </w:r>
            <w:r w:rsidR="008113E9" w:rsidRPr="00A770A8">
              <w:rPr>
                <w:rFonts w:ascii="Times New Roman" w:eastAsiaTheme="minorHAnsi" w:hAnsi="Times New Roman"/>
                <w:sz w:val="24"/>
                <w:szCs w:val="24"/>
              </w:rPr>
              <w:t>91</w:t>
            </w:r>
            <w:r w:rsidRPr="00A770A8">
              <w:rPr>
                <w:rFonts w:ascii="Times New Roman" w:eastAsiaTheme="minorHAnsi" w:hAnsi="Times New Roman"/>
                <w:sz w:val="24"/>
                <w:szCs w:val="24"/>
              </w:rPr>
              <w:t>%</w:t>
            </w:r>
          </w:p>
        </w:tc>
      </w:tr>
    </w:tbl>
    <w:p w14:paraId="6FA1077F" w14:textId="77777777" w:rsidR="00100E1C" w:rsidRPr="00A770A8" w:rsidRDefault="00100E1C" w:rsidP="00920A63">
      <w:pPr>
        <w:spacing w:before="120"/>
        <w:jc w:val="both"/>
        <w:rPr>
          <w:rFonts w:ascii="Times New Roman" w:hAnsi="Times New Roman"/>
          <w:i/>
          <w:sz w:val="24"/>
          <w:szCs w:val="24"/>
        </w:rPr>
      </w:pPr>
    </w:p>
    <w:p w14:paraId="0FA98867" w14:textId="37DAFC70" w:rsidR="003F0046" w:rsidRPr="00A770A8" w:rsidRDefault="003F0046" w:rsidP="00920A63">
      <w:pPr>
        <w:spacing w:before="120"/>
        <w:jc w:val="both"/>
        <w:rPr>
          <w:rFonts w:ascii="Times New Roman" w:hAnsi="Times New Roman"/>
          <w:i/>
          <w:sz w:val="24"/>
          <w:szCs w:val="24"/>
        </w:rPr>
      </w:pPr>
      <w:r w:rsidRPr="00A770A8">
        <w:rPr>
          <w:rFonts w:ascii="Times New Roman" w:hAnsi="Times New Roman"/>
          <w:sz w:val="24"/>
          <w:szCs w:val="24"/>
        </w:rPr>
        <w:t>- Tốc độ vòng quay danh mục và thuyết minh về việc chênh lệc</w:t>
      </w:r>
      <w:r w:rsidR="00E62BFD" w:rsidRPr="00A770A8">
        <w:rPr>
          <w:rFonts w:ascii="Times New Roman" w:hAnsi="Times New Roman"/>
          <w:sz w:val="24"/>
          <w:szCs w:val="24"/>
        </w:rPr>
        <w:t>h tốc độ vòng quay của danh mục:</w:t>
      </w:r>
    </w:p>
    <w:p w14:paraId="75E2953B" w14:textId="77777777" w:rsidR="00100E1C" w:rsidRPr="00A770A8" w:rsidRDefault="00100E1C" w:rsidP="00920A63">
      <w:pPr>
        <w:spacing w:before="120"/>
        <w:jc w:val="both"/>
        <w:rPr>
          <w:rFonts w:ascii="Times New Roman" w:hAnsi="Times New Roman"/>
          <w:i/>
          <w:sz w:val="24"/>
          <w:szCs w:val="24"/>
        </w:rPr>
      </w:pPr>
    </w:p>
    <w:tbl>
      <w:tblPr>
        <w:tblW w:w="5133"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50"/>
        <w:gridCol w:w="2631"/>
      </w:tblGrid>
      <w:tr w:rsidR="00E62BFD" w:rsidRPr="00A770A8" w14:paraId="5DFDEF93" w14:textId="77777777" w:rsidTr="00FD4109">
        <w:trPr>
          <w:trHeight w:val="557"/>
        </w:trPr>
        <w:tc>
          <w:tcPr>
            <w:tcW w:w="3695" w:type="pct"/>
            <w:shd w:val="clear" w:color="auto" w:fill="B8CCE4" w:themeFill="accent1" w:themeFillTint="66"/>
            <w:vAlign w:val="center"/>
            <w:hideMark/>
          </w:tcPr>
          <w:p w14:paraId="1083F305" w14:textId="3B29DC8B" w:rsidR="00E62BFD" w:rsidRPr="00A770A8" w:rsidRDefault="00BD0547" w:rsidP="00BD0547">
            <w:pPr>
              <w:spacing w:before="100" w:beforeAutospacing="1" w:after="100" w:afterAutospacing="1"/>
              <w:jc w:val="center"/>
              <w:rPr>
                <w:rFonts w:ascii="Times New Roman" w:eastAsiaTheme="minorHAnsi" w:hAnsi="Times New Roman"/>
                <w:b/>
                <w:bCs/>
                <w:sz w:val="24"/>
                <w:szCs w:val="24"/>
              </w:rPr>
            </w:pPr>
            <w:r w:rsidRPr="00A770A8">
              <w:rPr>
                <w:rFonts w:ascii="Times New Roman" w:eastAsiaTheme="minorHAnsi" w:hAnsi="Times New Roman"/>
                <w:b/>
                <w:bCs/>
                <w:sz w:val="24"/>
                <w:szCs w:val="24"/>
              </w:rPr>
              <w:t>Tốc độ vòng quay danh mục</w:t>
            </w:r>
          </w:p>
        </w:tc>
        <w:tc>
          <w:tcPr>
            <w:tcW w:w="1305" w:type="pct"/>
            <w:shd w:val="clear" w:color="auto" w:fill="B8CCE4" w:themeFill="accent1" w:themeFillTint="66"/>
            <w:vAlign w:val="center"/>
          </w:tcPr>
          <w:p w14:paraId="310EC096" w14:textId="17FC1775" w:rsidR="00E62BFD" w:rsidRPr="00A770A8" w:rsidRDefault="00E62BFD" w:rsidP="00920A63">
            <w:pPr>
              <w:pStyle w:val="Heading5"/>
              <w:jc w:val="center"/>
              <w:rPr>
                <w:rFonts w:ascii="Times New Roman" w:hAnsi="Times New Roman" w:cs="Times New Roman"/>
                <w:b/>
                <w:color w:val="auto"/>
                <w:sz w:val="24"/>
                <w:szCs w:val="24"/>
              </w:rPr>
            </w:pPr>
            <w:r w:rsidRPr="00A770A8">
              <w:rPr>
                <w:rFonts w:ascii="Times New Roman" w:hAnsi="Times New Roman" w:cs="Times New Roman"/>
                <w:b/>
                <w:color w:val="auto"/>
                <w:sz w:val="24"/>
                <w:szCs w:val="24"/>
              </w:rPr>
              <w:t>30/06/2019</w:t>
            </w:r>
          </w:p>
        </w:tc>
      </w:tr>
      <w:tr w:rsidR="00E62BFD" w:rsidRPr="00A770A8" w14:paraId="5D69166A" w14:textId="77777777" w:rsidTr="00FF72CD">
        <w:trPr>
          <w:trHeight w:val="376"/>
        </w:trPr>
        <w:tc>
          <w:tcPr>
            <w:tcW w:w="3695" w:type="pct"/>
            <w:shd w:val="clear" w:color="auto" w:fill="auto"/>
            <w:vAlign w:val="center"/>
            <w:hideMark/>
          </w:tcPr>
          <w:p w14:paraId="71DCC818" w14:textId="77777777" w:rsidR="00E62BFD" w:rsidRPr="00A770A8" w:rsidRDefault="00E62BFD" w:rsidP="00920A63">
            <w:pPr>
              <w:spacing w:before="100" w:beforeAutospacing="1" w:after="100" w:afterAutospacing="1"/>
              <w:rPr>
                <w:rFonts w:ascii="Times New Roman" w:eastAsiaTheme="minorHAnsi" w:hAnsi="Times New Roman"/>
                <w:b/>
                <w:sz w:val="24"/>
                <w:szCs w:val="24"/>
              </w:rPr>
            </w:pPr>
            <w:r w:rsidRPr="00A770A8">
              <w:rPr>
                <w:rFonts w:ascii="Times New Roman" w:eastAsiaTheme="minorHAnsi" w:hAnsi="Times New Roman"/>
                <w:sz w:val="24"/>
                <w:szCs w:val="24"/>
              </w:rPr>
              <w:t>Tốc độ vòng quay danh mục của quỹ cuối Quý II/2019</w:t>
            </w:r>
          </w:p>
        </w:tc>
        <w:tc>
          <w:tcPr>
            <w:tcW w:w="1305" w:type="pct"/>
            <w:vAlign w:val="center"/>
          </w:tcPr>
          <w:p w14:paraId="3DF53DED" w14:textId="6EF397A8" w:rsidR="00E62BFD" w:rsidRPr="00A770A8" w:rsidRDefault="008113E9" w:rsidP="007C4314">
            <w:pPr>
              <w:spacing w:before="100" w:beforeAutospacing="1" w:after="100" w:afterAutospacing="1"/>
              <w:ind w:right="90"/>
              <w:jc w:val="center"/>
              <w:rPr>
                <w:rFonts w:ascii="Times New Roman" w:eastAsiaTheme="minorHAnsi" w:hAnsi="Times New Roman"/>
                <w:sz w:val="24"/>
                <w:szCs w:val="24"/>
              </w:rPr>
            </w:pPr>
            <w:r w:rsidRPr="00A770A8">
              <w:rPr>
                <w:rFonts w:ascii="Times New Roman" w:eastAsiaTheme="minorHAnsi" w:hAnsi="Times New Roman"/>
                <w:sz w:val="24"/>
                <w:szCs w:val="24"/>
              </w:rPr>
              <w:t>64</w:t>
            </w:r>
            <w:r w:rsidR="007C4314" w:rsidRPr="00A770A8">
              <w:rPr>
                <w:rFonts w:ascii="Times New Roman" w:eastAsiaTheme="minorHAnsi" w:hAnsi="Times New Roman"/>
                <w:sz w:val="24"/>
                <w:szCs w:val="24"/>
              </w:rPr>
              <w:t>,</w:t>
            </w:r>
            <w:r w:rsidRPr="00A770A8">
              <w:rPr>
                <w:rFonts w:ascii="Times New Roman" w:eastAsiaTheme="minorHAnsi" w:hAnsi="Times New Roman"/>
                <w:sz w:val="24"/>
                <w:szCs w:val="24"/>
              </w:rPr>
              <w:t>79</w:t>
            </w:r>
            <w:r w:rsidR="00E62BFD" w:rsidRPr="00A770A8">
              <w:rPr>
                <w:rFonts w:ascii="Times New Roman" w:eastAsiaTheme="minorHAnsi" w:hAnsi="Times New Roman"/>
                <w:sz w:val="24"/>
                <w:szCs w:val="24"/>
              </w:rPr>
              <w:t>%</w:t>
            </w:r>
          </w:p>
        </w:tc>
      </w:tr>
    </w:tbl>
    <w:p w14:paraId="20B90FFF" w14:textId="77777777" w:rsidR="00100E1C" w:rsidRPr="00A770A8" w:rsidRDefault="00100E1C" w:rsidP="00920A63">
      <w:pPr>
        <w:spacing w:before="120"/>
        <w:jc w:val="both"/>
        <w:rPr>
          <w:rFonts w:ascii="Times New Roman" w:hAnsi="Times New Roman"/>
          <w:i/>
          <w:sz w:val="24"/>
          <w:szCs w:val="24"/>
        </w:rPr>
      </w:pPr>
    </w:p>
    <w:p w14:paraId="76A77DDA"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b) Chỉ tiêu về lợi nhuận của quỹ:</w:t>
      </w:r>
    </w:p>
    <w:p w14:paraId="35A5ECCC" w14:textId="77777777" w:rsidR="004038DA"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Tổng lợi nhuận bình quân năm của quỹ phát sinh trong kỳ báo cáo xác định:</w:t>
      </w:r>
    </w:p>
    <w:p w14:paraId="2825FC88" w14:textId="010330C2" w:rsidR="004038DA" w:rsidRPr="00A770A8" w:rsidRDefault="004038DA" w:rsidP="00920A63">
      <w:pPr>
        <w:pStyle w:val="ListParagraph"/>
        <w:numPr>
          <w:ilvl w:val="0"/>
          <w:numId w:val="13"/>
        </w:numPr>
        <w:spacing w:before="120"/>
        <w:jc w:val="both"/>
        <w:rPr>
          <w:b w:val="0"/>
        </w:rPr>
      </w:pPr>
      <w:r w:rsidRPr="00A770A8">
        <w:rPr>
          <w:rFonts w:eastAsiaTheme="minorHAnsi"/>
          <w:b w:val="0"/>
        </w:rPr>
        <w:t xml:space="preserve">trong </w:t>
      </w:r>
      <w:r w:rsidR="002C62AC" w:rsidRPr="00A770A8">
        <w:rPr>
          <w:rFonts w:eastAsiaTheme="minorHAnsi"/>
          <w:b w:val="0"/>
        </w:rPr>
        <w:t xml:space="preserve">thời hạn 12 tháng (1 năm), </w:t>
      </w:r>
      <w:r w:rsidR="00AC22BF" w:rsidRPr="00A770A8">
        <w:rPr>
          <w:b w:val="0"/>
        </w:rPr>
        <w:t>tính tới ngày lập báo cáo (hoặc tính từ thời điểm lập quỹ tới ngày báo cáo nếu quỹ hoạt động dưới 1 năm)</w:t>
      </w:r>
      <w:r w:rsidRPr="00A770A8">
        <w:rPr>
          <w:rFonts w:eastAsiaTheme="minorHAnsi"/>
          <w:b w:val="0"/>
        </w:rPr>
        <w:t xml:space="preserve"> là </w:t>
      </w:r>
      <w:r w:rsidR="00C67A49" w:rsidRPr="00A770A8">
        <w:rPr>
          <w:b w:val="0"/>
          <w:lang w:val="en-SG" w:eastAsia="en-SG"/>
        </w:rPr>
        <w:t>2.3%</w:t>
      </w:r>
      <w:r w:rsidRPr="00A770A8">
        <w:rPr>
          <w:rFonts w:eastAsiaTheme="minorHAnsi"/>
          <w:b w:val="0"/>
        </w:rPr>
        <w:t>, trong đó</w:t>
      </w:r>
      <w:r w:rsidRPr="00A770A8">
        <w:rPr>
          <w:b w:val="0"/>
          <w:color w:val="0000CC"/>
        </w:rPr>
        <w:t>:</w:t>
      </w:r>
      <w:r w:rsidR="00C67A49" w:rsidRPr="00A770A8">
        <w:rPr>
          <w:b w:val="0"/>
          <w:color w:val="0000CC"/>
        </w:rPr>
        <w:t xml:space="preserve"> </w:t>
      </w:r>
    </w:p>
    <w:p w14:paraId="5455B33D" w14:textId="77777777" w:rsidR="004038DA" w:rsidRPr="00A770A8" w:rsidRDefault="004038DA" w:rsidP="00920A63">
      <w:pPr>
        <w:spacing w:before="120"/>
        <w:ind w:left="60"/>
        <w:jc w:val="both"/>
        <w:rPr>
          <w:rFonts w:ascii="Times New Roman" w:hAnsi="Times New Roman"/>
          <w:sz w:val="24"/>
          <w:szCs w:val="24"/>
        </w:rPr>
      </w:pPr>
    </w:p>
    <w:tbl>
      <w:tblPr>
        <w:tblW w:w="10068" w:type="dxa"/>
        <w:tblInd w:w="-85" w:type="dxa"/>
        <w:tblLayout w:type="fixed"/>
        <w:tblCellMar>
          <w:left w:w="0" w:type="dxa"/>
          <w:right w:w="0" w:type="dxa"/>
        </w:tblCellMar>
        <w:tblLook w:val="04A0" w:firstRow="1" w:lastRow="0" w:firstColumn="1" w:lastColumn="0" w:noHBand="0" w:noVBand="1"/>
      </w:tblPr>
      <w:tblGrid>
        <w:gridCol w:w="4061"/>
        <w:gridCol w:w="2036"/>
        <w:gridCol w:w="1935"/>
        <w:gridCol w:w="2036"/>
      </w:tblGrid>
      <w:tr w:rsidR="004038DA" w:rsidRPr="00A770A8" w14:paraId="1EA4FFFD" w14:textId="77777777" w:rsidTr="006B7A58">
        <w:trPr>
          <w:trHeight w:val="384"/>
        </w:trPr>
        <w:tc>
          <w:tcPr>
            <w:tcW w:w="406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CA1016" w14:textId="7B86E5D1" w:rsidR="004038DA" w:rsidRPr="00A770A8" w:rsidRDefault="004038DA" w:rsidP="0003387A">
            <w:pPr>
              <w:spacing w:before="100" w:beforeAutospacing="1" w:after="100" w:afterAutospacing="1"/>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Tổng lợi nhuận</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40D80F88" w14:textId="012B6A1B" w:rsidR="004038DA" w:rsidRPr="00A770A8" w:rsidRDefault="004038DA" w:rsidP="0003387A">
            <w:pPr>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Lợi nhuận đã</w:t>
            </w:r>
          </w:p>
          <w:p w14:paraId="3BD8B1D8" w14:textId="77777777" w:rsidR="004038DA" w:rsidRPr="00A770A8" w:rsidRDefault="004038DA" w:rsidP="0003387A">
            <w:pPr>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thực hiện</w:t>
            </w:r>
          </w:p>
          <w:p w14:paraId="032B725B" w14:textId="4FF2B635" w:rsidR="004038DA" w:rsidRPr="00A770A8" w:rsidRDefault="004038DA" w:rsidP="0003387A">
            <w:pPr>
              <w:ind w:firstLine="90"/>
              <w:jc w:val="center"/>
              <w:rPr>
                <w:rFonts w:ascii="Times New Roman" w:eastAsiaTheme="minorHAnsi" w:hAnsi="Times New Roman"/>
                <w:b/>
                <w:sz w:val="24"/>
                <w:szCs w:val="24"/>
              </w:rPr>
            </w:pPr>
            <w:r w:rsidRPr="00A770A8">
              <w:rPr>
                <w:rFonts w:ascii="Times New Roman" w:eastAsiaTheme="minorHAnsi" w:hAnsi="Times New Roman"/>
                <w:b/>
                <w:sz w:val="24"/>
                <w:szCs w:val="24"/>
              </w:rPr>
              <w:t>(VN</w:t>
            </w:r>
            <w:r w:rsidR="0003387A" w:rsidRPr="00A770A8">
              <w:rPr>
                <w:rFonts w:ascii="Times New Roman" w:eastAsiaTheme="minorHAnsi" w:hAnsi="Times New Roman"/>
                <w:b/>
                <w:sz w:val="24"/>
                <w:szCs w:val="24"/>
              </w:rPr>
              <w:t>Đ</w:t>
            </w:r>
            <w:r w:rsidRPr="00A770A8">
              <w:rPr>
                <w:rFonts w:ascii="Times New Roman" w:eastAsiaTheme="minorHAnsi" w:hAnsi="Times New Roman"/>
                <w:b/>
                <w:sz w:val="24"/>
                <w:szCs w:val="24"/>
              </w:rPr>
              <w:t>)</w:t>
            </w:r>
          </w:p>
        </w:tc>
        <w:tc>
          <w:tcPr>
            <w:tcW w:w="1935"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4CEBA17" w14:textId="77777777" w:rsidR="004038DA" w:rsidRPr="00A770A8" w:rsidRDefault="004038DA" w:rsidP="0003387A">
            <w:pPr>
              <w:ind w:firstLine="180"/>
              <w:jc w:val="center"/>
              <w:rPr>
                <w:rFonts w:ascii="Times New Roman" w:eastAsiaTheme="minorHAnsi" w:hAnsi="Times New Roman"/>
                <w:b/>
                <w:sz w:val="24"/>
                <w:szCs w:val="24"/>
              </w:rPr>
            </w:pPr>
            <w:r w:rsidRPr="00A770A8">
              <w:rPr>
                <w:rFonts w:ascii="Times New Roman" w:eastAsiaTheme="minorHAnsi" w:hAnsi="Times New Roman"/>
                <w:b/>
                <w:sz w:val="24"/>
                <w:szCs w:val="24"/>
              </w:rPr>
              <w:t>Lợi nhuận chưa thực hiện</w:t>
            </w:r>
          </w:p>
          <w:p w14:paraId="79C5E490" w14:textId="4B4EE9ED" w:rsidR="004038DA" w:rsidRPr="00A770A8" w:rsidRDefault="004038DA" w:rsidP="0003387A">
            <w:pPr>
              <w:ind w:firstLine="180"/>
              <w:jc w:val="center"/>
              <w:rPr>
                <w:rFonts w:ascii="Times New Roman" w:eastAsiaTheme="minorHAnsi" w:hAnsi="Times New Roman"/>
                <w:b/>
                <w:sz w:val="24"/>
                <w:szCs w:val="24"/>
              </w:rPr>
            </w:pPr>
            <w:r w:rsidRPr="00A770A8">
              <w:rPr>
                <w:rFonts w:ascii="Times New Roman" w:eastAsiaTheme="minorHAnsi" w:hAnsi="Times New Roman"/>
                <w:b/>
                <w:sz w:val="24"/>
                <w:szCs w:val="24"/>
              </w:rPr>
              <w:t>(VN</w:t>
            </w:r>
            <w:r w:rsidR="0003387A" w:rsidRPr="00A770A8">
              <w:rPr>
                <w:rFonts w:ascii="Times New Roman" w:eastAsiaTheme="minorHAnsi" w:hAnsi="Times New Roman"/>
                <w:b/>
                <w:sz w:val="24"/>
                <w:szCs w:val="24"/>
              </w:rPr>
              <w:t>Đ</w:t>
            </w:r>
            <w:r w:rsidRPr="00A770A8">
              <w:rPr>
                <w:rFonts w:ascii="Times New Roman" w:eastAsiaTheme="minorHAnsi" w:hAnsi="Times New Roman"/>
                <w:b/>
                <w:sz w:val="24"/>
                <w:szCs w:val="24"/>
              </w:rPr>
              <w:t>)</w:t>
            </w:r>
          </w:p>
        </w:tc>
        <w:tc>
          <w:tcPr>
            <w:tcW w:w="2036"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14:paraId="37DE61D9" w14:textId="799245ED" w:rsidR="004038DA" w:rsidRPr="00A770A8" w:rsidRDefault="004038DA" w:rsidP="0003387A">
            <w:pPr>
              <w:jc w:val="center"/>
              <w:rPr>
                <w:rFonts w:ascii="Times New Roman" w:eastAsiaTheme="minorHAnsi" w:hAnsi="Times New Roman"/>
                <w:b/>
                <w:sz w:val="24"/>
                <w:szCs w:val="24"/>
              </w:rPr>
            </w:pPr>
            <w:r w:rsidRPr="00A770A8">
              <w:rPr>
                <w:rFonts w:ascii="Times New Roman" w:eastAsiaTheme="minorHAnsi" w:hAnsi="Times New Roman"/>
                <w:b/>
                <w:sz w:val="24"/>
                <w:szCs w:val="24"/>
              </w:rPr>
              <w:t>Tổng</w:t>
            </w:r>
          </w:p>
          <w:p w14:paraId="695C8D48" w14:textId="72144640" w:rsidR="004038DA" w:rsidRPr="00A770A8" w:rsidRDefault="004038DA" w:rsidP="0003387A">
            <w:pPr>
              <w:jc w:val="center"/>
              <w:rPr>
                <w:rFonts w:ascii="Times New Roman" w:eastAsiaTheme="minorHAnsi" w:hAnsi="Times New Roman"/>
                <w:b/>
                <w:sz w:val="24"/>
                <w:szCs w:val="24"/>
              </w:rPr>
            </w:pPr>
            <w:r w:rsidRPr="00A770A8">
              <w:rPr>
                <w:rFonts w:ascii="Times New Roman" w:eastAsiaTheme="minorHAnsi" w:hAnsi="Times New Roman"/>
                <w:b/>
                <w:sz w:val="24"/>
                <w:szCs w:val="24"/>
              </w:rPr>
              <w:t>(VN</w:t>
            </w:r>
            <w:r w:rsidR="0003387A" w:rsidRPr="00A770A8">
              <w:rPr>
                <w:rFonts w:ascii="Times New Roman" w:eastAsiaTheme="minorHAnsi" w:hAnsi="Times New Roman"/>
                <w:b/>
                <w:sz w:val="24"/>
                <w:szCs w:val="24"/>
              </w:rPr>
              <w:t>Đ</w:t>
            </w:r>
            <w:r w:rsidRPr="00A770A8">
              <w:rPr>
                <w:rFonts w:ascii="Times New Roman" w:eastAsiaTheme="minorHAnsi" w:hAnsi="Times New Roman"/>
                <w:b/>
                <w:sz w:val="24"/>
                <w:szCs w:val="24"/>
              </w:rPr>
              <w:t>)</w:t>
            </w:r>
          </w:p>
        </w:tc>
      </w:tr>
      <w:tr w:rsidR="004038DA" w:rsidRPr="00A770A8" w14:paraId="5525DE63" w14:textId="77777777" w:rsidTr="00FF72CD">
        <w:trPr>
          <w:trHeight w:val="384"/>
        </w:trPr>
        <w:tc>
          <w:tcPr>
            <w:tcW w:w="4061" w:type="dxa"/>
            <w:tcBorders>
              <w:top w:val="nil"/>
              <w:left w:val="single" w:sz="4" w:space="0" w:color="auto"/>
              <w:bottom w:val="single" w:sz="4" w:space="0" w:color="auto"/>
              <w:right w:val="single" w:sz="4" w:space="0" w:color="auto"/>
            </w:tcBorders>
            <w:shd w:val="clear" w:color="auto" w:fill="auto"/>
            <w:vAlign w:val="center"/>
            <w:hideMark/>
          </w:tcPr>
          <w:p w14:paraId="3AFD57EA" w14:textId="77777777" w:rsidR="004038DA" w:rsidRPr="00A770A8" w:rsidRDefault="004038DA" w:rsidP="00920A63">
            <w:pPr>
              <w:spacing w:before="100" w:beforeAutospacing="1" w:after="100" w:afterAutospacing="1"/>
              <w:ind w:left="90" w:right="71"/>
              <w:rPr>
                <w:rFonts w:ascii="Times New Roman" w:eastAsiaTheme="minorHAnsi" w:hAnsi="Times New Roman"/>
                <w:sz w:val="24"/>
                <w:szCs w:val="24"/>
              </w:rPr>
            </w:pPr>
            <w:r w:rsidRPr="00A770A8">
              <w:rPr>
                <w:rFonts w:ascii="Times New Roman" w:eastAsiaTheme="minorHAnsi" w:hAnsi="Times New Roman"/>
                <w:sz w:val="24"/>
                <w:szCs w:val="24"/>
              </w:rPr>
              <w:t>Trong thời hạn từ ngày thành lập Quỹ 03/04/2019 đến ngày 30/06/2019</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24227F08" w14:textId="21C4B914" w:rsidR="004038DA" w:rsidRPr="00A770A8" w:rsidRDefault="004038DA" w:rsidP="00920A63">
            <w:pPr>
              <w:jc w:val="center"/>
              <w:rPr>
                <w:rFonts w:ascii="Times New Roman" w:hAnsi="Times New Roman"/>
                <w:sz w:val="24"/>
                <w:szCs w:val="24"/>
              </w:rPr>
            </w:pPr>
            <w:r w:rsidRPr="00A770A8">
              <w:rPr>
                <w:rFonts w:ascii="Times New Roman" w:hAnsi="Times New Roman"/>
                <w:sz w:val="24"/>
                <w:szCs w:val="24"/>
              </w:rPr>
              <w:t>347</w:t>
            </w:r>
            <w:r w:rsidR="00C22292" w:rsidRPr="00A770A8">
              <w:rPr>
                <w:rFonts w:ascii="Times New Roman" w:hAnsi="Times New Roman"/>
                <w:sz w:val="24"/>
                <w:szCs w:val="24"/>
              </w:rPr>
              <w:t>.441.</w:t>
            </w:r>
            <w:r w:rsidRPr="00A770A8">
              <w:rPr>
                <w:rFonts w:ascii="Times New Roman" w:hAnsi="Times New Roman"/>
                <w:sz w:val="24"/>
                <w:szCs w:val="24"/>
              </w:rPr>
              <w:t>836</w:t>
            </w:r>
          </w:p>
        </w:tc>
        <w:tc>
          <w:tcPr>
            <w:tcW w:w="1935" w:type="dxa"/>
            <w:tcBorders>
              <w:top w:val="single" w:sz="4" w:space="0" w:color="auto"/>
              <w:left w:val="nil"/>
              <w:bottom w:val="single" w:sz="4" w:space="0" w:color="auto"/>
              <w:right w:val="single" w:sz="4" w:space="0" w:color="auto"/>
            </w:tcBorders>
            <w:shd w:val="clear" w:color="000000" w:fill="auto"/>
            <w:vAlign w:val="center"/>
          </w:tcPr>
          <w:p w14:paraId="5A701345" w14:textId="77777777" w:rsidR="004038DA" w:rsidRPr="00A770A8" w:rsidRDefault="004038DA" w:rsidP="00920A63">
            <w:pPr>
              <w:ind w:right="90"/>
              <w:jc w:val="center"/>
              <w:rPr>
                <w:rFonts w:ascii="Times New Roman" w:eastAsiaTheme="minorHAnsi" w:hAnsi="Times New Roman"/>
                <w:sz w:val="24"/>
                <w:szCs w:val="24"/>
              </w:rPr>
            </w:pPr>
            <w:r w:rsidRPr="00A770A8">
              <w:rPr>
                <w:rFonts w:ascii="Times New Roman" w:eastAsiaTheme="minorHAnsi" w:hAnsi="Times New Roman"/>
                <w:sz w:val="24"/>
                <w:szCs w:val="24"/>
              </w:rPr>
              <w:t>0</w:t>
            </w:r>
          </w:p>
        </w:tc>
        <w:tc>
          <w:tcPr>
            <w:tcW w:w="2036" w:type="dxa"/>
            <w:tcBorders>
              <w:top w:val="single" w:sz="4" w:space="0" w:color="auto"/>
              <w:left w:val="nil"/>
              <w:bottom w:val="single" w:sz="4" w:space="0" w:color="auto"/>
              <w:right w:val="single" w:sz="4" w:space="0" w:color="auto"/>
            </w:tcBorders>
            <w:shd w:val="clear" w:color="000000" w:fill="auto"/>
            <w:vAlign w:val="center"/>
          </w:tcPr>
          <w:p w14:paraId="18A03535" w14:textId="06D83F4B" w:rsidR="004038DA" w:rsidRPr="00A770A8" w:rsidRDefault="004038DA" w:rsidP="00920A63">
            <w:pPr>
              <w:jc w:val="center"/>
              <w:rPr>
                <w:rFonts w:ascii="Times New Roman" w:hAnsi="Times New Roman"/>
                <w:sz w:val="24"/>
                <w:szCs w:val="24"/>
              </w:rPr>
            </w:pPr>
            <w:r w:rsidRPr="00A770A8">
              <w:rPr>
                <w:rFonts w:ascii="Times New Roman" w:hAnsi="Times New Roman"/>
                <w:sz w:val="24"/>
                <w:szCs w:val="24"/>
              </w:rPr>
              <w:t>347</w:t>
            </w:r>
            <w:r w:rsidR="00C22292" w:rsidRPr="00A770A8">
              <w:rPr>
                <w:rFonts w:ascii="Times New Roman" w:hAnsi="Times New Roman"/>
                <w:sz w:val="24"/>
                <w:szCs w:val="24"/>
              </w:rPr>
              <w:t>.</w:t>
            </w:r>
            <w:r w:rsidRPr="00A770A8">
              <w:rPr>
                <w:rFonts w:ascii="Times New Roman" w:hAnsi="Times New Roman"/>
                <w:sz w:val="24"/>
                <w:szCs w:val="24"/>
              </w:rPr>
              <w:t>441</w:t>
            </w:r>
            <w:r w:rsidR="00C22292" w:rsidRPr="00A770A8">
              <w:rPr>
                <w:rFonts w:ascii="Times New Roman" w:hAnsi="Times New Roman"/>
                <w:sz w:val="24"/>
                <w:szCs w:val="24"/>
              </w:rPr>
              <w:t>.</w:t>
            </w:r>
            <w:r w:rsidRPr="00A770A8">
              <w:rPr>
                <w:rFonts w:ascii="Times New Roman" w:hAnsi="Times New Roman"/>
                <w:sz w:val="24"/>
                <w:szCs w:val="24"/>
              </w:rPr>
              <w:t>836</w:t>
            </w:r>
          </w:p>
        </w:tc>
      </w:tr>
    </w:tbl>
    <w:p w14:paraId="68AF4CE6" w14:textId="77777777" w:rsidR="004038DA" w:rsidRPr="00A770A8" w:rsidRDefault="004038DA" w:rsidP="00920A63">
      <w:pPr>
        <w:pStyle w:val="ListParagraph"/>
        <w:spacing w:before="120"/>
        <w:ind w:left="780"/>
        <w:jc w:val="both"/>
        <w:rPr>
          <w:b w:val="0"/>
        </w:rPr>
      </w:pPr>
    </w:p>
    <w:p w14:paraId="228180A6" w14:textId="441B94E6" w:rsidR="004038DA" w:rsidRPr="00A770A8" w:rsidRDefault="004038DA" w:rsidP="00920A63">
      <w:pPr>
        <w:pStyle w:val="ListParagraph"/>
        <w:numPr>
          <w:ilvl w:val="0"/>
          <w:numId w:val="13"/>
        </w:numPr>
        <w:spacing w:before="120"/>
        <w:jc w:val="both"/>
        <w:rPr>
          <w:b w:val="0"/>
        </w:rPr>
      </w:pPr>
      <w:r w:rsidRPr="00A770A8">
        <w:rPr>
          <w:b w:val="0"/>
        </w:rPr>
        <w:t xml:space="preserve"> </w:t>
      </w:r>
      <w:r w:rsidR="003F0046" w:rsidRPr="00A770A8">
        <w:rPr>
          <w:b w:val="0"/>
        </w:rPr>
        <w:t>trong thời hạn 36 tháng (3 năm), tính tới ngày lập báo cáo (hoặc tính từ thời điểm lập quỹ tới ngày báo cáo</w:t>
      </w:r>
      <w:r w:rsidR="002C62AC" w:rsidRPr="00A770A8">
        <w:rPr>
          <w:b w:val="0"/>
        </w:rPr>
        <w:t xml:space="preserve"> nếu quỹ hoạt động dưới 3 năm): Không có</w:t>
      </w:r>
    </w:p>
    <w:p w14:paraId="16EA2082" w14:textId="41314850" w:rsidR="00100E1C" w:rsidRPr="00A770A8" w:rsidRDefault="003F0046" w:rsidP="00920A63">
      <w:pPr>
        <w:pStyle w:val="ListParagraph"/>
        <w:numPr>
          <w:ilvl w:val="0"/>
          <w:numId w:val="13"/>
        </w:numPr>
        <w:spacing w:before="120"/>
        <w:jc w:val="both"/>
        <w:rPr>
          <w:b w:val="0"/>
        </w:rPr>
      </w:pPr>
      <w:r w:rsidRPr="00A770A8">
        <w:rPr>
          <w:b w:val="0"/>
        </w:rPr>
        <w:t xml:space="preserve">trong thời hạn 60 tháng (5 năm), tính tới ngày lập báo cáo (hoặc tính từ thời điểm lập quỹ tới ngày báo cáo nếu quỹ hoạt động </w:t>
      </w:r>
      <w:r w:rsidR="00100E1C" w:rsidRPr="00A770A8">
        <w:rPr>
          <w:b w:val="0"/>
        </w:rPr>
        <w:t>dưới 5 năm):</w:t>
      </w:r>
      <w:r w:rsidR="00AC22BF" w:rsidRPr="00A770A8">
        <w:rPr>
          <w:b w:val="0"/>
        </w:rPr>
        <w:t xml:space="preserve"> Không có</w:t>
      </w:r>
    </w:p>
    <w:p w14:paraId="2EEDD6CC"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c) Các chỉ tiêu so sánh khác, bảo đảm tuân thủ nguyên tắc:</w:t>
      </w:r>
    </w:p>
    <w:p w14:paraId="75561318" w14:textId="5241DC5D"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lastRenderedPageBreak/>
        <w:t>- Phương thức, nguyên tắc xác định giá trị tài sản, giá trị lợi nhuận là thống nhất, đã được công bố và được thẩm đị</w:t>
      </w:r>
      <w:r w:rsidR="004A586E" w:rsidRPr="00A770A8">
        <w:rPr>
          <w:rFonts w:ascii="Times New Roman" w:hAnsi="Times New Roman"/>
          <w:sz w:val="24"/>
          <w:szCs w:val="24"/>
        </w:rPr>
        <w:t>nh bởi một tổ chức độc lập khác: Phương pháp xác định giá trị tài sản được quy định trong Sổ tay định giá lập bởi Công ty Quản lý Quỹ, được Ban Đại diện Quỹ thông qua và kiểm tra rà soát bở</w:t>
      </w:r>
      <w:r w:rsidR="00C842D7" w:rsidRPr="00A770A8">
        <w:rPr>
          <w:rFonts w:ascii="Times New Roman" w:hAnsi="Times New Roman"/>
          <w:sz w:val="24"/>
          <w:szCs w:val="24"/>
        </w:rPr>
        <w:t>i</w:t>
      </w:r>
      <w:r w:rsidR="004A586E" w:rsidRPr="00A770A8">
        <w:rPr>
          <w:rFonts w:ascii="Times New Roman" w:hAnsi="Times New Roman"/>
          <w:sz w:val="24"/>
          <w:szCs w:val="24"/>
        </w:rPr>
        <w:t xml:space="preserve"> ngân h</w:t>
      </w:r>
      <w:r w:rsidR="00C842D7" w:rsidRPr="00A770A8">
        <w:rPr>
          <w:rFonts w:ascii="Times New Roman" w:hAnsi="Times New Roman"/>
          <w:sz w:val="24"/>
          <w:szCs w:val="24"/>
        </w:rPr>
        <w:t>à</w:t>
      </w:r>
      <w:r w:rsidR="004A586E" w:rsidRPr="00A770A8">
        <w:rPr>
          <w:rFonts w:ascii="Times New Roman" w:hAnsi="Times New Roman"/>
          <w:sz w:val="24"/>
          <w:szCs w:val="24"/>
        </w:rPr>
        <w:t>ng giám sát Standard Chartered bank (Vietnam) Limited</w:t>
      </w:r>
      <w:r w:rsidR="006027ED" w:rsidRPr="00A770A8">
        <w:rPr>
          <w:rFonts w:ascii="Times New Roman" w:hAnsi="Times New Roman"/>
          <w:sz w:val="24"/>
          <w:szCs w:val="24"/>
        </w:rPr>
        <w:t>.</w:t>
      </w:r>
    </w:p>
    <w:p w14:paraId="02276866" w14:textId="1DB55C38"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 Dữ liệu được cung cấp </w:t>
      </w:r>
      <w:r w:rsidR="00C842D7" w:rsidRPr="00A770A8">
        <w:rPr>
          <w:rFonts w:ascii="Times New Roman" w:hAnsi="Times New Roman"/>
          <w:sz w:val="24"/>
          <w:szCs w:val="24"/>
        </w:rPr>
        <w:t xml:space="preserve">bởi một tổ chức độc lập: </w:t>
      </w:r>
      <w:r w:rsidR="00D073A1" w:rsidRPr="00A770A8">
        <w:rPr>
          <w:rFonts w:ascii="Times New Roman" w:hAnsi="Times New Roman"/>
          <w:sz w:val="24"/>
          <w:szCs w:val="24"/>
        </w:rPr>
        <w:t>Giá chứng khoán được HNX</w:t>
      </w:r>
      <w:r w:rsidR="00A6562E" w:rsidRPr="00A770A8">
        <w:rPr>
          <w:rFonts w:ascii="Times New Roman" w:hAnsi="Times New Roman"/>
          <w:sz w:val="24"/>
          <w:szCs w:val="24"/>
        </w:rPr>
        <w:t xml:space="preserve"> cung cấp</w:t>
      </w:r>
      <w:r w:rsidR="00D073A1" w:rsidRPr="00A770A8">
        <w:rPr>
          <w:rFonts w:ascii="Times New Roman" w:hAnsi="Times New Roman"/>
          <w:sz w:val="24"/>
          <w:szCs w:val="24"/>
        </w:rPr>
        <w:t>.</w:t>
      </w:r>
    </w:p>
    <w:p w14:paraId="3CDCBB17"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d) </w:t>
      </w:r>
      <w:r w:rsidR="00AE447B" w:rsidRPr="00A770A8">
        <w:rPr>
          <w:rFonts w:ascii="Times New Roman" w:hAnsi="Times New Roman"/>
          <w:sz w:val="24"/>
          <w:szCs w:val="24"/>
        </w:rPr>
        <w:t xml:space="preserve">Thông tin về kết quả hoạt động của Quỹ trong quá khứ chỉ mang tính chất tham khảo và không có hàm ý hay cam kết việc đầu tư sẽ bảo đảm khả năng sinh lời cho Nhà Đầu Tư trong tương lai. </w:t>
      </w:r>
    </w:p>
    <w:p w14:paraId="7B02375F"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3. Báo cáo về hoạt động quản lý tài sản của Công ty quản lý quỹ</w:t>
      </w:r>
    </w:p>
    <w:p w14:paraId="1F133C70"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Báo cáo về hoạt động quản lý tài sản của Công ty quản lý quỹ phải bao gồm các nội dung sau:</w:t>
      </w:r>
    </w:p>
    <w:p w14:paraId="40025128" w14:textId="207B696F"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a) Thuyết minh về việc thay đổi Công ty quản </w:t>
      </w:r>
      <w:r w:rsidR="00B779BF" w:rsidRPr="00A770A8">
        <w:rPr>
          <w:rFonts w:ascii="Times New Roman" w:hAnsi="Times New Roman"/>
          <w:sz w:val="24"/>
          <w:szCs w:val="24"/>
        </w:rPr>
        <w:t>lý quỹ (nếu có): Không</w:t>
      </w:r>
      <w:r w:rsidR="00FA6CEB" w:rsidRPr="00A770A8">
        <w:rPr>
          <w:rFonts w:ascii="Times New Roman" w:hAnsi="Times New Roman"/>
          <w:sz w:val="24"/>
          <w:szCs w:val="24"/>
        </w:rPr>
        <w:t xml:space="preserve"> có</w:t>
      </w:r>
    </w:p>
    <w:p w14:paraId="213DDABB" w14:textId="017452AA" w:rsidR="00B779BF"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b) Thuyết minh về việc </w:t>
      </w:r>
      <w:r w:rsidR="0087744D" w:rsidRPr="00A770A8">
        <w:rPr>
          <w:rFonts w:ascii="Times New Roman" w:hAnsi="Times New Roman"/>
          <w:sz w:val="24"/>
          <w:szCs w:val="24"/>
        </w:rPr>
        <w:t>quỹ có đạt được mục tiêu đầu tư: Do mới thành lập từ tháng 4/2019 nên Quỹ vẫn đang trong quá trình tìm kiếm cơ hội đầu tư nhằm đạt được Mục tiêu đầu tư đề ra trong Bản cáo bạch Quỹ</w:t>
      </w:r>
      <w:r w:rsidR="0073279F" w:rsidRPr="00A770A8">
        <w:rPr>
          <w:rFonts w:ascii="Times New Roman" w:hAnsi="Times New Roman"/>
          <w:sz w:val="24"/>
          <w:szCs w:val="24"/>
        </w:rPr>
        <w:t xml:space="preserve"> (</w:t>
      </w:r>
      <w:r w:rsidR="00B779BF" w:rsidRPr="00A770A8">
        <w:rPr>
          <w:rFonts w:ascii="Times New Roman" w:hAnsi="Times New Roman"/>
          <w:sz w:val="24"/>
          <w:szCs w:val="24"/>
        </w:rPr>
        <w:t xml:space="preserve">Mục tiêu của </w:t>
      </w:r>
      <w:r w:rsidR="0073279F" w:rsidRPr="00A770A8">
        <w:rPr>
          <w:rFonts w:ascii="Times New Roman" w:hAnsi="Times New Roman"/>
          <w:sz w:val="24"/>
          <w:szCs w:val="24"/>
        </w:rPr>
        <w:t>Q</w:t>
      </w:r>
      <w:r w:rsidR="00B779BF" w:rsidRPr="00A770A8">
        <w:rPr>
          <w:rFonts w:ascii="Times New Roman" w:hAnsi="Times New Roman"/>
          <w:sz w:val="24"/>
          <w:szCs w:val="24"/>
        </w:rPr>
        <w:t>uỹ là tăng trưởng vốn trung và d</w:t>
      </w:r>
      <w:r w:rsidR="0073279F" w:rsidRPr="00A770A8">
        <w:rPr>
          <w:rFonts w:ascii="Times New Roman" w:hAnsi="Times New Roman"/>
          <w:sz w:val="24"/>
          <w:szCs w:val="24"/>
        </w:rPr>
        <w:t>ài hạn)</w:t>
      </w:r>
    </w:p>
    <w:p w14:paraId="1845AE90" w14:textId="77777777" w:rsidR="00C4302B"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c) So sánh kết quả lợi nhuận của quỹ với kết quả lợi nhuận của danh mục tham chiếu, chỉ số cơ sở công bố tại Bản cáo bạch trong cùng kỳ báo cáo (bằng </w:t>
      </w:r>
      <w:r w:rsidR="00971FDD" w:rsidRPr="00A770A8">
        <w:rPr>
          <w:rFonts w:ascii="Times New Roman" w:hAnsi="Times New Roman"/>
          <w:sz w:val="24"/>
          <w:szCs w:val="24"/>
        </w:rPr>
        <w:t>đồ thị)</w:t>
      </w:r>
      <w:r w:rsidR="00A364E6" w:rsidRPr="00A770A8">
        <w:rPr>
          <w:rFonts w:ascii="Times New Roman" w:hAnsi="Times New Roman"/>
          <w:sz w:val="24"/>
          <w:szCs w:val="24"/>
        </w:rPr>
        <w:t xml:space="preserve">: </w:t>
      </w:r>
    </w:p>
    <w:p w14:paraId="6B67710A" w14:textId="77777777" w:rsidR="005264FE" w:rsidRPr="00A770A8" w:rsidRDefault="00C4302B" w:rsidP="00920A63">
      <w:pPr>
        <w:spacing w:before="120"/>
        <w:ind w:left="630" w:hanging="360"/>
        <w:jc w:val="both"/>
        <w:rPr>
          <w:rFonts w:ascii="Times New Roman" w:hAnsi="Times New Roman"/>
          <w:sz w:val="24"/>
          <w:szCs w:val="24"/>
        </w:rPr>
      </w:pPr>
      <w:r w:rsidRPr="00A770A8">
        <w:rPr>
          <w:rFonts w:ascii="Times New Roman" w:hAnsi="Times New Roman"/>
          <w:sz w:val="24"/>
          <w:szCs w:val="24"/>
        </w:rPr>
        <w:t>-</w:t>
      </w:r>
      <w:r w:rsidRPr="00A770A8">
        <w:rPr>
          <w:rFonts w:ascii="Times New Roman" w:hAnsi="Times New Roman"/>
          <w:sz w:val="24"/>
          <w:szCs w:val="24"/>
        </w:rPr>
        <w:tab/>
      </w:r>
      <w:r w:rsidR="00A364E6" w:rsidRPr="00A770A8">
        <w:rPr>
          <w:rFonts w:ascii="Times New Roman" w:hAnsi="Times New Roman"/>
          <w:sz w:val="24"/>
          <w:szCs w:val="24"/>
        </w:rPr>
        <w:t xml:space="preserve">Do Quỹ không áp dụng danh mục tham chiếu nên không </w:t>
      </w:r>
      <w:r w:rsidR="00036B61" w:rsidRPr="00A770A8">
        <w:rPr>
          <w:rFonts w:ascii="Times New Roman" w:hAnsi="Times New Roman"/>
          <w:sz w:val="24"/>
          <w:szCs w:val="24"/>
        </w:rPr>
        <w:t>trình bày phần này</w:t>
      </w:r>
    </w:p>
    <w:p w14:paraId="4ADCD59F" w14:textId="1C8B91CD" w:rsidR="00363C80" w:rsidRPr="00A770A8" w:rsidRDefault="000E27FD" w:rsidP="00920A63">
      <w:pPr>
        <w:spacing w:before="120"/>
        <w:ind w:left="630" w:hanging="360"/>
        <w:jc w:val="both"/>
        <w:rPr>
          <w:rFonts w:ascii="Times New Roman" w:hAnsi="Times New Roman"/>
          <w:sz w:val="24"/>
          <w:szCs w:val="24"/>
          <w:lang w:val="nl-NL"/>
        </w:rPr>
      </w:pPr>
      <w:r w:rsidRPr="00A770A8">
        <w:rPr>
          <w:rFonts w:ascii="Times New Roman" w:hAnsi="Times New Roman"/>
          <w:noProof/>
          <w:sz w:val="24"/>
          <w:szCs w:val="24"/>
        </w:rPr>
        <w:drawing>
          <wp:anchor distT="0" distB="0" distL="114300" distR="114300" simplePos="0" relativeHeight="251658752" behindDoc="0" locked="0" layoutInCell="1" allowOverlap="1" wp14:anchorId="7C174A51" wp14:editId="3810B55E">
            <wp:simplePos x="0" y="0"/>
            <wp:positionH relativeFrom="column">
              <wp:posOffset>438150</wp:posOffset>
            </wp:positionH>
            <wp:positionV relativeFrom="paragraph">
              <wp:posOffset>546735</wp:posOffset>
            </wp:positionV>
            <wp:extent cx="5172075" cy="2476500"/>
            <wp:effectExtent l="0" t="0" r="9525" b="0"/>
            <wp:wrapTopAndBottom/>
            <wp:docPr id="1" name="Chart 1">
              <a:extLst xmlns:a="http://schemas.openxmlformats.org/drawingml/2006/main">
                <a:ext uri="{FF2B5EF4-FFF2-40B4-BE49-F238E27FC236}">
                  <a16:creationId xmlns:a16="http://schemas.microsoft.com/office/drawing/2014/main" id="{7E258083-2B5A-43AA-8372-1D48684D51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r w:rsidR="00C4302B" w:rsidRPr="00A770A8">
        <w:rPr>
          <w:rFonts w:ascii="Times New Roman" w:hAnsi="Times New Roman"/>
          <w:sz w:val="24"/>
          <w:szCs w:val="24"/>
        </w:rPr>
        <w:t>-</w:t>
      </w:r>
      <w:r w:rsidR="00C4302B" w:rsidRPr="00A770A8">
        <w:rPr>
          <w:rFonts w:ascii="Times New Roman" w:hAnsi="Times New Roman"/>
          <w:sz w:val="24"/>
          <w:szCs w:val="24"/>
        </w:rPr>
        <w:tab/>
      </w:r>
      <w:r w:rsidR="00363C80" w:rsidRPr="00A770A8">
        <w:rPr>
          <w:rFonts w:ascii="Times New Roman" w:hAnsi="Times New Roman"/>
          <w:sz w:val="24"/>
          <w:szCs w:val="24"/>
        </w:rPr>
        <w:t>Chỉ số tham chi</w:t>
      </w:r>
      <w:r w:rsidR="00C4302B" w:rsidRPr="00A770A8">
        <w:rPr>
          <w:rFonts w:ascii="Times New Roman" w:hAnsi="Times New Roman"/>
          <w:sz w:val="24"/>
          <w:szCs w:val="24"/>
        </w:rPr>
        <w:t>ếu</w:t>
      </w:r>
      <w:r w:rsidR="00363C80" w:rsidRPr="00A770A8">
        <w:rPr>
          <w:rFonts w:ascii="Times New Roman" w:hAnsi="Times New Roman"/>
          <w:sz w:val="24"/>
          <w:szCs w:val="24"/>
        </w:rPr>
        <w:t xml:space="preserve"> của Quỹ là Chỉ số Trái phiếu Chính phủ năm (05) năm của HNX. </w:t>
      </w:r>
      <w:r w:rsidR="00C4302B" w:rsidRPr="00A770A8">
        <w:rPr>
          <w:rFonts w:ascii="Times New Roman" w:hAnsi="Times New Roman"/>
          <w:sz w:val="24"/>
          <w:szCs w:val="24"/>
        </w:rPr>
        <w:t>Kết quả so sánh chi tiết như sau:</w:t>
      </w:r>
    </w:p>
    <w:p w14:paraId="6D2530A2" w14:textId="7E90B621" w:rsidR="00363C80" w:rsidRPr="00A770A8" w:rsidRDefault="00363C80" w:rsidP="00920A63">
      <w:pPr>
        <w:spacing w:before="120"/>
        <w:jc w:val="both"/>
        <w:rPr>
          <w:rFonts w:ascii="Times New Roman" w:hAnsi="Times New Roman"/>
          <w:sz w:val="24"/>
          <w:szCs w:val="24"/>
        </w:rPr>
      </w:pPr>
    </w:p>
    <w:p w14:paraId="2D3AA404" w14:textId="77777777" w:rsidR="00C4302B"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d) So sánh kết quả lợi nhuận của quỹ với kết quả lợi nhuận của danh mục tham chiếu, chỉ số cơ sở công bố tại Bản cáo bạch trong khoảng thời gian năm (05) năm gần nhất, tính tới ngày báo cáo (bằng </w:t>
      </w:r>
      <w:r w:rsidR="00323EC8" w:rsidRPr="00A770A8">
        <w:rPr>
          <w:rFonts w:ascii="Times New Roman" w:hAnsi="Times New Roman"/>
          <w:sz w:val="24"/>
          <w:szCs w:val="24"/>
        </w:rPr>
        <w:t>đồ thị):</w:t>
      </w:r>
      <w:r w:rsidR="00B64BDA" w:rsidRPr="00A770A8">
        <w:rPr>
          <w:rFonts w:ascii="Times New Roman" w:hAnsi="Times New Roman"/>
          <w:sz w:val="24"/>
          <w:szCs w:val="24"/>
        </w:rPr>
        <w:t xml:space="preserve"> </w:t>
      </w:r>
    </w:p>
    <w:p w14:paraId="6E3A4708" w14:textId="1BA13F1A" w:rsidR="00323EC8" w:rsidRPr="00A770A8" w:rsidRDefault="00C4302B" w:rsidP="00920A63">
      <w:pPr>
        <w:spacing w:before="120"/>
        <w:ind w:left="630" w:hanging="360"/>
        <w:jc w:val="both"/>
        <w:rPr>
          <w:rFonts w:ascii="Times New Roman" w:hAnsi="Times New Roman"/>
          <w:sz w:val="24"/>
          <w:szCs w:val="24"/>
        </w:rPr>
      </w:pPr>
      <w:r w:rsidRPr="00A770A8">
        <w:rPr>
          <w:rFonts w:ascii="Times New Roman" w:hAnsi="Times New Roman"/>
          <w:sz w:val="24"/>
          <w:szCs w:val="24"/>
        </w:rPr>
        <w:t>-</w:t>
      </w:r>
      <w:r w:rsidRPr="00A770A8">
        <w:rPr>
          <w:rFonts w:ascii="Times New Roman" w:hAnsi="Times New Roman"/>
          <w:sz w:val="24"/>
          <w:szCs w:val="24"/>
        </w:rPr>
        <w:tab/>
      </w:r>
      <w:r w:rsidR="00036B61" w:rsidRPr="00A770A8">
        <w:rPr>
          <w:rFonts w:ascii="Times New Roman" w:hAnsi="Times New Roman"/>
          <w:sz w:val="24"/>
          <w:szCs w:val="24"/>
        </w:rPr>
        <w:t>Do Quỹ không áp dụng danh mục tham chiếu nên không trình bày phần này</w:t>
      </w:r>
    </w:p>
    <w:p w14:paraId="13FE8E82" w14:textId="7BB5200C" w:rsidR="00C4302B" w:rsidRPr="00A770A8" w:rsidRDefault="00C4302B" w:rsidP="00920A63">
      <w:pPr>
        <w:spacing w:before="120"/>
        <w:ind w:left="630" w:hanging="360"/>
        <w:jc w:val="both"/>
        <w:rPr>
          <w:rFonts w:ascii="Times New Roman" w:hAnsi="Times New Roman"/>
          <w:sz w:val="24"/>
          <w:szCs w:val="24"/>
        </w:rPr>
      </w:pPr>
      <w:r w:rsidRPr="00A770A8">
        <w:rPr>
          <w:rFonts w:ascii="Times New Roman" w:hAnsi="Times New Roman"/>
          <w:sz w:val="24"/>
          <w:szCs w:val="24"/>
        </w:rPr>
        <w:t>-</w:t>
      </w:r>
      <w:r w:rsidRPr="00A770A8">
        <w:rPr>
          <w:rFonts w:ascii="Times New Roman" w:hAnsi="Times New Roman"/>
          <w:sz w:val="24"/>
          <w:szCs w:val="24"/>
        </w:rPr>
        <w:tab/>
        <w:t>Chỉ số tham chiếu của Quỹ là Chỉ số Trái phiếu Chính phủ năm (05) năm của HNX, tuy nhiên do Quỹ mới thành lập từ ngày 03/04/2019 nên chưa đủ số liệu để so sánh cho phần này.</w:t>
      </w:r>
    </w:p>
    <w:p w14:paraId="1113024F" w14:textId="2CF49E31"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e) Mô tả chiến lược, chiến thuật đầu tư mà quỹ đã sử dụng trong kỳ báo cáo. Trường hợp có sự khác biệt giữa chiến lược, chiến thuật đầu tư thực hiện trong kỳ so với chiến lược, chiến thuật đầu tư đã công bố tại Bản cáo bạch, thì phải bổ sung thuyết minh và đánh giá ưu, nhược điểm của chiến lược, chiến thuật đầu tư đã thực </w:t>
      </w:r>
      <w:r w:rsidR="00971FDD" w:rsidRPr="00A770A8">
        <w:rPr>
          <w:rFonts w:ascii="Times New Roman" w:hAnsi="Times New Roman"/>
          <w:sz w:val="24"/>
          <w:szCs w:val="24"/>
        </w:rPr>
        <w:t>hiện trong kỳ</w:t>
      </w:r>
      <w:r w:rsidR="00B64BDA" w:rsidRPr="00A770A8">
        <w:rPr>
          <w:rFonts w:ascii="Times New Roman" w:hAnsi="Times New Roman"/>
          <w:sz w:val="24"/>
          <w:szCs w:val="24"/>
        </w:rPr>
        <w:t>:</w:t>
      </w:r>
    </w:p>
    <w:p w14:paraId="214C4467" w14:textId="76F1ABF3" w:rsidR="00971FDD" w:rsidRPr="00A770A8" w:rsidRDefault="00A5797B" w:rsidP="00920A63">
      <w:pPr>
        <w:spacing w:before="120"/>
        <w:rPr>
          <w:rFonts w:ascii="Times New Roman" w:hAnsi="Times New Roman"/>
          <w:sz w:val="24"/>
          <w:szCs w:val="24"/>
        </w:rPr>
      </w:pPr>
      <w:r w:rsidRPr="00A770A8">
        <w:rPr>
          <w:rFonts w:ascii="Times New Roman" w:hAnsi="Times New Roman"/>
          <w:sz w:val="24"/>
          <w:szCs w:val="24"/>
        </w:rPr>
        <w:lastRenderedPageBreak/>
        <w:t>Trong 6 tháng đầu năm 2019, Quỹ CBPF vẫn giữ nguyên chiến lược đầu tư đã công bố trong Bản cáo bạch Quỹ và dự kiến sẽ nâng cao tỷ trọng đầu tư vào các Trái phiếu doanh nghiệp có lợi</w:t>
      </w:r>
      <w:r w:rsidR="00D145A0" w:rsidRPr="00A770A8">
        <w:rPr>
          <w:rFonts w:ascii="Times New Roman" w:hAnsi="Times New Roman"/>
          <w:sz w:val="24"/>
          <w:szCs w:val="24"/>
        </w:rPr>
        <w:t xml:space="preserve"> suất cao và các chứng chỉ </w:t>
      </w:r>
      <w:r w:rsidRPr="00A770A8">
        <w:rPr>
          <w:rFonts w:ascii="Times New Roman" w:hAnsi="Times New Roman"/>
          <w:sz w:val="24"/>
          <w:szCs w:val="24"/>
        </w:rPr>
        <w:t xml:space="preserve">tiền gửi của các tổ chức tài chính có lãi suất </w:t>
      </w:r>
      <w:r w:rsidR="003422E5" w:rsidRPr="00A770A8">
        <w:rPr>
          <w:rFonts w:ascii="Times New Roman" w:hAnsi="Times New Roman"/>
          <w:sz w:val="24"/>
          <w:szCs w:val="24"/>
        </w:rPr>
        <w:t>t</w:t>
      </w:r>
      <w:r w:rsidRPr="00A770A8">
        <w:rPr>
          <w:rFonts w:ascii="Times New Roman" w:hAnsi="Times New Roman"/>
          <w:sz w:val="24"/>
          <w:szCs w:val="24"/>
        </w:rPr>
        <w:t>hấp</w:t>
      </w:r>
      <w:r w:rsidR="00971FDD" w:rsidRPr="00A770A8">
        <w:rPr>
          <w:rFonts w:ascii="Times New Roman" w:hAnsi="Times New Roman"/>
          <w:sz w:val="24"/>
          <w:szCs w:val="24"/>
        </w:rPr>
        <w:t>.</w:t>
      </w:r>
    </w:p>
    <w:p w14:paraId="05E8E3A3"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f) Mô tả sự khác biệt về cơ cấu danh mục đầu tư của quỹ tại thời điểm báo cáo, so với danh mục đầu tư của quỹ năm liền kề năm </w:t>
      </w:r>
      <w:r w:rsidR="00B34784" w:rsidRPr="00A770A8">
        <w:rPr>
          <w:rFonts w:ascii="Times New Roman" w:hAnsi="Times New Roman"/>
          <w:sz w:val="24"/>
          <w:szCs w:val="24"/>
        </w:rPr>
        <w:t>báo cáo:</w:t>
      </w:r>
    </w:p>
    <w:p w14:paraId="52718AE1" w14:textId="7A686ABD" w:rsidR="00B34784" w:rsidRPr="00A770A8" w:rsidRDefault="00B34784" w:rsidP="00920A63">
      <w:pPr>
        <w:spacing w:before="120"/>
        <w:jc w:val="both"/>
        <w:rPr>
          <w:rFonts w:ascii="Times New Roman" w:hAnsi="Times New Roman"/>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5"/>
        <w:gridCol w:w="2880"/>
        <w:gridCol w:w="2250"/>
      </w:tblGrid>
      <w:tr w:rsidR="00C30B89" w:rsidRPr="00A770A8" w14:paraId="4FD0E762" w14:textId="77777777" w:rsidTr="006B7A58">
        <w:trPr>
          <w:trHeight w:val="320"/>
        </w:trPr>
        <w:tc>
          <w:tcPr>
            <w:tcW w:w="4695" w:type="dxa"/>
            <w:vMerge w:val="restart"/>
            <w:shd w:val="clear" w:color="auto" w:fill="B8CCE4" w:themeFill="accent1" w:themeFillTint="66"/>
            <w:noWrap/>
            <w:tcMar>
              <w:top w:w="15" w:type="dxa"/>
              <w:left w:w="15" w:type="dxa"/>
              <w:bottom w:w="0" w:type="dxa"/>
              <w:right w:w="15" w:type="dxa"/>
            </w:tcMar>
            <w:vAlign w:val="center"/>
            <w:hideMark/>
          </w:tcPr>
          <w:p w14:paraId="68E9A916" w14:textId="05920149" w:rsidR="00C30B89" w:rsidRPr="00A770A8" w:rsidRDefault="00C30B89" w:rsidP="008755A3">
            <w:pPr>
              <w:jc w:val="center"/>
              <w:rPr>
                <w:rFonts w:ascii="Times New Roman" w:hAnsi="Times New Roman"/>
                <w:b/>
                <w:sz w:val="24"/>
                <w:szCs w:val="24"/>
              </w:rPr>
            </w:pPr>
            <w:r w:rsidRPr="00A770A8">
              <w:rPr>
                <w:rFonts w:ascii="Times New Roman" w:hAnsi="Times New Roman"/>
                <w:b/>
                <w:sz w:val="24"/>
                <w:szCs w:val="24"/>
              </w:rPr>
              <w:t>Cơ cấu danh mục đầu tư</w:t>
            </w:r>
          </w:p>
        </w:tc>
        <w:tc>
          <w:tcPr>
            <w:tcW w:w="5130" w:type="dxa"/>
            <w:gridSpan w:val="2"/>
            <w:shd w:val="clear" w:color="auto" w:fill="B8CCE4" w:themeFill="accent1" w:themeFillTint="66"/>
            <w:noWrap/>
            <w:tcMar>
              <w:top w:w="15" w:type="dxa"/>
              <w:left w:w="15" w:type="dxa"/>
              <w:bottom w:w="0" w:type="dxa"/>
              <w:right w:w="15" w:type="dxa"/>
            </w:tcMar>
            <w:vAlign w:val="center"/>
            <w:hideMark/>
          </w:tcPr>
          <w:p w14:paraId="6708988B" w14:textId="77777777" w:rsidR="00C30B89" w:rsidRPr="00A770A8" w:rsidRDefault="00C30B89" w:rsidP="00920A63">
            <w:pPr>
              <w:jc w:val="center"/>
              <w:rPr>
                <w:rFonts w:ascii="Times New Roman" w:hAnsi="Times New Roman"/>
                <w:b/>
                <w:bCs/>
                <w:sz w:val="24"/>
                <w:szCs w:val="24"/>
              </w:rPr>
            </w:pPr>
            <w:r w:rsidRPr="00A770A8">
              <w:rPr>
                <w:rFonts w:ascii="Times New Roman" w:hAnsi="Times New Roman"/>
                <w:b/>
                <w:sz w:val="24"/>
                <w:szCs w:val="24"/>
              </w:rPr>
              <w:t>CBPF</w:t>
            </w:r>
          </w:p>
        </w:tc>
      </w:tr>
      <w:tr w:rsidR="00C30B89" w:rsidRPr="00A770A8" w14:paraId="3918BC13" w14:textId="77777777" w:rsidTr="006B7A58">
        <w:trPr>
          <w:trHeight w:val="320"/>
        </w:trPr>
        <w:tc>
          <w:tcPr>
            <w:tcW w:w="4695" w:type="dxa"/>
            <w:vMerge/>
            <w:shd w:val="clear" w:color="auto" w:fill="B8CCE4" w:themeFill="accent1" w:themeFillTint="66"/>
            <w:noWrap/>
            <w:tcMar>
              <w:top w:w="15" w:type="dxa"/>
              <w:left w:w="15" w:type="dxa"/>
              <w:bottom w:w="0" w:type="dxa"/>
              <w:right w:w="15" w:type="dxa"/>
            </w:tcMar>
            <w:vAlign w:val="center"/>
            <w:hideMark/>
          </w:tcPr>
          <w:p w14:paraId="1C49811B" w14:textId="754B8273" w:rsidR="00C30B89" w:rsidRPr="00A770A8" w:rsidRDefault="00C30B89" w:rsidP="00920A63">
            <w:pPr>
              <w:rPr>
                <w:rFonts w:ascii="Times New Roman" w:hAnsi="Times New Roman"/>
                <w:sz w:val="24"/>
                <w:szCs w:val="24"/>
              </w:rPr>
            </w:pPr>
          </w:p>
        </w:tc>
        <w:tc>
          <w:tcPr>
            <w:tcW w:w="2880" w:type="dxa"/>
            <w:shd w:val="clear" w:color="auto" w:fill="B8CCE4" w:themeFill="accent1" w:themeFillTint="66"/>
            <w:noWrap/>
            <w:tcMar>
              <w:top w:w="15" w:type="dxa"/>
              <w:left w:w="15" w:type="dxa"/>
              <w:bottom w:w="0" w:type="dxa"/>
              <w:right w:w="15" w:type="dxa"/>
            </w:tcMar>
            <w:vAlign w:val="center"/>
            <w:hideMark/>
          </w:tcPr>
          <w:p w14:paraId="4AEAAEDE" w14:textId="77777777" w:rsidR="00C30B89" w:rsidRPr="00A770A8" w:rsidRDefault="00C30B89" w:rsidP="00920A63">
            <w:pPr>
              <w:jc w:val="center"/>
              <w:rPr>
                <w:rFonts w:ascii="Times New Roman" w:hAnsi="Times New Roman"/>
                <w:b/>
                <w:sz w:val="24"/>
                <w:szCs w:val="24"/>
              </w:rPr>
            </w:pPr>
            <w:r w:rsidRPr="00A770A8">
              <w:rPr>
                <w:rFonts w:ascii="Times New Roman" w:hAnsi="Times New Roman"/>
                <w:b/>
                <w:sz w:val="24"/>
                <w:szCs w:val="24"/>
              </w:rPr>
              <w:t>30/06/2019</w:t>
            </w:r>
          </w:p>
        </w:tc>
        <w:tc>
          <w:tcPr>
            <w:tcW w:w="2250" w:type="dxa"/>
            <w:shd w:val="clear" w:color="auto" w:fill="B8CCE4" w:themeFill="accent1" w:themeFillTint="66"/>
            <w:noWrap/>
            <w:tcMar>
              <w:top w:w="15" w:type="dxa"/>
              <w:left w:w="15" w:type="dxa"/>
              <w:bottom w:w="0" w:type="dxa"/>
              <w:right w:w="15" w:type="dxa"/>
            </w:tcMar>
            <w:vAlign w:val="bottom"/>
            <w:hideMark/>
          </w:tcPr>
          <w:p w14:paraId="28434E1F" w14:textId="523C6EA8" w:rsidR="00C30B89" w:rsidRPr="00A770A8" w:rsidRDefault="00C30B89" w:rsidP="00920A63">
            <w:pPr>
              <w:jc w:val="center"/>
              <w:rPr>
                <w:rFonts w:ascii="Times New Roman" w:hAnsi="Times New Roman"/>
                <w:b/>
                <w:sz w:val="24"/>
                <w:szCs w:val="24"/>
              </w:rPr>
            </w:pPr>
            <w:r w:rsidRPr="00A770A8">
              <w:rPr>
                <w:rFonts w:ascii="Times New Roman" w:hAnsi="Times New Roman"/>
                <w:b/>
                <w:sz w:val="24"/>
                <w:szCs w:val="24"/>
              </w:rPr>
              <w:t>30/06/2018</w:t>
            </w:r>
          </w:p>
        </w:tc>
      </w:tr>
      <w:tr w:rsidR="00B34784" w:rsidRPr="00A770A8" w14:paraId="35BEC1AE" w14:textId="77777777" w:rsidTr="00F80777">
        <w:trPr>
          <w:trHeight w:val="320"/>
        </w:trPr>
        <w:tc>
          <w:tcPr>
            <w:tcW w:w="4695" w:type="dxa"/>
            <w:shd w:val="clear" w:color="auto" w:fill="auto"/>
            <w:noWrap/>
            <w:tcMar>
              <w:top w:w="15" w:type="dxa"/>
              <w:left w:w="15" w:type="dxa"/>
              <w:bottom w:w="0" w:type="dxa"/>
              <w:right w:w="15" w:type="dxa"/>
            </w:tcMar>
            <w:vAlign w:val="bottom"/>
            <w:hideMark/>
          </w:tcPr>
          <w:p w14:paraId="04F40351" w14:textId="77777777" w:rsidR="00B34784" w:rsidRPr="00A770A8" w:rsidRDefault="00B34784" w:rsidP="00920A63">
            <w:pPr>
              <w:rPr>
                <w:rFonts w:ascii="Times New Roman" w:hAnsi="Times New Roman"/>
                <w:sz w:val="24"/>
                <w:szCs w:val="24"/>
              </w:rPr>
            </w:pPr>
            <w:r w:rsidRPr="00A770A8">
              <w:rPr>
                <w:rFonts w:ascii="Times New Roman" w:hAnsi="Times New Roman"/>
                <w:sz w:val="24"/>
                <w:szCs w:val="24"/>
              </w:rPr>
              <w:t>Tiền mặt</w:t>
            </w:r>
          </w:p>
        </w:tc>
        <w:tc>
          <w:tcPr>
            <w:tcW w:w="2880" w:type="dxa"/>
            <w:shd w:val="clear" w:color="auto" w:fill="auto"/>
            <w:noWrap/>
            <w:tcMar>
              <w:top w:w="15" w:type="dxa"/>
              <w:left w:w="15" w:type="dxa"/>
              <w:bottom w:w="0" w:type="dxa"/>
              <w:right w:w="15" w:type="dxa"/>
            </w:tcMar>
            <w:vAlign w:val="bottom"/>
          </w:tcPr>
          <w:p w14:paraId="202FE8CF" w14:textId="041288C7" w:rsidR="00B34784" w:rsidRPr="00A770A8" w:rsidRDefault="00C22292" w:rsidP="00920A63">
            <w:pPr>
              <w:jc w:val="center"/>
              <w:rPr>
                <w:rFonts w:ascii="Times New Roman" w:hAnsi="Times New Roman"/>
                <w:sz w:val="24"/>
                <w:szCs w:val="24"/>
              </w:rPr>
            </w:pPr>
            <w:r w:rsidRPr="00A770A8">
              <w:rPr>
                <w:rFonts w:ascii="Times New Roman" w:hAnsi="Times New Roman"/>
                <w:sz w:val="24"/>
                <w:szCs w:val="24"/>
              </w:rPr>
              <w:t>40.691.046.</w:t>
            </w:r>
            <w:r w:rsidR="0019545A" w:rsidRPr="00A770A8">
              <w:rPr>
                <w:rFonts w:ascii="Times New Roman" w:hAnsi="Times New Roman"/>
                <w:sz w:val="24"/>
                <w:szCs w:val="24"/>
              </w:rPr>
              <w:t>162</w:t>
            </w:r>
          </w:p>
        </w:tc>
        <w:tc>
          <w:tcPr>
            <w:tcW w:w="2250" w:type="dxa"/>
            <w:shd w:val="clear" w:color="auto" w:fill="auto"/>
            <w:noWrap/>
            <w:tcMar>
              <w:top w:w="15" w:type="dxa"/>
              <w:left w:w="15" w:type="dxa"/>
              <w:bottom w:w="0" w:type="dxa"/>
              <w:right w:w="15" w:type="dxa"/>
            </w:tcMar>
            <w:vAlign w:val="bottom"/>
          </w:tcPr>
          <w:p w14:paraId="69031162" w14:textId="5047EBDD" w:rsidR="00B34784" w:rsidRPr="00A770A8" w:rsidRDefault="009241B2" w:rsidP="00920A63">
            <w:pPr>
              <w:jc w:val="center"/>
              <w:rPr>
                <w:rFonts w:ascii="Times New Roman" w:hAnsi="Times New Roman"/>
                <w:sz w:val="24"/>
                <w:szCs w:val="24"/>
              </w:rPr>
            </w:pPr>
            <w:r w:rsidRPr="00A770A8">
              <w:rPr>
                <w:rFonts w:ascii="Times New Roman" w:hAnsi="Times New Roman"/>
                <w:sz w:val="24"/>
                <w:szCs w:val="24"/>
              </w:rPr>
              <w:t>N/A</w:t>
            </w:r>
          </w:p>
        </w:tc>
      </w:tr>
      <w:tr w:rsidR="009241B2" w:rsidRPr="00A770A8" w14:paraId="3D4FC92C" w14:textId="77777777" w:rsidTr="00F80777">
        <w:trPr>
          <w:trHeight w:val="320"/>
        </w:trPr>
        <w:tc>
          <w:tcPr>
            <w:tcW w:w="4695" w:type="dxa"/>
            <w:shd w:val="clear" w:color="auto" w:fill="auto"/>
            <w:noWrap/>
            <w:tcMar>
              <w:top w:w="15" w:type="dxa"/>
              <w:left w:w="15" w:type="dxa"/>
              <w:bottom w:w="0" w:type="dxa"/>
              <w:right w:w="15" w:type="dxa"/>
            </w:tcMar>
            <w:vAlign w:val="bottom"/>
            <w:hideMark/>
          </w:tcPr>
          <w:p w14:paraId="72190B52" w14:textId="38FB7660" w:rsidR="009241B2" w:rsidRPr="00A770A8" w:rsidRDefault="009241B2" w:rsidP="00920A63">
            <w:pPr>
              <w:rPr>
                <w:rFonts w:ascii="Times New Roman" w:hAnsi="Times New Roman"/>
                <w:sz w:val="24"/>
                <w:szCs w:val="24"/>
              </w:rPr>
            </w:pPr>
            <w:r w:rsidRPr="00A770A8">
              <w:rPr>
                <w:rFonts w:ascii="Times New Roman" w:hAnsi="Times New Roman"/>
                <w:sz w:val="24"/>
                <w:szCs w:val="24"/>
              </w:rPr>
              <w:t>Chứng chỉ tiền gửi</w:t>
            </w:r>
          </w:p>
        </w:tc>
        <w:tc>
          <w:tcPr>
            <w:tcW w:w="2880" w:type="dxa"/>
            <w:shd w:val="clear" w:color="auto" w:fill="auto"/>
            <w:noWrap/>
            <w:tcMar>
              <w:top w:w="15" w:type="dxa"/>
              <w:left w:w="15" w:type="dxa"/>
              <w:bottom w:w="0" w:type="dxa"/>
              <w:right w:w="15" w:type="dxa"/>
            </w:tcMar>
            <w:vAlign w:val="bottom"/>
          </w:tcPr>
          <w:p w14:paraId="45D44432" w14:textId="6AD8E693" w:rsidR="009241B2" w:rsidRPr="00A770A8" w:rsidRDefault="009241B2" w:rsidP="00920A63">
            <w:pPr>
              <w:jc w:val="center"/>
              <w:rPr>
                <w:rFonts w:ascii="Times New Roman" w:hAnsi="Times New Roman"/>
                <w:sz w:val="24"/>
                <w:szCs w:val="24"/>
              </w:rPr>
            </w:pPr>
            <w:r w:rsidRPr="00A770A8">
              <w:rPr>
                <w:rFonts w:ascii="Times New Roman" w:hAnsi="Times New Roman"/>
                <w:sz w:val="24"/>
                <w:szCs w:val="24"/>
              </w:rPr>
              <w:t>20.000.000.000</w:t>
            </w:r>
          </w:p>
        </w:tc>
        <w:tc>
          <w:tcPr>
            <w:tcW w:w="2250" w:type="dxa"/>
            <w:shd w:val="clear" w:color="auto" w:fill="auto"/>
            <w:noWrap/>
            <w:tcMar>
              <w:top w:w="15" w:type="dxa"/>
              <w:left w:w="15" w:type="dxa"/>
              <w:bottom w:w="0" w:type="dxa"/>
              <w:right w:w="15" w:type="dxa"/>
            </w:tcMar>
            <w:vAlign w:val="bottom"/>
          </w:tcPr>
          <w:p w14:paraId="7B49124B" w14:textId="2286C008" w:rsidR="009241B2" w:rsidRPr="00A770A8" w:rsidRDefault="009241B2" w:rsidP="00920A63">
            <w:pPr>
              <w:jc w:val="center"/>
              <w:rPr>
                <w:rFonts w:ascii="Times New Roman" w:hAnsi="Times New Roman"/>
                <w:sz w:val="24"/>
                <w:szCs w:val="24"/>
              </w:rPr>
            </w:pPr>
            <w:r w:rsidRPr="00A770A8">
              <w:rPr>
                <w:rFonts w:ascii="Times New Roman" w:hAnsi="Times New Roman"/>
                <w:sz w:val="24"/>
                <w:szCs w:val="24"/>
              </w:rPr>
              <w:t>N/A</w:t>
            </w:r>
          </w:p>
        </w:tc>
      </w:tr>
      <w:tr w:rsidR="009241B2" w:rsidRPr="00A770A8" w14:paraId="56A1627A" w14:textId="77777777" w:rsidTr="00F80777">
        <w:trPr>
          <w:trHeight w:val="320"/>
        </w:trPr>
        <w:tc>
          <w:tcPr>
            <w:tcW w:w="4695" w:type="dxa"/>
            <w:shd w:val="clear" w:color="auto" w:fill="auto"/>
            <w:noWrap/>
            <w:tcMar>
              <w:top w:w="15" w:type="dxa"/>
              <w:left w:w="15" w:type="dxa"/>
              <w:bottom w:w="0" w:type="dxa"/>
              <w:right w:w="15" w:type="dxa"/>
            </w:tcMar>
            <w:vAlign w:val="bottom"/>
            <w:hideMark/>
          </w:tcPr>
          <w:p w14:paraId="38E575A0" w14:textId="3E0D2C52" w:rsidR="009241B2" w:rsidRPr="00A770A8" w:rsidRDefault="009241B2" w:rsidP="00920A63">
            <w:pPr>
              <w:rPr>
                <w:rFonts w:ascii="Times New Roman" w:hAnsi="Times New Roman"/>
                <w:sz w:val="24"/>
                <w:szCs w:val="24"/>
              </w:rPr>
            </w:pPr>
            <w:r w:rsidRPr="00A770A8">
              <w:rPr>
                <w:rFonts w:ascii="Times New Roman" w:hAnsi="Times New Roman"/>
                <w:sz w:val="24"/>
                <w:szCs w:val="24"/>
              </w:rPr>
              <w:t>Hợp đồng tiền gửi có kỳ hạn</w:t>
            </w:r>
          </w:p>
        </w:tc>
        <w:tc>
          <w:tcPr>
            <w:tcW w:w="2880" w:type="dxa"/>
            <w:shd w:val="clear" w:color="auto" w:fill="auto"/>
            <w:noWrap/>
            <w:tcMar>
              <w:top w:w="15" w:type="dxa"/>
              <w:left w:w="15" w:type="dxa"/>
              <w:bottom w:w="0" w:type="dxa"/>
              <w:right w:w="15" w:type="dxa"/>
            </w:tcMar>
            <w:vAlign w:val="bottom"/>
          </w:tcPr>
          <w:p w14:paraId="55DE5064" w14:textId="5D607616" w:rsidR="009241B2" w:rsidRPr="00A770A8" w:rsidRDefault="009241B2" w:rsidP="00920A63">
            <w:pPr>
              <w:jc w:val="center"/>
              <w:rPr>
                <w:rFonts w:ascii="Times New Roman" w:hAnsi="Times New Roman"/>
                <w:sz w:val="24"/>
                <w:szCs w:val="24"/>
              </w:rPr>
            </w:pPr>
            <w:r w:rsidRPr="00A770A8">
              <w:rPr>
                <w:rFonts w:ascii="Times New Roman" w:hAnsi="Times New Roman"/>
                <w:sz w:val="24"/>
                <w:szCs w:val="24"/>
              </w:rPr>
              <w:t>40.000.000.000</w:t>
            </w:r>
          </w:p>
        </w:tc>
        <w:tc>
          <w:tcPr>
            <w:tcW w:w="2250" w:type="dxa"/>
            <w:shd w:val="clear" w:color="auto" w:fill="auto"/>
            <w:noWrap/>
            <w:tcMar>
              <w:top w:w="15" w:type="dxa"/>
              <w:left w:w="15" w:type="dxa"/>
              <w:bottom w:w="0" w:type="dxa"/>
              <w:right w:w="15" w:type="dxa"/>
            </w:tcMar>
            <w:vAlign w:val="bottom"/>
          </w:tcPr>
          <w:p w14:paraId="4CBF014A" w14:textId="2681BE96" w:rsidR="009241B2" w:rsidRPr="00A770A8" w:rsidRDefault="009241B2" w:rsidP="00920A63">
            <w:pPr>
              <w:jc w:val="center"/>
              <w:rPr>
                <w:rFonts w:ascii="Times New Roman" w:hAnsi="Times New Roman"/>
                <w:sz w:val="24"/>
                <w:szCs w:val="24"/>
              </w:rPr>
            </w:pPr>
            <w:r w:rsidRPr="00A770A8">
              <w:rPr>
                <w:rFonts w:ascii="Times New Roman" w:hAnsi="Times New Roman"/>
                <w:sz w:val="24"/>
                <w:szCs w:val="24"/>
              </w:rPr>
              <w:t>N/A</w:t>
            </w:r>
          </w:p>
        </w:tc>
      </w:tr>
      <w:tr w:rsidR="009241B2" w:rsidRPr="00A770A8" w14:paraId="14244728" w14:textId="77777777" w:rsidTr="00F80777">
        <w:trPr>
          <w:trHeight w:val="320"/>
        </w:trPr>
        <w:tc>
          <w:tcPr>
            <w:tcW w:w="4695" w:type="dxa"/>
            <w:shd w:val="clear" w:color="auto" w:fill="auto"/>
            <w:noWrap/>
            <w:tcMar>
              <w:top w:w="15" w:type="dxa"/>
              <w:left w:w="15" w:type="dxa"/>
              <w:bottom w:w="0" w:type="dxa"/>
              <w:right w:w="15" w:type="dxa"/>
            </w:tcMar>
          </w:tcPr>
          <w:p w14:paraId="786B4CEF" w14:textId="4FC13C29" w:rsidR="009241B2" w:rsidRPr="00A770A8" w:rsidRDefault="009241B2" w:rsidP="00920A63">
            <w:pPr>
              <w:rPr>
                <w:rFonts w:ascii="Times New Roman" w:hAnsi="Times New Roman"/>
                <w:sz w:val="24"/>
                <w:szCs w:val="24"/>
              </w:rPr>
            </w:pPr>
            <w:r w:rsidRPr="00A770A8">
              <w:rPr>
                <w:rFonts w:ascii="Times New Roman" w:hAnsi="Times New Roman"/>
                <w:sz w:val="24"/>
                <w:szCs w:val="24"/>
              </w:rPr>
              <w:t>Tài sản khác</w:t>
            </w:r>
          </w:p>
        </w:tc>
        <w:tc>
          <w:tcPr>
            <w:tcW w:w="2880" w:type="dxa"/>
            <w:shd w:val="clear" w:color="auto" w:fill="auto"/>
            <w:noWrap/>
            <w:tcMar>
              <w:top w:w="15" w:type="dxa"/>
              <w:left w:w="15" w:type="dxa"/>
              <w:bottom w:w="0" w:type="dxa"/>
              <w:right w:w="15" w:type="dxa"/>
            </w:tcMar>
          </w:tcPr>
          <w:p w14:paraId="4773775E" w14:textId="432DD48D" w:rsidR="009241B2" w:rsidRPr="00A770A8" w:rsidRDefault="009241B2" w:rsidP="00920A63">
            <w:pPr>
              <w:jc w:val="center"/>
              <w:rPr>
                <w:rFonts w:ascii="Times New Roman" w:hAnsi="Times New Roman"/>
                <w:sz w:val="24"/>
                <w:szCs w:val="24"/>
              </w:rPr>
            </w:pPr>
            <w:r w:rsidRPr="00A770A8">
              <w:rPr>
                <w:rFonts w:ascii="Times New Roman" w:hAnsi="Times New Roman"/>
                <w:sz w:val="24"/>
                <w:szCs w:val="24"/>
              </w:rPr>
              <w:t>758.246.576</w:t>
            </w:r>
          </w:p>
        </w:tc>
        <w:tc>
          <w:tcPr>
            <w:tcW w:w="2250" w:type="dxa"/>
            <w:shd w:val="clear" w:color="auto" w:fill="auto"/>
            <w:noWrap/>
            <w:tcMar>
              <w:top w:w="15" w:type="dxa"/>
              <w:left w:w="15" w:type="dxa"/>
              <w:bottom w:w="0" w:type="dxa"/>
              <w:right w:w="15" w:type="dxa"/>
            </w:tcMar>
            <w:vAlign w:val="bottom"/>
          </w:tcPr>
          <w:p w14:paraId="33B72572" w14:textId="5A794580" w:rsidR="009241B2" w:rsidRPr="00A770A8" w:rsidRDefault="009241B2" w:rsidP="00920A63">
            <w:pPr>
              <w:jc w:val="center"/>
              <w:rPr>
                <w:rFonts w:ascii="Times New Roman" w:hAnsi="Times New Roman"/>
                <w:sz w:val="24"/>
                <w:szCs w:val="24"/>
              </w:rPr>
            </w:pPr>
            <w:r w:rsidRPr="00A770A8">
              <w:rPr>
                <w:rFonts w:ascii="Times New Roman" w:hAnsi="Times New Roman"/>
                <w:sz w:val="24"/>
                <w:szCs w:val="24"/>
              </w:rPr>
              <w:t>N/A</w:t>
            </w:r>
          </w:p>
        </w:tc>
      </w:tr>
      <w:tr w:rsidR="00133983" w:rsidRPr="00A770A8" w14:paraId="2AF9C477" w14:textId="77777777" w:rsidTr="00F80777">
        <w:trPr>
          <w:trHeight w:val="320"/>
        </w:trPr>
        <w:tc>
          <w:tcPr>
            <w:tcW w:w="4695" w:type="dxa"/>
            <w:shd w:val="clear" w:color="auto" w:fill="auto"/>
            <w:noWrap/>
            <w:tcMar>
              <w:top w:w="15" w:type="dxa"/>
              <w:left w:w="15" w:type="dxa"/>
              <w:bottom w:w="0" w:type="dxa"/>
              <w:right w:w="15" w:type="dxa"/>
            </w:tcMar>
          </w:tcPr>
          <w:p w14:paraId="1755037B" w14:textId="3FC1B629" w:rsidR="00133983" w:rsidRPr="00A770A8" w:rsidRDefault="00133983" w:rsidP="00920A63">
            <w:pPr>
              <w:rPr>
                <w:rFonts w:ascii="Times New Roman" w:hAnsi="Times New Roman"/>
                <w:b/>
                <w:sz w:val="24"/>
                <w:szCs w:val="24"/>
              </w:rPr>
            </w:pPr>
            <w:r w:rsidRPr="00A770A8">
              <w:rPr>
                <w:rFonts w:ascii="Times New Roman" w:hAnsi="Times New Roman"/>
                <w:b/>
                <w:sz w:val="24"/>
                <w:szCs w:val="24"/>
              </w:rPr>
              <w:t>Tổng cộng</w:t>
            </w:r>
          </w:p>
        </w:tc>
        <w:tc>
          <w:tcPr>
            <w:tcW w:w="2880" w:type="dxa"/>
            <w:shd w:val="clear" w:color="auto" w:fill="auto"/>
            <w:noWrap/>
            <w:tcMar>
              <w:top w:w="15" w:type="dxa"/>
              <w:left w:w="15" w:type="dxa"/>
              <w:bottom w:w="0" w:type="dxa"/>
              <w:right w:w="15" w:type="dxa"/>
            </w:tcMar>
          </w:tcPr>
          <w:p w14:paraId="33734A05" w14:textId="05761BD7" w:rsidR="00133983" w:rsidRPr="00A770A8" w:rsidRDefault="00133983" w:rsidP="00920A63">
            <w:pPr>
              <w:jc w:val="center"/>
              <w:rPr>
                <w:rFonts w:ascii="Times New Roman" w:hAnsi="Times New Roman"/>
                <w:b/>
                <w:sz w:val="24"/>
                <w:szCs w:val="24"/>
              </w:rPr>
            </w:pPr>
            <w:r w:rsidRPr="00A770A8">
              <w:rPr>
                <w:rFonts w:ascii="Times New Roman" w:hAnsi="Times New Roman"/>
                <w:b/>
                <w:sz w:val="24"/>
                <w:szCs w:val="24"/>
              </w:rPr>
              <w:t>101.449.292.738</w:t>
            </w:r>
          </w:p>
        </w:tc>
        <w:tc>
          <w:tcPr>
            <w:tcW w:w="2250" w:type="dxa"/>
            <w:shd w:val="clear" w:color="auto" w:fill="auto"/>
            <w:noWrap/>
            <w:tcMar>
              <w:top w:w="15" w:type="dxa"/>
              <w:left w:w="15" w:type="dxa"/>
              <w:bottom w:w="0" w:type="dxa"/>
              <w:right w:w="15" w:type="dxa"/>
            </w:tcMar>
            <w:vAlign w:val="bottom"/>
          </w:tcPr>
          <w:p w14:paraId="68EB6E77" w14:textId="1438CA37" w:rsidR="00133983" w:rsidRPr="00A770A8" w:rsidRDefault="00133983" w:rsidP="00920A63">
            <w:pPr>
              <w:jc w:val="center"/>
              <w:rPr>
                <w:rFonts w:ascii="Times New Roman" w:hAnsi="Times New Roman"/>
                <w:b/>
                <w:sz w:val="24"/>
                <w:szCs w:val="24"/>
              </w:rPr>
            </w:pPr>
            <w:r w:rsidRPr="00A770A8">
              <w:rPr>
                <w:rFonts w:ascii="Times New Roman" w:hAnsi="Times New Roman"/>
                <w:b/>
                <w:sz w:val="24"/>
                <w:szCs w:val="24"/>
              </w:rPr>
              <w:t>N/A</w:t>
            </w:r>
          </w:p>
        </w:tc>
      </w:tr>
    </w:tbl>
    <w:p w14:paraId="6468EAB8" w14:textId="77777777" w:rsidR="005264FE" w:rsidRPr="00A770A8" w:rsidRDefault="005264FE" w:rsidP="00920A63">
      <w:pPr>
        <w:spacing w:before="120"/>
        <w:jc w:val="both"/>
        <w:rPr>
          <w:rFonts w:ascii="Times New Roman" w:hAnsi="Times New Roman"/>
          <w:sz w:val="24"/>
          <w:szCs w:val="24"/>
        </w:rPr>
      </w:pPr>
    </w:p>
    <w:p w14:paraId="3035035C" w14:textId="12D3DA43" w:rsidR="00B34784" w:rsidRPr="00A770A8" w:rsidRDefault="002C18B1" w:rsidP="00920A63">
      <w:pPr>
        <w:spacing w:before="120"/>
        <w:jc w:val="both"/>
        <w:rPr>
          <w:rFonts w:ascii="Times New Roman" w:hAnsi="Times New Roman"/>
          <w:sz w:val="24"/>
          <w:szCs w:val="24"/>
        </w:rPr>
      </w:pPr>
      <w:r w:rsidRPr="00A770A8">
        <w:rPr>
          <w:rFonts w:ascii="Times New Roman" w:hAnsi="Times New Roman"/>
          <w:sz w:val="24"/>
          <w:szCs w:val="24"/>
        </w:rPr>
        <w:t xml:space="preserve">N/A: </w:t>
      </w:r>
      <w:r w:rsidR="00A5797B" w:rsidRPr="00A770A8">
        <w:rPr>
          <w:rFonts w:ascii="Times New Roman" w:hAnsi="Times New Roman"/>
          <w:sz w:val="24"/>
          <w:szCs w:val="24"/>
        </w:rPr>
        <w:t>Do Quỹ chỉ bắt đầu hoạt động sau ngày giấy phép thành lập quỹ 03/04/2019 nên không có số liệu của năm liền kề để so sánh</w:t>
      </w:r>
    </w:p>
    <w:p w14:paraId="657FA714" w14:textId="77777777" w:rsidR="002E7115"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g) Phân tích kết quả hoạt động của quỹ dựa trên việc so sánh giá trị tài sản ròng trên một đơn vị quỹ (sau khi đã điều chỉnh phần lợi nhuận đã phân phối, nếu có) tại kỳ báo cáo này tại kỳ báo cáo gần </w:t>
      </w:r>
      <w:r w:rsidR="000B050B" w:rsidRPr="00A770A8">
        <w:rPr>
          <w:rFonts w:ascii="Times New Roman" w:hAnsi="Times New Roman"/>
          <w:sz w:val="24"/>
          <w:szCs w:val="24"/>
        </w:rPr>
        <w:t>nhất:</w:t>
      </w:r>
      <w:r w:rsidR="00133983" w:rsidRPr="00A770A8">
        <w:rPr>
          <w:rFonts w:ascii="Times New Roman" w:hAnsi="Times New Roman"/>
          <w:sz w:val="24"/>
          <w:szCs w:val="24"/>
        </w:rPr>
        <w:t xml:space="preserve"> </w:t>
      </w:r>
    </w:p>
    <w:p w14:paraId="7CCEBBAE" w14:textId="7FF49832" w:rsidR="003F0046" w:rsidRPr="00A770A8" w:rsidRDefault="00133983" w:rsidP="00920A63">
      <w:pPr>
        <w:spacing w:before="120"/>
        <w:jc w:val="both"/>
        <w:rPr>
          <w:rFonts w:ascii="Times New Roman" w:hAnsi="Times New Roman"/>
          <w:sz w:val="24"/>
          <w:szCs w:val="24"/>
        </w:rPr>
      </w:pPr>
      <w:r w:rsidRPr="00A770A8">
        <w:rPr>
          <w:rFonts w:ascii="Times New Roman" w:hAnsi="Times New Roman"/>
          <w:sz w:val="24"/>
          <w:szCs w:val="24"/>
        </w:rPr>
        <w:t>Trong kỳ báo cáo Quỹ chưa phân phối lợi nhuận cho Nhà đầu tư</w:t>
      </w:r>
    </w:p>
    <w:p w14:paraId="0198F7EA" w14:textId="27345B22" w:rsidR="00133983" w:rsidRPr="00A770A8" w:rsidRDefault="009710C5" w:rsidP="00920A63">
      <w:pPr>
        <w:tabs>
          <w:tab w:val="left" w:pos="270"/>
          <w:tab w:val="left" w:pos="567"/>
        </w:tabs>
        <w:rPr>
          <w:rFonts w:ascii="Times New Roman" w:hAnsi="Times New Roman"/>
          <w:sz w:val="24"/>
          <w:szCs w:val="24"/>
        </w:rPr>
      </w:pPr>
      <w:r w:rsidRPr="00A770A8">
        <w:rPr>
          <w:rFonts w:ascii="Times New Roman" w:hAnsi="Times New Roman"/>
          <w:sz w:val="24"/>
          <w:szCs w:val="24"/>
        </w:rPr>
        <w:tab/>
      </w:r>
      <w:r w:rsidR="00133983" w:rsidRPr="00A770A8">
        <w:rPr>
          <w:rFonts w:ascii="Times New Roman" w:hAnsi="Times New Roman"/>
          <w:sz w:val="24"/>
          <w:szCs w:val="24"/>
        </w:rPr>
        <w:t>-</w:t>
      </w:r>
      <w:r w:rsidR="00133983" w:rsidRPr="00A770A8">
        <w:rPr>
          <w:rFonts w:ascii="Times New Roman" w:hAnsi="Times New Roman"/>
          <w:sz w:val="24"/>
          <w:szCs w:val="24"/>
        </w:rPr>
        <w:tab/>
        <w:t xml:space="preserve">NAV/đơn vị quỹ tại ngày định giá đầu tiên </w:t>
      </w:r>
      <w:r w:rsidR="002C18B1" w:rsidRPr="00A770A8">
        <w:rPr>
          <w:rFonts w:ascii="Times New Roman" w:hAnsi="Times New Roman"/>
          <w:sz w:val="24"/>
          <w:szCs w:val="24"/>
        </w:rPr>
        <w:t>10</w:t>
      </w:r>
      <w:r w:rsidR="00133983" w:rsidRPr="00A770A8">
        <w:rPr>
          <w:rFonts w:ascii="Times New Roman" w:hAnsi="Times New Roman"/>
          <w:sz w:val="24"/>
          <w:szCs w:val="24"/>
        </w:rPr>
        <w:t>/04/2019 là 9.997,36 VNĐ</w:t>
      </w:r>
      <w:r w:rsidR="000B050B" w:rsidRPr="00A770A8">
        <w:rPr>
          <w:rFonts w:ascii="Times New Roman" w:hAnsi="Times New Roman"/>
          <w:sz w:val="24"/>
          <w:szCs w:val="24"/>
        </w:rPr>
        <w:t xml:space="preserve"> </w:t>
      </w:r>
    </w:p>
    <w:p w14:paraId="22030B8F" w14:textId="3D3EDC55" w:rsidR="000B050B" w:rsidRPr="00A770A8" w:rsidRDefault="009710C5" w:rsidP="00920A63">
      <w:pPr>
        <w:tabs>
          <w:tab w:val="left" w:pos="270"/>
          <w:tab w:val="left" w:pos="567"/>
        </w:tabs>
        <w:rPr>
          <w:rFonts w:ascii="Times New Roman" w:hAnsi="Times New Roman"/>
          <w:sz w:val="24"/>
          <w:szCs w:val="24"/>
        </w:rPr>
      </w:pPr>
      <w:r w:rsidRPr="00A770A8">
        <w:rPr>
          <w:rFonts w:ascii="Times New Roman" w:hAnsi="Times New Roman"/>
          <w:sz w:val="24"/>
          <w:szCs w:val="24"/>
        </w:rPr>
        <w:tab/>
      </w:r>
      <w:r w:rsidR="00133983" w:rsidRPr="00A770A8">
        <w:rPr>
          <w:rFonts w:ascii="Times New Roman" w:hAnsi="Times New Roman"/>
          <w:sz w:val="24"/>
          <w:szCs w:val="24"/>
        </w:rPr>
        <w:t xml:space="preserve">- </w:t>
      </w:r>
      <w:r w:rsidR="00133983" w:rsidRPr="00A770A8">
        <w:rPr>
          <w:rFonts w:ascii="Times New Roman" w:hAnsi="Times New Roman"/>
          <w:sz w:val="24"/>
          <w:szCs w:val="24"/>
        </w:rPr>
        <w:tab/>
        <w:t>NAV/đơn vị quỹ tại thời điểm 30/06/2019 là 10,054.97 VNĐ tăng 0,57%</w:t>
      </w:r>
    </w:p>
    <w:p w14:paraId="69DF1E79" w14:textId="3DE0B3FA"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h) Đánh giá biến động của các thị trường trong kỳ báo cáo, kể cả thị trường nước ngoài, mà quỹ đầu tư vào, thông tin về lợi nhuận đầu tư đối với từng loại tài sản: cổ phiếu, cổ phiếu blue-chip, cổ phiếu các công ty có mức vốn hóa thấp </w:t>
      </w:r>
      <w:r w:rsidR="00684A23" w:rsidRPr="00A770A8">
        <w:rPr>
          <w:rFonts w:ascii="Times New Roman" w:hAnsi="Times New Roman"/>
          <w:sz w:val="24"/>
          <w:szCs w:val="24"/>
        </w:rPr>
        <w:t>(small-</w:t>
      </w:r>
      <w:r w:rsidR="00D023C6" w:rsidRPr="00A770A8">
        <w:rPr>
          <w:rFonts w:ascii="Times New Roman" w:hAnsi="Times New Roman"/>
          <w:sz w:val="24"/>
          <w:szCs w:val="24"/>
        </w:rPr>
        <w:t xml:space="preserve"> </w:t>
      </w:r>
      <w:r w:rsidR="00F85702" w:rsidRPr="00A770A8">
        <w:rPr>
          <w:rFonts w:ascii="Times New Roman" w:hAnsi="Times New Roman"/>
          <w:sz w:val="24"/>
          <w:szCs w:val="24"/>
        </w:rPr>
        <w:t>cap</w:t>
      </w:r>
      <w:r w:rsidR="00D84EFB" w:rsidRPr="00A770A8">
        <w:rPr>
          <w:rFonts w:ascii="Times New Roman" w:hAnsi="Times New Roman"/>
          <w:sz w:val="24"/>
          <w:szCs w:val="24"/>
        </w:rPr>
        <w:t>)</w:t>
      </w:r>
      <w:r w:rsidR="00F85702" w:rsidRPr="00A770A8">
        <w:rPr>
          <w:rFonts w:ascii="Times New Roman" w:hAnsi="Times New Roman"/>
          <w:sz w:val="24"/>
          <w:szCs w:val="24"/>
        </w:rPr>
        <w:t>…:</w:t>
      </w:r>
    </w:p>
    <w:p w14:paraId="3C1B9673" w14:textId="61DF70E0" w:rsidR="00E336A9" w:rsidRPr="00A770A8" w:rsidRDefault="00E336A9" w:rsidP="00920A63">
      <w:pPr>
        <w:spacing w:before="120"/>
        <w:jc w:val="both"/>
        <w:rPr>
          <w:rFonts w:ascii="Times New Roman" w:hAnsi="Times New Roman"/>
          <w:sz w:val="24"/>
          <w:szCs w:val="24"/>
        </w:rPr>
      </w:pPr>
      <w:r w:rsidRPr="00A770A8">
        <w:rPr>
          <w:rFonts w:ascii="Times New Roman" w:hAnsi="Times New Roman"/>
          <w:sz w:val="24"/>
          <w:szCs w:val="24"/>
        </w:rPr>
        <w:t xml:space="preserve">Kinh tế vĩ mô: </w:t>
      </w:r>
    </w:p>
    <w:p w14:paraId="34F50141" w14:textId="1395044D" w:rsidR="009710C5" w:rsidRPr="00A770A8" w:rsidRDefault="009710C5" w:rsidP="00920A63">
      <w:pPr>
        <w:spacing w:before="120"/>
        <w:jc w:val="both"/>
        <w:rPr>
          <w:rFonts w:ascii="Times New Roman" w:hAnsi="Times New Roman"/>
          <w:sz w:val="24"/>
          <w:szCs w:val="24"/>
        </w:rPr>
      </w:pPr>
      <w:r w:rsidRPr="00A770A8">
        <w:rPr>
          <w:rFonts w:ascii="Times New Roman" w:hAnsi="Times New Roman"/>
          <w:sz w:val="24"/>
          <w:szCs w:val="24"/>
        </w:rPr>
        <w:t>Tăng trưởng GDP: GDP trong 6 tháng đầu năm ước tính tăng 6</w:t>
      </w:r>
      <w:r w:rsidR="007C4314" w:rsidRPr="00A770A8">
        <w:rPr>
          <w:rFonts w:ascii="Times New Roman" w:hAnsi="Times New Roman"/>
          <w:sz w:val="24"/>
          <w:szCs w:val="24"/>
        </w:rPr>
        <w:t>,</w:t>
      </w:r>
      <w:r w:rsidRPr="00A770A8">
        <w:rPr>
          <w:rFonts w:ascii="Times New Roman" w:hAnsi="Times New Roman"/>
          <w:sz w:val="24"/>
          <w:szCs w:val="24"/>
        </w:rPr>
        <w:t>76% YoY, thấp hơn cùng kì năm 2018 nhưng cao vượt trội hơn so với tăng trưởng 6 tháng các năm từ 2011 – 2017. Việt Nam vẫn là nước có tăng trưởng cao so với các nước trong khu vực.  GDP đang có xu hướng tăn</w:t>
      </w:r>
      <w:r w:rsidR="007C4314" w:rsidRPr="00A770A8">
        <w:rPr>
          <w:rFonts w:ascii="Times New Roman" w:hAnsi="Times New Roman"/>
          <w:sz w:val="24"/>
          <w:szCs w:val="24"/>
        </w:rPr>
        <w:t>g tưởng chậm lại qua các quý (6,</w:t>
      </w:r>
      <w:r w:rsidRPr="00A770A8">
        <w:rPr>
          <w:rFonts w:ascii="Times New Roman" w:hAnsi="Times New Roman"/>
          <w:sz w:val="24"/>
          <w:szCs w:val="24"/>
        </w:rPr>
        <w:t>71% so v</w:t>
      </w:r>
      <w:r w:rsidR="007C4314" w:rsidRPr="00A770A8">
        <w:rPr>
          <w:rFonts w:ascii="Times New Roman" w:hAnsi="Times New Roman"/>
          <w:sz w:val="24"/>
          <w:szCs w:val="24"/>
        </w:rPr>
        <w:t>ới 6,</w:t>
      </w:r>
      <w:r w:rsidRPr="00A770A8">
        <w:rPr>
          <w:rFonts w:ascii="Times New Roman" w:hAnsi="Times New Roman"/>
          <w:sz w:val="24"/>
          <w:szCs w:val="24"/>
        </w:rPr>
        <w:t>79%). Nguyên nhân chủ yếu là: về phía cung, ngành dịch vụ mặc dù dư địa tăng trưởng lớn nhưng 6 tháng đầu năm chỉ tăng trưởng thấp hơn GDP, nông nghiệp tăng trưởng yếu. Về phía cầu, tiến độ giải ngân đầu tư công và vốn ODA vẫn chậm, tăng trưởng xuất khẩu có xu hướng giảm mặc dù hiệp định CPTPP đã có hiệu lực.</w:t>
      </w:r>
    </w:p>
    <w:p w14:paraId="363DDC7A" w14:textId="4175938F" w:rsidR="009710C5" w:rsidRPr="00A770A8" w:rsidRDefault="009710C5" w:rsidP="00920A63">
      <w:pPr>
        <w:spacing w:before="120"/>
        <w:jc w:val="both"/>
        <w:rPr>
          <w:rFonts w:ascii="Times New Roman" w:hAnsi="Times New Roman"/>
          <w:sz w:val="24"/>
          <w:szCs w:val="24"/>
        </w:rPr>
      </w:pPr>
      <w:r w:rsidRPr="00A770A8">
        <w:rPr>
          <w:rFonts w:ascii="Times New Roman" w:hAnsi="Times New Roman"/>
          <w:sz w:val="24"/>
          <w:szCs w:val="24"/>
        </w:rPr>
        <w:t xml:space="preserve">Lạm phát: Trong quý I và đầu quý II đã có nhiều đợt tăng giá xăng dầu liên tiếp tổng cộng lên đến gần 20% và tăng giá điện 8,36%. Tuy nhiên, bình quân lạm phát 6 tháng chỉ là 2,64%, thấp nhất trong 3 năm gần đây. Nguyên nhân là do giá của một số mặt hàng thiết yếu và các mặt hàng thuộc quản lý của Nhà nước tăng chậm đã triệt tiêu phần nào tác động của tăng giá điện và xăng dầu. Tuy vậy, tác động "vòng 2" của việc tăng giá điện và xăng dầu vẫn còn đe dọa trong các quý sắp tới đặc biệt trong bối cảnh giá hàng hóa thế giới có nhiều biến động mạnh. Dự báo lạm phát bình quân </w:t>
      </w:r>
      <w:r w:rsidR="007C4314" w:rsidRPr="00A770A8">
        <w:rPr>
          <w:rFonts w:ascii="Times New Roman" w:hAnsi="Times New Roman"/>
          <w:sz w:val="24"/>
          <w:szCs w:val="24"/>
        </w:rPr>
        <w:t>năm 2019 ở mức kiểm soát dưới 4,</w:t>
      </w:r>
      <w:r w:rsidRPr="00A770A8">
        <w:rPr>
          <w:rFonts w:ascii="Times New Roman" w:hAnsi="Times New Roman"/>
          <w:sz w:val="24"/>
          <w:szCs w:val="24"/>
        </w:rPr>
        <w:t>0% tạo tiền đề cho Ngân hàng Nhà nước tiếp tục thực hiện chính sách tiền tệ chủ động, linh hoạt.</w:t>
      </w:r>
    </w:p>
    <w:p w14:paraId="7E400131" w14:textId="64B39181" w:rsidR="009710C5" w:rsidRPr="00A770A8" w:rsidRDefault="009710C5" w:rsidP="00920A63">
      <w:pPr>
        <w:spacing w:before="120"/>
        <w:jc w:val="both"/>
        <w:rPr>
          <w:rFonts w:ascii="Times New Roman" w:hAnsi="Times New Roman"/>
          <w:sz w:val="24"/>
          <w:szCs w:val="24"/>
        </w:rPr>
      </w:pPr>
      <w:r w:rsidRPr="00A770A8">
        <w:rPr>
          <w:rFonts w:ascii="Times New Roman" w:hAnsi="Times New Roman"/>
          <w:sz w:val="24"/>
          <w:szCs w:val="24"/>
        </w:rPr>
        <w:t xml:space="preserve">Chính sách tiển tệ của Ngân hàng nhà nước nửa đầu năm 2019 vẫn xoay quanh 2 mục tiêu ổn định tỉ giá và kiềm chế lạm phát. </w:t>
      </w:r>
    </w:p>
    <w:p w14:paraId="787AC2F0" w14:textId="77777777" w:rsidR="009710C5" w:rsidRPr="00A770A8" w:rsidRDefault="009710C5" w:rsidP="00920A63">
      <w:pPr>
        <w:spacing w:before="120"/>
        <w:jc w:val="both"/>
        <w:rPr>
          <w:rFonts w:ascii="Times New Roman" w:hAnsi="Times New Roman"/>
          <w:sz w:val="24"/>
          <w:szCs w:val="24"/>
        </w:rPr>
      </w:pPr>
      <w:r w:rsidRPr="00A770A8">
        <w:rPr>
          <w:rFonts w:ascii="Times New Roman" w:hAnsi="Times New Roman"/>
          <w:sz w:val="24"/>
          <w:szCs w:val="24"/>
        </w:rPr>
        <w:lastRenderedPageBreak/>
        <w:t>Tỷ giá hối đoái: Sau khi giao dịch trong biên độ hẹp quanh ngưỡng 23.200 trong 4 tháng đầu năm, VND biến động mạnh hơn trong tháng 5 với việc xác lập mức thấp mới 23.419 trong bối cảnh căng thẳng thương mại leo thang với đồng CNY giảm mạnh so với USD. Dù vậy, VND đã ổn định trở lại và đang giao dịch ở ngưỡng 23.300 (+0,6% YTD) sau khi NHNN chủ động điều tiết cung cầu ngoại tệ và nguồn cung ngoại tệ dồi dào từ FDI và FII.</w:t>
      </w:r>
    </w:p>
    <w:p w14:paraId="1895610F" w14:textId="77777777" w:rsidR="009710C5" w:rsidRPr="00A770A8" w:rsidRDefault="009710C5" w:rsidP="00920A63">
      <w:pPr>
        <w:spacing w:before="120"/>
        <w:jc w:val="both"/>
        <w:rPr>
          <w:rFonts w:ascii="Times New Roman" w:hAnsi="Times New Roman"/>
          <w:bCs/>
          <w:sz w:val="24"/>
          <w:szCs w:val="24"/>
        </w:rPr>
      </w:pPr>
      <w:r w:rsidRPr="00A770A8">
        <w:rPr>
          <w:rFonts w:ascii="Times New Roman" w:hAnsi="Times New Roman"/>
          <w:bCs/>
          <w:sz w:val="24"/>
          <w:szCs w:val="24"/>
        </w:rPr>
        <w:t>Các điểm nhấn kinh tế khác trong 6 tháng đầu năm 2019</w:t>
      </w:r>
    </w:p>
    <w:p w14:paraId="35B93745" w14:textId="2DFC4278" w:rsidR="009710C5" w:rsidRPr="00A770A8" w:rsidRDefault="009710C5" w:rsidP="00920A63">
      <w:pPr>
        <w:spacing w:before="120"/>
        <w:jc w:val="both"/>
        <w:rPr>
          <w:rFonts w:ascii="Times New Roman" w:hAnsi="Times New Roman"/>
          <w:sz w:val="24"/>
          <w:szCs w:val="24"/>
        </w:rPr>
      </w:pPr>
      <w:r w:rsidRPr="00A770A8">
        <w:rPr>
          <w:rFonts w:ascii="Times New Roman" w:hAnsi="Times New Roman"/>
          <w:sz w:val="24"/>
          <w:szCs w:val="24"/>
        </w:rPr>
        <w:t>PMI sản xuất trở lại mức cao nhất kể từ đầu năm. PMI đạt 52</w:t>
      </w:r>
      <w:r w:rsidR="007C4314" w:rsidRPr="00A770A8">
        <w:rPr>
          <w:rFonts w:ascii="Times New Roman" w:hAnsi="Times New Roman"/>
          <w:sz w:val="24"/>
          <w:szCs w:val="24"/>
        </w:rPr>
        <w:t>.</w:t>
      </w:r>
      <w:r w:rsidRPr="00A770A8">
        <w:rPr>
          <w:rFonts w:ascii="Times New Roman" w:hAnsi="Times New Roman"/>
          <w:sz w:val="24"/>
          <w:szCs w:val="24"/>
        </w:rPr>
        <w:t>5 điểm trong tháng 6</w:t>
      </w:r>
    </w:p>
    <w:p w14:paraId="1D8A1C19" w14:textId="6B0F036D" w:rsidR="009710C5" w:rsidRPr="00A770A8" w:rsidRDefault="009710C5" w:rsidP="00920A63">
      <w:pPr>
        <w:spacing w:before="120"/>
        <w:jc w:val="both"/>
        <w:rPr>
          <w:rFonts w:ascii="Times New Roman" w:hAnsi="Times New Roman"/>
          <w:sz w:val="24"/>
          <w:szCs w:val="24"/>
        </w:rPr>
      </w:pPr>
      <w:r w:rsidRPr="00A770A8">
        <w:rPr>
          <w:rFonts w:ascii="Times New Roman" w:hAnsi="Times New Roman"/>
          <w:sz w:val="24"/>
          <w:szCs w:val="24"/>
        </w:rPr>
        <w:t>Trung Quốc trở thành nhà đầu tư FDI lớn nhất trong 6T 2019 Với FDI giải 9</w:t>
      </w:r>
      <w:r w:rsidR="007C4314" w:rsidRPr="00A770A8">
        <w:rPr>
          <w:rFonts w:ascii="Times New Roman" w:hAnsi="Times New Roman"/>
          <w:sz w:val="24"/>
          <w:szCs w:val="24"/>
        </w:rPr>
        <w:t>.</w:t>
      </w:r>
      <w:r w:rsidRPr="00A770A8">
        <w:rPr>
          <w:rFonts w:ascii="Times New Roman" w:hAnsi="Times New Roman"/>
          <w:sz w:val="24"/>
          <w:szCs w:val="24"/>
        </w:rPr>
        <w:t>1 tỷ USD (tăng 8,1% YoY)</w:t>
      </w:r>
    </w:p>
    <w:p w14:paraId="5664B03D" w14:textId="6A6E5F40" w:rsidR="009710C5" w:rsidRPr="00A770A8" w:rsidRDefault="009710C5" w:rsidP="00920A63">
      <w:pPr>
        <w:spacing w:before="120"/>
        <w:jc w:val="both"/>
        <w:rPr>
          <w:rFonts w:ascii="Times New Roman" w:hAnsi="Times New Roman"/>
          <w:sz w:val="24"/>
          <w:szCs w:val="24"/>
        </w:rPr>
      </w:pPr>
      <w:r w:rsidRPr="00A770A8">
        <w:rPr>
          <w:rFonts w:ascii="Times New Roman" w:hAnsi="Times New Roman"/>
          <w:sz w:val="24"/>
          <w:szCs w:val="24"/>
        </w:rPr>
        <w:t xml:space="preserve">Xuất khẩu tăng tốc trong </w:t>
      </w:r>
      <w:r w:rsidR="007C4314" w:rsidRPr="00A770A8">
        <w:rPr>
          <w:rFonts w:ascii="Times New Roman" w:hAnsi="Times New Roman"/>
          <w:sz w:val="24"/>
          <w:szCs w:val="24"/>
        </w:rPr>
        <w:t xml:space="preserve">Quý </w:t>
      </w:r>
      <w:r w:rsidRPr="00A770A8">
        <w:rPr>
          <w:rFonts w:ascii="Times New Roman" w:hAnsi="Times New Roman"/>
          <w:sz w:val="24"/>
          <w:szCs w:val="24"/>
        </w:rPr>
        <w:t>2 nhờ nhóm hàng công nghệ.</w:t>
      </w:r>
    </w:p>
    <w:p w14:paraId="6FCA0719" w14:textId="77777777" w:rsidR="009710C5" w:rsidRPr="00A770A8" w:rsidRDefault="009710C5" w:rsidP="00920A63">
      <w:pPr>
        <w:spacing w:before="120"/>
        <w:jc w:val="both"/>
        <w:rPr>
          <w:rFonts w:ascii="Times New Roman" w:hAnsi="Times New Roman"/>
          <w:bCs/>
          <w:sz w:val="24"/>
          <w:szCs w:val="24"/>
        </w:rPr>
      </w:pPr>
      <w:r w:rsidRPr="00A770A8">
        <w:rPr>
          <w:rFonts w:ascii="Times New Roman" w:hAnsi="Times New Roman"/>
          <w:bCs/>
          <w:sz w:val="24"/>
          <w:szCs w:val="24"/>
        </w:rPr>
        <w:t>Thị trường chứng khoán:</w:t>
      </w:r>
    </w:p>
    <w:p w14:paraId="347F3C59" w14:textId="74E2AF34" w:rsidR="009710C5" w:rsidRPr="00A770A8" w:rsidRDefault="009710C5" w:rsidP="00920A63">
      <w:pPr>
        <w:shd w:val="clear" w:color="auto" w:fill="FFFFFF"/>
        <w:spacing w:before="100" w:beforeAutospacing="1" w:after="100" w:afterAutospacing="1"/>
        <w:jc w:val="both"/>
        <w:rPr>
          <w:rFonts w:ascii="Times New Roman" w:hAnsi="Times New Roman"/>
          <w:sz w:val="24"/>
          <w:szCs w:val="24"/>
        </w:rPr>
      </w:pPr>
      <w:r w:rsidRPr="00A770A8">
        <w:rPr>
          <w:rFonts w:ascii="Times New Roman" w:hAnsi="Times New Roman"/>
          <w:sz w:val="24"/>
          <w:szCs w:val="24"/>
        </w:rPr>
        <w:t>TTCK Việt Nam và thế giới tăng điểm mạnh trong quý 1/2019 cả về giá trị và mức độ tăng điểm. Chỉ số VN-Index đạt đỉnh vào giữa tháng 3 sau đó đi vào giai đoạn suy giảm với thanh khoản thấp cho đến cuối Quý II.  Kết thúc Quý II thị trường đóng cửa quanh mốc 950 điểm.</w:t>
      </w:r>
    </w:p>
    <w:p w14:paraId="7DB1DB33" w14:textId="3C0DB4ED" w:rsidR="009710C5" w:rsidRPr="00A770A8" w:rsidRDefault="009710C5" w:rsidP="00920A63">
      <w:pPr>
        <w:spacing w:before="120"/>
        <w:jc w:val="both"/>
        <w:rPr>
          <w:rFonts w:ascii="Times New Roman" w:hAnsi="Times New Roman"/>
          <w:sz w:val="24"/>
          <w:szCs w:val="24"/>
        </w:rPr>
      </w:pPr>
      <w:r w:rsidRPr="00A770A8">
        <w:rPr>
          <w:rFonts w:ascii="Times New Roman" w:hAnsi="Times New Roman"/>
          <w:sz w:val="24"/>
          <w:szCs w:val="24"/>
        </w:rPr>
        <w:t>Thị trường TPCP Việt Nam trong 6 tháng đầu năm trải qua sự sụt giảm so với cuối năm 2018 về lợi suất do thanh khoản dư thừa trong hệ thống ngân hàng. Điều này góp phần làm việc hấp thụ đấu giá trái phiếu thuận lợi hơn. Lợi suất TPCP trên thị trường thứ cấp diễn biến cùng chiều với thị trường sơ cấp, với sự sụt giảm khoảng 30 – 80 bps so với thời điểm tháng 12/2018 trong đó mạnh nhất là kỳ hạn 1 năm</w:t>
      </w:r>
    </w:p>
    <w:p w14:paraId="2553C318" w14:textId="41EEB566" w:rsidR="001335C5"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i) Thông tin về việc chia, tách đơn vị quỹ trong kỳ (nếu có); ảnh hưởng của việc chia tách đơn vị quỹ và giá trị tài sản ròng trên từng đơn vị qu</w:t>
      </w:r>
      <w:r w:rsidR="00F85702" w:rsidRPr="00A770A8">
        <w:rPr>
          <w:rFonts w:ascii="Times New Roman" w:hAnsi="Times New Roman"/>
          <w:sz w:val="24"/>
          <w:szCs w:val="24"/>
        </w:rPr>
        <w:t xml:space="preserve">ỹ (trước và sau khi chia, tách): </w:t>
      </w:r>
    </w:p>
    <w:p w14:paraId="19703A5A" w14:textId="77777777" w:rsidR="003F0046" w:rsidRPr="00A770A8" w:rsidRDefault="00F85702" w:rsidP="00920A63">
      <w:pPr>
        <w:spacing w:before="120"/>
        <w:jc w:val="both"/>
        <w:rPr>
          <w:rFonts w:ascii="Times New Roman" w:hAnsi="Times New Roman"/>
          <w:sz w:val="24"/>
          <w:szCs w:val="24"/>
        </w:rPr>
      </w:pPr>
      <w:r w:rsidRPr="00A770A8">
        <w:rPr>
          <w:rFonts w:ascii="Times New Roman" w:hAnsi="Times New Roman"/>
          <w:sz w:val="24"/>
          <w:szCs w:val="24"/>
        </w:rPr>
        <w:t>Quỹ không thực hiện việc chia, tách đơn vị quỹ trong kỳ.</w:t>
      </w:r>
    </w:p>
    <w:p w14:paraId="017B3EE1" w14:textId="751DE235"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k) Các trường hợp có ảnh hưởng tới quyền lợi của nhà đầu tư nắm </w:t>
      </w:r>
      <w:r w:rsidR="002E3F2B" w:rsidRPr="00A770A8">
        <w:rPr>
          <w:rFonts w:ascii="Times New Roman" w:hAnsi="Times New Roman"/>
          <w:sz w:val="24"/>
          <w:szCs w:val="24"/>
        </w:rPr>
        <w:t>giữ chứng chỉ quỹ: Không</w:t>
      </w:r>
      <w:r w:rsidR="00A77A15" w:rsidRPr="00A770A8">
        <w:rPr>
          <w:rFonts w:ascii="Times New Roman" w:hAnsi="Times New Roman"/>
          <w:sz w:val="24"/>
          <w:szCs w:val="24"/>
        </w:rPr>
        <w:t xml:space="preserve"> có</w:t>
      </w:r>
    </w:p>
    <w:p w14:paraId="7027E958" w14:textId="364FD671"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l) Thông tin về các giao dịch với người có quyền lợi liên quan </w:t>
      </w:r>
      <w:r w:rsidR="00670669" w:rsidRPr="00A770A8">
        <w:rPr>
          <w:rFonts w:ascii="Times New Roman" w:hAnsi="Times New Roman"/>
          <w:sz w:val="24"/>
          <w:szCs w:val="24"/>
        </w:rPr>
        <w:t>(nếu có)</w:t>
      </w:r>
      <w:r w:rsidR="002E3F2B" w:rsidRPr="00A770A8">
        <w:rPr>
          <w:rFonts w:ascii="Times New Roman" w:hAnsi="Times New Roman"/>
          <w:sz w:val="24"/>
          <w:szCs w:val="24"/>
        </w:rPr>
        <w:t xml:space="preserve">: </w:t>
      </w:r>
      <w:r w:rsidR="00DB6CB3" w:rsidRPr="00A770A8">
        <w:rPr>
          <w:rFonts w:ascii="Times New Roman" w:hAnsi="Times New Roman"/>
          <w:sz w:val="24"/>
          <w:szCs w:val="24"/>
        </w:rPr>
        <w:t>Tại ngày 30/06/2019 tỷ lệ nắm giữ Chứng chỉ quỹ của người có liên quan là 99</w:t>
      </w:r>
      <w:r w:rsidR="007C4314" w:rsidRPr="00A770A8">
        <w:rPr>
          <w:rFonts w:ascii="Times New Roman" w:hAnsi="Times New Roman"/>
          <w:sz w:val="24"/>
          <w:szCs w:val="24"/>
        </w:rPr>
        <w:t>,</w:t>
      </w:r>
      <w:r w:rsidR="00DB6CB3" w:rsidRPr="00A770A8">
        <w:rPr>
          <w:rFonts w:ascii="Times New Roman" w:hAnsi="Times New Roman"/>
          <w:sz w:val="24"/>
          <w:szCs w:val="24"/>
        </w:rPr>
        <w:t>16%</w:t>
      </w:r>
    </w:p>
    <w:p w14:paraId="462FCA3C" w14:textId="1BE6675A" w:rsidR="003F0046" w:rsidRPr="00A770A8" w:rsidRDefault="00884C7C" w:rsidP="00920A63">
      <w:pPr>
        <w:spacing w:before="120"/>
        <w:jc w:val="both"/>
        <w:rPr>
          <w:rFonts w:ascii="Times New Roman" w:hAnsi="Times New Roman"/>
          <w:sz w:val="24"/>
          <w:szCs w:val="24"/>
        </w:rPr>
      </w:pPr>
      <w:r w:rsidRPr="00A770A8">
        <w:rPr>
          <w:rFonts w:ascii="Times New Roman" w:hAnsi="Times New Roman"/>
          <w:sz w:val="24"/>
          <w:szCs w:val="24"/>
        </w:rPr>
        <w:t>m) Các thông tin khác (nếu có): Không có</w:t>
      </w:r>
    </w:p>
    <w:p w14:paraId="3A0724E9" w14:textId="579A396E"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4. Báo cáo về hoạt động giám sát của Ngân hàng giám sát</w:t>
      </w:r>
      <w:r w:rsidR="00EF7BDA" w:rsidRPr="00A770A8">
        <w:rPr>
          <w:rFonts w:ascii="Times New Roman" w:hAnsi="Times New Roman"/>
          <w:sz w:val="24"/>
          <w:szCs w:val="24"/>
        </w:rPr>
        <w:t>: Nội dung như trình bày trong báo cáo giám sát của Ngân hàng Standard Chartered bank Vietnam Limited</w:t>
      </w:r>
      <w:r w:rsidR="009F7150" w:rsidRPr="00A770A8">
        <w:rPr>
          <w:rFonts w:ascii="Times New Roman" w:hAnsi="Times New Roman"/>
          <w:sz w:val="24"/>
          <w:szCs w:val="24"/>
        </w:rPr>
        <w:t>.</w:t>
      </w:r>
    </w:p>
    <w:p w14:paraId="529A13B7" w14:textId="130545C8" w:rsidR="009F7150" w:rsidRPr="00A770A8" w:rsidRDefault="009F7150" w:rsidP="00920A63">
      <w:pPr>
        <w:spacing w:before="120"/>
        <w:jc w:val="both"/>
        <w:rPr>
          <w:rFonts w:ascii="Times New Roman" w:hAnsi="Times New Roman"/>
          <w:sz w:val="24"/>
          <w:szCs w:val="24"/>
        </w:rPr>
      </w:pPr>
      <w:r w:rsidRPr="00A770A8">
        <w:rPr>
          <w:rFonts w:ascii="Times New Roman" w:hAnsi="Times New Roman"/>
          <w:sz w:val="24"/>
          <w:szCs w:val="24"/>
        </w:rPr>
        <w:t>Thời gian giám sát hoạt động Quỹ: Từ 03/04/2019 đến ngày 30/06/2019</w:t>
      </w:r>
    </w:p>
    <w:p w14:paraId="02947994" w14:textId="3E941610" w:rsidR="00173D8B" w:rsidRPr="00A770A8" w:rsidRDefault="002A157D" w:rsidP="00920A63">
      <w:pPr>
        <w:spacing w:before="120"/>
        <w:jc w:val="both"/>
        <w:rPr>
          <w:rFonts w:ascii="Times New Roman" w:hAnsi="Times New Roman"/>
          <w:sz w:val="24"/>
          <w:szCs w:val="24"/>
        </w:rPr>
      </w:pPr>
      <w:r w:rsidRPr="00A770A8">
        <w:rPr>
          <w:rFonts w:ascii="Times New Roman" w:hAnsi="Times New Roman"/>
          <w:sz w:val="24"/>
          <w:szCs w:val="24"/>
        </w:rPr>
        <w:t>Trong báo cáo này, Ngân hàng giám sát đưa ra ý kiến về sự tuân thủ quy định pháp luật, quy định tại Điều lệ quỹ, Bản cáo bạch của Công ty quản lý quỹ trong quá trình vận hành và quản lý Quỹ Đầu tư Trái phiếu Mở rộng Chubb (CBPF) gồm các nội dung sau:</w:t>
      </w:r>
    </w:p>
    <w:p w14:paraId="21BE26F0" w14:textId="07F48BA0" w:rsidR="002A157D" w:rsidRPr="00A770A8" w:rsidRDefault="002A157D" w:rsidP="00920A63">
      <w:pPr>
        <w:pStyle w:val="ListParagraph"/>
        <w:numPr>
          <w:ilvl w:val="0"/>
          <w:numId w:val="16"/>
        </w:numPr>
        <w:spacing w:before="120"/>
        <w:jc w:val="both"/>
        <w:rPr>
          <w:b w:val="0"/>
        </w:rPr>
      </w:pPr>
      <w:r w:rsidRPr="00A770A8">
        <w:rPr>
          <w:b w:val="0"/>
        </w:rPr>
        <w:t>Việc đầu tư tuân thủ các hạn chế về đầu tư, hạn chế về vay theo quy định pháp luật, quy địn</w:t>
      </w:r>
      <w:r w:rsidR="00173D8B" w:rsidRPr="00A770A8">
        <w:rPr>
          <w:b w:val="0"/>
        </w:rPr>
        <w:t>h tại Điều lệ quỹ, Bản cáo bạch</w:t>
      </w:r>
    </w:p>
    <w:p w14:paraId="659FDA51" w14:textId="51F025DC" w:rsidR="00173D8B" w:rsidRPr="00A770A8" w:rsidRDefault="00173D8B" w:rsidP="00217BF3">
      <w:pPr>
        <w:shd w:val="clear" w:color="auto" w:fill="FFFFFF"/>
        <w:spacing w:before="120" w:after="120"/>
        <w:ind w:left="720"/>
        <w:jc w:val="both"/>
        <w:rPr>
          <w:rFonts w:ascii="Times New Roman" w:hAnsi="Times New Roman"/>
          <w:sz w:val="24"/>
          <w:szCs w:val="24"/>
        </w:rPr>
      </w:pPr>
      <w:r w:rsidRPr="00A770A8">
        <w:rPr>
          <w:rFonts w:ascii="Times New Roman" w:hAnsi="Times New Roman"/>
          <w:sz w:val="24"/>
          <w:szCs w:val="24"/>
        </w:rPr>
        <w:t>Trong giai đoạn từ ngày 03 tháng 04 năm 2019 là ngày thành lập Quỹ đến ngày 30 tháng 06 năm 2019, hạn mức đầu tư của Quỹ đã phát sinh sai lệch so với quy định tại các văn bản pháp luật chứng khoán hiện hành về Quỹ mở, Bản cáo bạch của Quỹ và văn bản pháp luật có liên quan, cụ thể như sau:</w:t>
      </w:r>
    </w:p>
    <w:p w14:paraId="408742AC" w14:textId="77777777" w:rsidR="00173D8B" w:rsidRPr="00A770A8" w:rsidRDefault="00173D8B" w:rsidP="00217BF3">
      <w:pPr>
        <w:spacing w:before="120" w:after="120"/>
        <w:ind w:left="720"/>
        <w:jc w:val="both"/>
        <w:rPr>
          <w:rFonts w:ascii="Times New Roman" w:hAnsi="Times New Roman"/>
          <w:sz w:val="24"/>
          <w:szCs w:val="24"/>
        </w:rPr>
      </w:pPr>
      <w:r w:rsidRPr="00A770A8">
        <w:rPr>
          <w:rFonts w:ascii="Times New Roman" w:hAnsi="Times New Roman"/>
          <w:sz w:val="24"/>
          <w:szCs w:val="24"/>
        </w:rPr>
        <w:t xml:space="preserve">Theo Thông tư 15/2016/TT-BTC (“Thông tư 15”) ngày 20 tháng 01 năm 2016 về việc sửa đổi, bổ sung một số điều của Thông tư số 183/2011/TT-BTC (“Thông tư 183”) ngày 16 tháng 12 năm 2011 và Điều 11, Điều lệ Quỹ quy định: “Quỹ trái phiếu là quỹ mở đầu tư vào các loại </w:t>
      </w:r>
      <w:r w:rsidRPr="00A770A8">
        <w:rPr>
          <w:rFonts w:ascii="Times New Roman" w:hAnsi="Times New Roman"/>
          <w:sz w:val="24"/>
          <w:szCs w:val="24"/>
        </w:rPr>
        <w:lastRenderedPageBreak/>
        <w:t>tín phiếu, trái phiếu, giấy tờ có giá và các công cụ có thu nhập cố định khác với tỷ trọng đầu tư vào các tài sản này chiếm từ tám mươi phần trăm (80%) giá trị tài sản ròng trở lên.” Trường hợp phát sinh sai lệch, Công ty Quản lý Quỹ phải điều chỉnh lại danh mục để đáp ứng quy định pháp luật trong thời gian cho phép.</w:t>
      </w:r>
    </w:p>
    <w:p w14:paraId="201593E2" w14:textId="77777777" w:rsidR="00173D8B" w:rsidRPr="00A770A8" w:rsidRDefault="00173D8B" w:rsidP="00217BF3">
      <w:pPr>
        <w:shd w:val="clear" w:color="auto" w:fill="FFFFFF"/>
        <w:spacing w:before="120" w:after="120"/>
        <w:ind w:left="720"/>
        <w:jc w:val="both"/>
        <w:rPr>
          <w:rFonts w:ascii="Times New Roman" w:hAnsi="Times New Roman"/>
          <w:sz w:val="24"/>
          <w:szCs w:val="24"/>
        </w:rPr>
      </w:pPr>
      <w:r w:rsidRPr="00A770A8">
        <w:rPr>
          <w:rFonts w:ascii="Times New Roman" w:hAnsi="Times New Roman"/>
          <w:sz w:val="24"/>
          <w:szCs w:val="24"/>
        </w:rPr>
        <w:t>Từ kỳ định giá ngày 10 tháng 04 năm 2019 đến ngày 22 tháng 05 năm 2019, tổng giá trị đầu tư vào giấy tờ có giá và các công cụ có thu nhập cố định đã phát sinh sai lệch so với hạn mức 80% giá trị tài sản ròng của Quỹ. Công ty Quản lý Quỹ phải điều chỉnh danh mục đầu tư để đáp ứng hạn mức đầu tư theo quy định pháp luật trong thời gian sớm nhất.</w:t>
      </w:r>
    </w:p>
    <w:p w14:paraId="76D6FEF1" w14:textId="77777777" w:rsidR="00173D8B" w:rsidRPr="00A770A8" w:rsidRDefault="00173D8B" w:rsidP="00217BF3">
      <w:pPr>
        <w:shd w:val="clear" w:color="auto" w:fill="FFFFFF"/>
        <w:spacing w:before="120" w:after="120"/>
        <w:ind w:left="720"/>
        <w:jc w:val="both"/>
        <w:rPr>
          <w:rFonts w:ascii="Times New Roman" w:hAnsi="Times New Roman"/>
          <w:sz w:val="24"/>
          <w:szCs w:val="24"/>
        </w:rPr>
      </w:pPr>
      <w:r w:rsidRPr="00A770A8">
        <w:rPr>
          <w:rFonts w:ascii="Times New Roman" w:hAnsi="Times New Roman"/>
          <w:sz w:val="24"/>
          <w:szCs w:val="24"/>
        </w:rPr>
        <w:t>Tại kỳ định giá ngày 29 tháng 05 năm 2019, Công ty Quản lý Quỹ đã điều chỉnh lại danh mục đầu tư để đáp ứng quy định tại Thông tư 15 và Điều 11, Điều lệ Quỹ cho các sai lệch phát sinh từ kỳ định giá ngày 10 tháng 04 năm 2019 đến ngày 22 tháng 05 năm 2019.</w:t>
      </w:r>
    </w:p>
    <w:p w14:paraId="73F12F1D" w14:textId="596826B9" w:rsidR="00173D8B" w:rsidRPr="00A770A8" w:rsidRDefault="00173D8B" w:rsidP="00217BF3">
      <w:pPr>
        <w:shd w:val="clear" w:color="auto" w:fill="FFFFFF"/>
        <w:spacing w:before="120" w:after="120"/>
        <w:ind w:left="720"/>
        <w:jc w:val="both"/>
        <w:rPr>
          <w:rFonts w:ascii="Times New Roman" w:hAnsi="Times New Roman"/>
          <w:sz w:val="24"/>
          <w:szCs w:val="24"/>
        </w:rPr>
      </w:pPr>
      <w:r w:rsidRPr="00A770A8">
        <w:rPr>
          <w:rFonts w:ascii="Times New Roman" w:hAnsi="Times New Roman"/>
          <w:sz w:val="24"/>
          <w:szCs w:val="24"/>
        </w:rPr>
        <w:t>Tại ngày 30 tháng 06 năm 2019, do số lượng tiền đặt mua chứng chỉ Quỹ lớn, tuy nhiên Công ty Quản lý Quỹ chưa kịp thời tiến hành đầu tư dẫn tới tổng giá trị đầu tư vào giấy tờ có giá và các công cụ có thu nhập cố định đã phát sinh sai lệch so với hạn mức 80% giá trị tài sản ròng của Quỹ. Công ty Quản lý Quỹ phải điều chỉnh danh mục đầu tư để đáp ứng hạn mức đầu tư theo quy định pháp luật trong thời gian sớm nhất.</w:t>
      </w:r>
    </w:p>
    <w:p w14:paraId="2908DBF9" w14:textId="5B8522B5" w:rsidR="001E4AA0" w:rsidRPr="00A770A8" w:rsidRDefault="001E4AA0" w:rsidP="00920A63">
      <w:pPr>
        <w:pStyle w:val="ListParagraph"/>
        <w:numPr>
          <w:ilvl w:val="0"/>
          <w:numId w:val="16"/>
        </w:numPr>
        <w:spacing w:before="120"/>
        <w:jc w:val="both"/>
        <w:rPr>
          <w:b w:val="0"/>
        </w:rPr>
      </w:pPr>
      <w:r w:rsidRPr="00A770A8">
        <w:rPr>
          <w:b w:val="0"/>
        </w:rPr>
        <w:t>Việc định giá, đánh giá tài sản của Quỹ đã phù hợp với Điều lệ Quỹ, Bản cáo bạch của Quỹ và các văn bản pháp luật liên quan.</w:t>
      </w:r>
    </w:p>
    <w:p w14:paraId="53EB9A20" w14:textId="234D0C47" w:rsidR="001E4AA0" w:rsidRPr="00A770A8" w:rsidRDefault="001E4AA0" w:rsidP="00920A63">
      <w:pPr>
        <w:pStyle w:val="ListParagraph"/>
        <w:numPr>
          <w:ilvl w:val="0"/>
          <w:numId w:val="16"/>
        </w:numPr>
        <w:spacing w:before="120"/>
        <w:jc w:val="both"/>
        <w:rPr>
          <w:b w:val="0"/>
        </w:rPr>
      </w:pPr>
      <w:r w:rsidRPr="00A770A8">
        <w:rPr>
          <w:b w:val="0"/>
        </w:rPr>
        <w:t>Phát hành và mua lại Chứng chỉ Quỹ đã phù hợp với Điều lệ Quỹ, Bản cáo bạch của Quỹ và các văn bản pháp luật liên quan.</w:t>
      </w:r>
    </w:p>
    <w:p w14:paraId="6E8688BF" w14:textId="75D7AB8C" w:rsidR="003F0046" w:rsidRPr="00A770A8" w:rsidRDefault="001E4AA0" w:rsidP="00920A63">
      <w:pPr>
        <w:pStyle w:val="ListParagraph"/>
        <w:numPr>
          <w:ilvl w:val="0"/>
          <w:numId w:val="16"/>
        </w:numPr>
        <w:spacing w:before="120"/>
        <w:jc w:val="both"/>
        <w:rPr>
          <w:b w:val="0"/>
        </w:rPr>
      </w:pPr>
      <w:r w:rsidRPr="00A770A8">
        <w:rPr>
          <w:b w:val="0"/>
        </w:rPr>
        <w:t xml:space="preserve">Trong giai đoạn từ ngày 03 tháng 04 năm 2019 là ngày thành lập </w:t>
      </w:r>
      <w:r w:rsidR="00EF7BDA" w:rsidRPr="00A770A8">
        <w:rPr>
          <w:b w:val="0"/>
        </w:rPr>
        <w:t xml:space="preserve">Quỹ đến ngày 30 tháng 06 năm </w:t>
      </w:r>
      <w:r w:rsidRPr="00A770A8">
        <w:rPr>
          <w:b w:val="0"/>
        </w:rPr>
        <w:t xml:space="preserve">2019, Quỹ không thực hiện phân phối lợi nhuận cho nhà đầu tư. </w:t>
      </w:r>
    </w:p>
    <w:p w14:paraId="3A390A4A"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5. Báo cáo về hoạt động ủy quyền</w:t>
      </w:r>
    </w:p>
    <w:p w14:paraId="394C78F2" w14:textId="1D2D27F2" w:rsidR="003F0046" w:rsidRPr="00A770A8" w:rsidRDefault="003A28E7" w:rsidP="00920A63">
      <w:pPr>
        <w:spacing w:before="120"/>
        <w:jc w:val="both"/>
        <w:rPr>
          <w:rFonts w:ascii="Times New Roman" w:hAnsi="Times New Roman"/>
          <w:sz w:val="24"/>
          <w:szCs w:val="24"/>
        </w:rPr>
      </w:pPr>
      <w:r w:rsidRPr="00A770A8">
        <w:rPr>
          <w:rFonts w:ascii="Times New Roman" w:hAnsi="Times New Roman"/>
          <w:sz w:val="24"/>
          <w:szCs w:val="24"/>
        </w:rPr>
        <w:t>Các dịch vụ Lưu ký tài sản của Quỹ, dịch vụ Giám sát, dịch vụ Quản trị Quỹ được ủy quyền cho Ngân hàng TNHH MTV Standard Chartered Ban Vietnam Limited. Dịch vụ Đại lý chuyển nhượng được ủy quyền cho Trung tâm lưu ký chứng khoán Việt Nam (VSD). Chi tiết chi phí như sau:</w:t>
      </w:r>
    </w:p>
    <w:p w14:paraId="45C8C15E" w14:textId="650FB52C" w:rsidR="003F0046" w:rsidRPr="00A770A8" w:rsidRDefault="003F0046" w:rsidP="00885BD3">
      <w:pPr>
        <w:pStyle w:val="ListParagraph"/>
        <w:numPr>
          <w:ilvl w:val="0"/>
          <w:numId w:val="17"/>
        </w:numPr>
        <w:spacing w:before="120"/>
        <w:ind w:left="270" w:hanging="270"/>
        <w:jc w:val="both"/>
        <w:rPr>
          <w:b w:val="0"/>
        </w:rPr>
      </w:pPr>
      <w:r w:rsidRPr="00A770A8">
        <w:rPr>
          <w:b w:val="0"/>
        </w:rPr>
        <w:t xml:space="preserve">Chi phí phải trả cho bên nhận ủy quyền so với lợi nhuận, thu nhập, tổng chi phí hoạt động của </w:t>
      </w:r>
      <w:r w:rsidR="0085228D" w:rsidRPr="00A770A8">
        <w:rPr>
          <w:b w:val="0"/>
        </w:rPr>
        <w:t>quỹ:</w:t>
      </w:r>
    </w:p>
    <w:p w14:paraId="681ABE9F" w14:textId="77777777" w:rsidR="002F23E0" w:rsidRPr="00A770A8" w:rsidRDefault="002F23E0" w:rsidP="00920A63">
      <w:pPr>
        <w:pStyle w:val="ListParagraph"/>
        <w:spacing w:before="120"/>
        <w:jc w:val="both"/>
        <w:rPr>
          <w:b w:val="0"/>
        </w:rPr>
      </w:pPr>
    </w:p>
    <w:tbl>
      <w:tblPr>
        <w:tblW w:w="972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870"/>
        <w:gridCol w:w="2197"/>
        <w:gridCol w:w="1751"/>
        <w:gridCol w:w="1907"/>
      </w:tblGrid>
      <w:tr w:rsidR="00BA51D4" w:rsidRPr="00A770A8" w14:paraId="3DC1570D" w14:textId="77777777" w:rsidTr="006B7A58">
        <w:trPr>
          <w:trHeight w:val="643"/>
        </w:trPr>
        <w:tc>
          <w:tcPr>
            <w:tcW w:w="3870" w:type="dxa"/>
            <w:shd w:val="clear" w:color="auto" w:fill="B8CCE4" w:themeFill="accent1" w:themeFillTint="66"/>
            <w:vAlign w:val="center"/>
            <w:hideMark/>
          </w:tcPr>
          <w:p w14:paraId="41AF0ABD" w14:textId="639B016A" w:rsidR="00BA51D4" w:rsidRPr="00A770A8" w:rsidRDefault="00E65E77" w:rsidP="00E65E77">
            <w:pPr>
              <w:jc w:val="center"/>
              <w:rPr>
                <w:rFonts w:ascii="Times New Roman" w:hAnsi="Times New Roman"/>
                <w:b/>
                <w:sz w:val="24"/>
                <w:szCs w:val="24"/>
              </w:rPr>
            </w:pPr>
            <w:r w:rsidRPr="00A770A8">
              <w:rPr>
                <w:rFonts w:ascii="Times New Roman" w:hAnsi="Times New Roman"/>
                <w:b/>
                <w:sz w:val="24"/>
                <w:szCs w:val="24"/>
              </w:rPr>
              <w:t>Chi phí hoạt động Quỹ mở</w:t>
            </w:r>
          </w:p>
        </w:tc>
        <w:tc>
          <w:tcPr>
            <w:tcW w:w="2197" w:type="dxa"/>
            <w:tcBorders>
              <w:bottom w:val="single" w:sz="4" w:space="0" w:color="auto"/>
            </w:tcBorders>
            <w:shd w:val="clear" w:color="auto" w:fill="B8CCE4" w:themeFill="accent1" w:themeFillTint="66"/>
            <w:vAlign w:val="center"/>
            <w:hideMark/>
          </w:tcPr>
          <w:p w14:paraId="733BDB75" w14:textId="6CAB27AB" w:rsidR="00BA51D4" w:rsidRPr="00A770A8" w:rsidRDefault="00BA51D4" w:rsidP="00920A63">
            <w:pPr>
              <w:jc w:val="center"/>
              <w:rPr>
                <w:rFonts w:ascii="Times New Roman" w:hAnsi="Times New Roman"/>
                <w:b/>
                <w:sz w:val="24"/>
                <w:szCs w:val="24"/>
              </w:rPr>
            </w:pPr>
            <w:r w:rsidRPr="00A770A8">
              <w:rPr>
                <w:rFonts w:ascii="Times New Roman" w:hAnsi="Times New Roman"/>
                <w:b/>
                <w:sz w:val="24"/>
                <w:szCs w:val="24"/>
              </w:rPr>
              <w:t>Kỳ báo cáo 03/04/2019 – 30/06/2019</w:t>
            </w:r>
          </w:p>
        </w:tc>
        <w:tc>
          <w:tcPr>
            <w:tcW w:w="1751" w:type="dxa"/>
            <w:tcBorders>
              <w:bottom w:val="single" w:sz="4" w:space="0" w:color="auto"/>
            </w:tcBorders>
            <w:shd w:val="clear" w:color="auto" w:fill="B8CCE4" w:themeFill="accent1" w:themeFillTint="66"/>
            <w:vAlign w:val="center"/>
          </w:tcPr>
          <w:p w14:paraId="4DE56721" w14:textId="3947EAD4" w:rsidR="00BA51D4" w:rsidRPr="00A770A8" w:rsidRDefault="00782E24" w:rsidP="00920A63">
            <w:pPr>
              <w:jc w:val="center"/>
              <w:rPr>
                <w:rFonts w:ascii="Times New Roman" w:hAnsi="Times New Roman"/>
                <w:b/>
                <w:sz w:val="24"/>
                <w:szCs w:val="24"/>
              </w:rPr>
            </w:pPr>
            <w:r w:rsidRPr="00A770A8">
              <w:rPr>
                <w:rFonts w:ascii="Times New Roman" w:hAnsi="Times New Roman"/>
                <w:b/>
                <w:sz w:val="24"/>
                <w:szCs w:val="24"/>
              </w:rPr>
              <w:t>Tỷ lệ so với lợi nhuận</w:t>
            </w:r>
          </w:p>
        </w:tc>
        <w:tc>
          <w:tcPr>
            <w:tcW w:w="1907" w:type="dxa"/>
            <w:tcBorders>
              <w:bottom w:val="single" w:sz="4" w:space="0" w:color="auto"/>
            </w:tcBorders>
            <w:shd w:val="clear" w:color="auto" w:fill="B8CCE4" w:themeFill="accent1" w:themeFillTint="66"/>
            <w:vAlign w:val="center"/>
            <w:hideMark/>
          </w:tcPr>
          <w:p w14:paraId="0E53BE89" w14:textId="7C7FCCEC" w:rsidR="00BA51D4" w:rsidRPr="00A770A8" w:rsidRDefault="00BA51D4" w:rsidP="00920A63">
            <w:pPr>
              <w:jc w:val="center"/>
              <w:rPr>
                <w:rFonts w:ascii="Times New Roman" w:hAnsi="Times New Roman"/>
                <w:b/>
                <w:sz w:val="24"/>
                <w:szCs w:val="24"/>
              </w:rPr>
            </w:pPr>
            <w:r w:rsidRPr="00A770A8">
              <w:rPr>
                <w:rFonts w:ascii="Times New Roman" w:hAnsi="Times New Roman"/>
                <w:b/>
                <w:sz w:val="24"/>
                <w:szCs w:val="24"/>
              </w:rPr>
              <w:t>Tỷ lệ so với Tổng chi phí hoạt động</w:t>
            </w:r>
          </w:p>
        </w:tc>
      </w:tr>
      <w:tr w:rsidR="00BA51D4" w:rsidRPr="00A770A8" w14:paraId="44697CA1" w14:textId="77777777" w:rsidTr="004B281E">
        <w:trPr>
          <w:trHeight w:val="437"/>
        </w:trPr>
        <w:tc>
          <w:tcPr>
            <w:tcW w:w="3870" w:type="dxa"/>
            <w:shd w:val="clear" w:color="auto" w:fill="auto"/>
            <w:vAlign w:val="center"/>
            <w:hideMark/>
          </w:tcPr>
          <w:p w14:paraId="3B070FD8" w14:textId="2CC402A4" w:rsidR="00BA51D4" w:rsidRPr="00A770A8" w:rsidRDefault="00BA51D4" w:rsidP="00920A63">
            <w:pPr>
              <w:rPr>
                <w:rFonts w:ascii="Times New Roman" w:hAnsi="Times New Roman"/>
                <w:sz w:val="24"/>
                <w:szCs w:val="24"/>
              </w:rPr>
            </w:pPr>
            <w:r w:rsidRPr="00A770A8">
              <w:rPr>
                <w:rFonts w:ascii="Times New Roman" w:hAnsi="Times New Roman"/>
                <w:color w:val="000000"/>
                <w:sz w:val="24"/>
                <w:szCs w:val="24"/>
              </w:rPr>
              <w:t>1. Phí dịch vụ lưu ký tài sản Quỹ mở</w:t>
            </w:r>
          </w:p>
        </w:tc>
        <w:tc>
          <w:tcPr>
            <w:tcW w:w="2197" w:type="dxa"/>
            <w:shd w:val="clear" w:color="000000" w:fill="auto"/>
            <w:vAlign w:val="center"/>
          </w:tcPr>
          <w:p w14:paraId="18F7975C" w14:textId="4E320E38" w:rsidR="00BA51D4" w:rsidRPr="00A770A8" w:rsidRDefault="00BA51D4" w:rsidP="00920A63">
            <w:pPr>
              <w:jc w:val="center"/>
              <w:rPr>
                <w:rFonts w:ascii="Times New Roman" w:hAnsi="Times New Roman"/>
                <w:sz w:val="24"/>
                <w:szCs w:val="24"/>
              </w:rPr>
            </w:pPr>
            <w:r w:rsidRPr="00A770A8">
              <w:rPr>
                <w:rFonts w:ascii="Times New Roman" w:hAnsi="Times New Roman"/>
                <w:sz w:val="24"/>
                <w:szCs w:val="24"/>
              </w:rPr>
              <w:t>34.033.333</w:t>
            </w:r>
          </w:p>
        </w:tc>
        <w:tc>
          <w:tcPr>
            <w:tcW w:w="1751" w:type="dxa"/>
            <w:shd w:val="clear" w:color="000000" w:fill="auto"/>
            <w:vAlign w:val="center"/>
          </w:tcPr>
          <w:p w14:paraId="750DA7C1" w14:textId="1CCB93A1" w:rsidR="00BA51D4" w:rsidRPr="00A770A8" w:rsidRDefault="0022661D" w:rsidP="007C4314">
            <w:pPr>
              <w:jc w:val="center"/>
              <w:rPr>
                <w:rFonts w:ascii="Times New Roman" w:hAnsi="Times New Roman"/>
                <w:sz w:val="24"/>
                <w:szCs w:val="24"/>
              </w:rPr>
            </w:pPr>
            <w:r w:rsidRPr="00A770A8">
              <w:rPr>
                <w:rFonts w:ascii="Times New Roman" w:hAnsi="Times New Roman"/>
                <w:sz w:val="24"/>
                <w:szCs w:val="24"/>
              </w:rPr>
              <w:t>9</w:t>
            </w:r>
            <w:r w:rsidR="007C4314" w:rsidRPr="00A770A8">
              <w:rPr>
                <w:rFonts w:ascii="Times New Roman" w:hAnsi="Times New Roman"/>
                <w:sz w:val="24"/>
                <w:szCs w:val="24"/>
              </w:rPr>
              <w:t>,</w:t>
            </w:r>
            <w:r w:rsidRPr="00A770A8">
              <w:rPr>
                <w:rFonts w:ascii="Times New Roman" w:hAnsi="Times New Roman"/>
                <w:sz w:val="24"/>
                <w:szCs w:val="24"/>
              </w:rPr>
              <w:t>80%</w:t>
            </w:r>
          </w:p>
        </w:tc>
        <w:tc>
          <w:tcPr>
            <w:tcW w:w="1907" w:type="dxa"/>
            <w:shd w:val="clear" w:color="000000" w:fill="auto"/>
            <w:vAlign w:val="center"/>
          </w:tcPr>
          <w:p w14:paraId="73F9777A" w14:textId="74B23E51" w:rsidR="00BA51D4" w:rsidRPr="00A770A8" w:rsidRDefault="00BA51D4" w:rsidP="00920A63">
            <w:pPr>
              <w:jc w:val="center"/>
              <w:rPr>
                <w:rFonts w:ascii="Times New Roman" w:hAnsi="Times New Roman"/>
                <w:sz w:val="24"/>
                <w:szCs w:val="24"/>
              </w:rPr>
            </w:pPr>
            <w:r w:rsidRPr="00A770A8">
              <w:rPr>
                <w:rFonts w:ascii="Times New Roman" w:hAnsi="Times New Roman"/>
                <w:sz w:val="24"/>
                <w:szCs w:val="24"/>
              </w:rPr>
              <w:t>7,57%</w:t>
            </w:r>
          </w:p>
        </w:tc>
      </w:tr>
      <w:tr w:rsidR="00BA51D4" w:rsidRPr="00A770A8" w14:paraId="66AD2EB4" w14:textId="77777777" w:rsidTr="004B281E">
        <w:trPr>
          <w:trHeight w:val="437"/>
        </w:trPr>
        <w:tc>
          <w:tcPr>
            <w:tcW w:w="3870" w:type="dxa"/>
            <w:shd w:val="clear" w:color="auto" w:fill="auto"/>
            <w:vAlign w:val="center"/>
          </w:tcPr>
          <w:p w14:paraId="6E57D8E2" w14:textId="5F9381EC" w:rsidR="00BA51D4" w:rsidRPr="00A770A8" w:rsidRDefault="00BA51D4" w:rsidP="00920A63">
            <w:pPr>
              <w:rPr>
                <w:rFonts w:ascii="Times New Roman" w:hAnsi="Times New Roman"/>
                <w:color w:val="000000"/>
                <w:sz w:val="24"/>
                <w:szCs w:val="24"/>
              </w:rPr>
            </w:pPr>
            <w:r w:rsidRPr="00A770A8">
              <w:rPr>
                <w:rFonts w:ascii="Times New Roman" w:hAnsi="Times New Roman"/>
                <w:color w:val="000000"/>
                <w:sz w:val="24"/>
                <w:szCs w:val="24"/>
              </w:rPr>
              <w:t>2. Phí dịch vụ giám sát</w:t>
            </w:r>
          </w:p>
        </w:tc>
        <w:tc>
          <w:tcPr>
            <w:tcW w:w="2197" w:type="dxa"/>
            <w:shd w:val="clear" w:color="000000" w:fill="auto"/>
            <w:vAlign w:val="center"/>
          </w:tcPr>
          <w:p w14:paraId="3B28588D" w14:textId="66180FEF" w:rsidR="00BA51D4" w:rsidRPr="00A770A8" w:rsidRDefault="00BA51D4" w:rsidP="00920A63">
            <w:pPr>
              <w:jc w:val="center"/>
              <w:rPr>
                <w:rFonts w:ascii="Times New Roman" w:hAnsi="Times New Roman"/>
                <w:sz w:val="24"/>
                <w:szCs w:val="24"/>
              </w:rPr>
            </w:pPr>
            <w:r w:rsidRPr="00A770A8">
              <w:rPr>
                <w:rFonts w:ascii="Times New Roman" w:hAnsi="Times New Roman"/>
                <w:sz w:val="24"/>
                <w:szCs w:val="24"/>
              </w:rPr>
              <w:t>51.626.667</w:t>
            </w:r>
          </w:p>
        </w:tc>
        <w:tc>
          <w:tcPr>
            <w:tcW w:w="1751" w:type="dxa"/>
            <w:shd w:val="clear" w:color="000000" w:fill="auto"/>
            <w:vAlign w:val="center"/>
          </w:tcPr>
          <w:p w14:paraId="430F01D5" w14:textId="041C5D94" w:rsidR="00BA51D4" w:rsidRPr="00A770A8" w:rsidRDefault="0022661D" w:rsidP="007C4314">
            <w:pPr>
              <w:jc w:val="center"/>
              <w:rPr>
                <w:rFonts w:ascii="Times New Roman" w:hAnsi="Times New Roman"/>
                <w:sz w:val="24"/>
                <w:szCs w:val="24"/>
              </w:rPr>
            </w:pPr>
            <w:r w:rsidRPr="00A770A8">
              <w:rPr>
                <w:rFonts w:ascii="Times New Roman" w:hAnsi="Times New Roman"/>
                <w:sz w:val="24"/>
                <w:szCs w:val="24"/>
              </w:rPr>
              <w:t>14</w:t>
            </w:r>
            <w:r w:rsidR="007C4314" w:rsidRPr="00A770A8">
              <w:rPr>
                <w:rFonts w:ascii="Times New Roman" w:hAnsi="Times New Roman"/>
                <w:sz w:val="24"/>
                <w:szCs w:val="24"/>
              </w:rPr>
              <w:t>,</w:t>
            </w:r>
            <w:r w:rsidRPr="00A770A8">
              <w:rPr>
                <w:rFonts w:ascii="Times New Roman" w:hAnsi="Times New Roman"/>
                <w:sz w:val="24"/>
                <w:szCs w:val="24"/>
              </w:rPr>
              <w:t>86%</w:t>
            </w:r>
          </w:p>
        </w:tc>
        <w:tc>
          <w:tcPr>
            <w:tcW w:w="1907" w:type="dxa"/>
            <w:shd w:val="clear" w:color="000000" w:fill="auto"/>
            <w:vAlign w:val="center"/>
          </w:tcPr>
          <w:p w14:paraId="15D9FC35" w14:textId="27E97A8C" w:rsidR="00BA51D4" w:rsidRPr="00A770A8" w:rsidRDefault="00BA51D4" w:rsidP="00920A63">
            <w:pPr>
              <w:jc w:val="center"/>
              <w:rPr>
                <w:rFonts w:ascii="Times New Roman" w:hAnsi="Times New Roman"/>
                <w:sz w:val="24"/>
                <w:szCs w:val="24"/>
              </w:rPr>
            </w:pPr>
            <w:r w:rsidRPr="00A770A8">
              <w:rPr>
                <w:rFonts w:ascii="Times New Roman" w:hAnsi="Times New Roman"/>
                <w:sz w:val="24"/>
                <w:szCs w:val="24"/>
              </w:rPr>
              <w:t>11,49%</w:t>
            </w:r>
          </w:p>
        </w:tc>
      </w:tr>
      <w:tr w:rsidR="00BA51D4" w:rsidRPr="00A770A8" w14:paraId="0F630620" w14:textId="77777777" w:rsidTr="004B281E">
        <w:trPr>
          <w:trHeight w:val="437"/>
        </w:trPr>
        <w:tc>
          <w:tcPr>
            <w:tcW w:w="3870" w:type="dxa"/>
            <w:shd w:val="clear" w:color="auto" w:fill="auto"/>
            <w:vAlign w:val="center"/>
          </w:tcPr>
          <w:p w14:paraId="1635BFEE" w14:textId="53C71E1C" w:rsidR="00BA51D4" w:rsidRPr="00A770A8" w:rsidRDefault="00BA51D4" w:rsidP="00920A63">
            <w:pPr>
              <w:rPr>
                <w:rFonts w:ascii="Times New Roman" w:hAnsi="Times New Roman"/>
                <w:color w:val="000000"/>
                <w:sz w:val="24"/>
                <w:szCs w:val="24"/>
              </w:rPr>
            </w:pPr>
            <w:r w:rsidRPr="00A770A8">
              <w:rPr>
                <w:rFonts w:ascii="Times New Roman" w:hAnsi="Times New Roman"/>
                <w:color w:val="000000"/>
                <w:sz w:val="24"/>
                <w:szCs w:val="24"/>
              </w:rPr>
              <w:t>3. Phí dịch vụ quản trị Quỹ mở</w:t>
            </w:r>
          </w:p>
        </w:tc>
        <w:tc>
          <w:tcPr>
            <w:tcW w:w="2197" w:type="dxa"/>
            <w:shd w:val="clear" w:color="000000" w:fill="auto"/>
            <w:vAlign w:val="center"/>
          </w:tcPr>
          <w:p w14:paraId="2710BDA4" w14:textId="522952E1" w:rsidR="00BA51D4" w:rsidRPr="00A770A8" w:rsidRDefault="00BA51D4" w:rsidP="00920A63">
            <w:pPr>
              <w:jc w:val="center"/>
              <w:rPr>
                <w:rFonts w:ascii="Times New Roman" w:hAnsi="Times New Roman"/>
                <w:sz w:val="24"/>
                <w:szCs w:val="24"/>
              </w:rPr>
            </w:pPr>
            <w:r w:rsidRPr="00A770A8">
              <w:rPr>
                <w:rFonts w:ascii="Times New Roman" w:hAnsi="Times New Roman"/>
                <w:sz w:val="24"/>
                <w:szCs w:val="24"/>
              </w:rPr>
              <w:t>85.506.667</w:t>
            </w:r>
          </w:p>
        </w:tc>
        <w:tc>
          <w:tcPr>
            <w:tcW w:w="1751" w:type="dxa"/>
            <w:shd w:val="clear" w:color="000000" w:fill="auto"/>
            <w:vAlign w:val="center"/>
          </w:tcPr>
          <w:p w14:paraId="1B859437" w14:textId="311329D6" w:rsidR="00BA51D4" w:rsidRPr="00A770A8" w:rsidRDefault="0022661D" w:rsidP="007C4314">
            <w:pPr>
              <w:jc w:val="center"/>
              <w:rPr>
                <w:rFonts w:ascii="Times New Roman" w:hAnsi="Times New Roman"/>
                <w:sz w:val="24"/>
                <w:szCs w:val="24"/>
              </w:rPr>
            </w:pPr>
            <w:r w:rsidRPr="00A770A8">
              <w:rPr>
                <w:rFonts w:ascii="Times New Roman" w:hAnsi="Times New Roman"/>
                <w:sz w:val="24"/>
                <w:szCs w:val="24"/>
              </w:rPr>
              <w:t>24</w:t>
            </w:r>
            <w:r w:rsidR="007C4314" w:rsidRPr="00A770A8">
              <w:rPr>
                <w:rFonts w:ascii="Times New Roman" w:hAnsi="Times New Roman"/>
                <w:sz w:val="24"/>
                <w:szCs w:val="24"/>
              </w:rPr>
              <w:t>,</w:t>
            </w:r>
            <w:r w:rsidRPr="00A770A8">
              <w:rPr>
                <w:rFonts w:ascii="Times New Roman" w:hAnsi="Times New Roman"/>
                <w:sz w:val="24"/>
                <w:szCs w:val="24"/>
              </w:rPr>
              <w:t>61%</w:t>
            </w:r>
          </w:p>
        </w:tc>
        <w:tc>
          <w:tcPr>
            <w:tcW w:w="1907" w:type="dxa"/>
            <w:shd w:val="clear" w:color="000000" w:fill="auto"/>
            <w:vAlign w:val="center"/>
          </w:tcPr>
          <w:p w14:paraId="48480E8D" w14:textId="31C63254" w:rsidR="00BA51D4" w:rsidRPr="00A770A8" w:rsidRDefault="00BA51D4" w:rsidP="00920A63">
            <w:pPr>
              <w:jc w:val="center"/>
              <w:rPr>
                <w:rFonts w:ascii="Times New Roman" w:hAnsi="Times New Roman"/>
                <w:sz w:val="24"/>
                <w:szCs w:val="24"/>
              </w:rPr>
            </w:pPr>
            <w:r w:rsidRPr="00A770A8">
              <w:rPr>
                <w:rFonts w:ascii="Times New Roman" w:hAnsi="Times New Roman"/>
                <w:sz w:val="24"/>
                <w:szCs w:val="24"/>
              </w:rPr>
              <w:t>19,03%</w:t>
            </w:r>
          </w:p>
        </w:tc>
      </w:tr>
      <w:tr w:rsidR="00BA51D4" w:rsidRPr="00A770A8" w14:paraId="79E1F190" w14:textId="77777777" w:rsidTr="004B281E">
        <w:trPr>
          <w:trHeight w:val="437"/>
        </w:trPr>
        <w:tc>
          <w:tcPr>
            <w:tcW w:w="3870" w:type="dxa"/>
            <w:shd w:val="clear" w:color="auto" w:fill="auto"/>
            <w:vAlign w:val="center"/>
          </w:tcPr>
          <w:p w14:paraId="6AC992DB" w14:textId="21A2F8DA" w:rsidR="00BA51D4" w:rsidRPr="00A770A8" w:rsidRDefault="00BA51D4" w:rsidP="00920A63">
            <w:pPr>
              <w:rPr>
                <w:rFonts w:ascii="Times New Roman" w:hAnsi="Times New Roman"/>
                <w:color w:val="000000"/>
                <w:sz w:val="24"/>
                <w:szCs w:val="24"/>
              </w:rPr>
            </w:pPr>
            <w:r w:rsidRPr="00A770A8">
              <w:rPr>
                <w:rFonts w:ascii="Times New Roman" w:hAnsi="Times New Roman"/>
                <w:color w:val="000000"/>
                <w:sz w:val="24"/>
                <w:szCs w:val="24"/>
              </w:rPr>
              <w:t>4. Phí dịch vụ đại lý chuyển nhượng</w:t>
            </w:r>
          </w:p>
        </w:tc>
        <w:tc>
          <w:tcPr>
            <w:tcW w:w="2197" w:type="dxa"/>
            <w:shd w:val="clear" w:color="000000" w:fill="auto"/>
            <w:vAlign w:val="center"/>
          </w:tcPr>
          <w:p w14:paraId="5213BDB7" w14:textId="14D4625B" w:rsidR="00BA51D4" w:rsidRPr="00A770A8" w:rsidRDefault="00BA51D4" w:rsidP="00920A63">
            <w:pPr>
              <w:jc w:val="center"/>
              <w:rPr>
                <w:rFonts w:ascii="Times New Roman" w:hAnsi="Times New Roman"/>
                <w:sz w:val="24"/>
                <w:szCs w:val="24"/>
              </w:rPr>
            </w:pPr>
            <w:r w:rsidRPr="00A770A8">
              <w:rPr>
                <w:rFonts w:ascii="Times New Roman" w:hAnsi="Times New Roman"/>
                <w:sz w:val="24"/>
                <w:szCs w:val="24"/>
              </w:rPr>
              <w:t>24.566.666</w:t>
            </w:r>
          </w:p>
        </w:tc>
        <w:tc>
          <w:tcPr>
            <w:tcW w:w="1751" w:type="dxa"/>
            <w:shd w:val="clear" w:color="000000" w:fill="auto"/>
            <w:vAlign w:val="center"/>
          </w:tcPr>
          <w:p w14:paraId="3307024A" w14:textId="67ACCC8F" w:rsidR="00BA51D4" w:rsidRPr="00A770A8" w:rsidRDefault="0022661D" w:rsidP="007C4314">
            <w:pPr>
              <w:jc w:val="center"/>
              <w:rPr>
                <w:rFonts w:ascii="Times New Roman" w:hAnsi="Times New Roman"/>
                <w:sz w:val="24"/>
                <w:szCs w:val="24"/>
              </w:rPr>
            </w:pPr>
            <w:r w:rsidRPr="00A770A8">
              <w:rPr>
                <w:rFonts w:ascii="Times New Roman" w:hAnsi="Times New Roman"/>
                <w:sz w:val="24"/>
                <w:szCs w:val="24"/>
              </w:rPr>
              <w:t>7</w:t>
            </w:r>
            <w:r w:rsidR="007C4314" w:rsidRPr="00A770A8">
              <w:rPr>
                <w:rFonts w:ascii="Times New Roman" w:hAnsi="Times New Roman"/>
                <w:sz w:val="24"/>
                <w:szCs w:val="24"/>
              </w:rPr>
              <w:t>,</w:t>
            </w:r>
            <w:r w:rsidRPr="00A770A8">
              <w:rPr>
                <w:rFonts w:ascii="Times New Roman" w:hAnsi="Times New Roman"/>
                <w:sz w:val="24"/>
                <w:szCs w:val="24"/>
              </w:rPr>
              <w:t>07%</w:t>
            </w:r>
          </w:p>
        </w:tc>
        <w:tc>
          <w:tcPr>
            <w:tcW w:w="1907" w:type="dxa"/>
            <w:shd w:val="clear" w:color="000000" w:fill="auto"/>
            <w:vAlign w:val="center"/>
          </w:tcPr>
          <w:p w14:paraId="5A61ED85" w14:textId="6E93B155" w:rsidR="00BA51D4" w:rsidRPr="00A770A8" w:rsidRDefault="00BA51D4" w:rsidP="00920A63">
            <w:pPr>
              <w:jc w:val="center"/>
              <w:rPr>
                <w:rFonts w:ascii="Times New Roman" w:hAnsi="Times New Roman"/>
                <w:sz w:val="24"/>
                <w:szCs w:val="24"/>
              </w:rPr>
            </w:pPr>
            <w:r w:rsidRPr="00A770A8">
              <w:rPr>
                <w:rFonts w:ascii="Times New Roman" w:hAnsi="Times New Roman"/>
                <w:sz w:val="24"/>
                <w:szCs w:val="24"/>
              </w:rPr>
              <w:t>5,47%</w:t>
            </w:r>
          </w:p>
        </w:tc>
      </w:tr>
    </w:tbl>
    <w:p w14:paraId="10759105" w14:textId="1E7C3873"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b) Các hoạt động ủy quyền </w:t>
      </w:r>
      <w:r w:rsidR="000A08C1" w:rsidRPr="00A770A8">
        <w:rPr>
          <w:rFonts w:ascii="Times New Roman" w:hAnsi="Times New Roman"/>
          <w:sz w:val="24"/>
          <w:szCs w:val="24"/>
        </w:rPr>
        <w:t xml:space="preserve">này không ảnh hưởng tới lợi nhuận và </w:t>
      </w:r>
      <w:r w:rsidRPr="00A770A8">
        <w:rPr>
          <w:rFonts w:ascii="Times New Roman" w:hAnsi="Times New Roman"/>
          <w:sz w:val="24"/>
          <w:szCs w:val="24"/>
        </w:rPr>
        <w:t xml:space="preserve">mức độ rủi ro của </w:t>
      </w:r>
      <w:r w:rsidR="0085228D" w:rsidRPr="00A770A8">
        <w:rPr>
          <w:rFonts w:ascii="Times New Roman" w:hAnsi="Times New Roman"/>
          <w:sz w:val="24"/>
          <w:szCs w:val="24"/>
        </w:rPr>
        <w:t>quỹ</w:t>
      </w:r>
    </w:p>
    <w:p w14:paraId="09491475" w14:textId="77777777" w:rsidR="003F0046"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c) Tổng chi phí các hoạt động ủy quyền phải trả cho bên nhận ủy quyền (trường hợp bên nhận ủy quyền cung cấp nhiều dịch vụ cho công ty quản </w:t>
      </w:r>
      <w:r w:rsidR="0085228D" w:rsidRPr="00A770A8">
        <w:rPr>
          <w:rFonts w:ascii="Times New Roman" w:hAnsi="Times New Roman"/>
          <w:sz w:val="24"/>
          <w:szCs w:val="24"/>
        </w:rPr>
        <w:t xml:space="preserve">lý quỹ): </w:t>
      </w:r>
    </w:p>
    <w:p w14:paraId="53A2835A" w14:textId="371D6590" w:rsidR="0085228D" w:rsidRPr="00A770A8" w:rsidRDefault="009902E2" w:rsidP="00920A63">
      <w:pPr>
        <w:spacing w:before="120"/>
        <w:jc w:val="both"/>
        <w:rPr>
          <w:rFonts w:ascii="Times New Roman" w:hAnsi="Times New Roman"/>
          <w:sz w:val="24"/>
          <w:szCs w:val="24"/>
        </w:rPr>
      </w:pPr>
      <w:r w:rsidRPr="00A770A8">
        <w:rPr>
          <w:rFonts w:ascii="Times New Roman" w:hAnsi="Times New Roman"/>
          <w:sz w:val="24"/>
          <w:szCs w:val="24"/>
        </w:rPr>
        <w:t>Tổng chi phí trả cho</w:t>
      </w:r>
      <w:r w:rsidR="0085228D" w:rsidRPr="00A770A8">
        <w:rPr>
          <w:rFonts w:ascii="Times New Roman" w:hAnsi="Times New Roman"/>
          <w:sz w:val="24"/>
          <w:szCs w:val="24"/>
        </w:rPr>
        <w:t xml:space="preserve"> Ngân hàng TNHH một thành viên Standard Chartered (Việt Nam) </w:t>
      </w:r>
      <w:r w:rsidR="001335C5" w:rsidRPr="00A770A8">
        <w:rPr>
          <w:rFonts w:ascii="Times New Roman" w:hAnsi="Times New Roman"/>
          <w:sz w:val="24"/>
          <w:szCs w:val="24"/>
        </w:rPr>
        <w:t xml:space="preserve">và Trung tâm lưu ký chứng khoán Việt nam (VSD) </w:t>
      </w:r>
      <w:r w:rsidRPr="00A770A8">
        <w:rPr>
          <w:rFonts w:ascii="Times New Roman" w:hAnsi="Times New Roman"/>
          <w:sz w:val="24"/>
          <w:szCs w:val="24"/>
        </w:rPr>
        <w:t>cho dịch vụ ủy quyền là</w:t>
      </w:r>
      <w:r w:rsidR="0085228D" w:rsidRPr="00A770A8">
        <w:rPr>
          <w:rFonts w:ascii="Times New Roman" w:hAnsi="Times New Roman"/>
          <w:sz w:val="24"/>
          <w:szCs w:val="24"/>
        </w:rPr>
        <w:t>:</w:t>
      </w:r>
      <w:r w:rsidRPr="00A770A8">
        <w:rPr>
          <w:rFonts w:ascii="Times New Roman" w:hAnsi="Times New Roman"/>
          <w:sz w:val="24"/>
          <w:szCs w:val="24"/>
        </w:rPr>
        <w:t xml:space="preserve"> 195.733.333 VNĐ</w:t>
      </w:r>
    </w:p>
    <w:p w14:paraId="7DCE0A9E" w14:textId="77777777" w:rsidR="00C94304" w:rsidRPr="00A770A8" w:rsidRDefault="00C94304" w:rsidP="00920A63">
      <w:pPr>
        <w:spacing w:before="120"/>
        <w:jc w:val="both"/>
        <w:rPr>
          <w:rFonts w:ascii="Times New Roman" w:hAnsi="Times New Roman"/>
          <w:sz w:val="24"/>
          <w:szCs w:val="24"/>
        </w:rPr>
      </w:pPr>
    </w:p>
    <w:p w14:paraId="4DBF38C3" w14:textId="238279B4" w:rsidR="001500D9" w:rsidRPr="00A770A8" w:rsidRDefault="001500D9" w:rsidP="00920A63">
      <w:pPr>
        <w:spacing w:before="120"/>
        <w:jc w:val="both"/>
        <w:rPr>
          <w:rFonts w:ascii="Times New Roman" w:hAnsi="Times New Roman"/>
          <w:sz w:val="24"/>
          <w:szCs w:val="24"/>
        </w:rPr>
      </w:pPr>
    </w:p>
    <w:tbl>
      <w:tblPr>
        <w:tblW w:w="9900" w:type="dxa"/>
        <w:jc w:val="center"/>
        <w:tblCellMar>
          <w:left w:w="0" w:type="dxa"/>
          <w:right w:w="0" w:type="dxa"/>
        </w:tblCellMar>
        <w:tblLook w:val="04A0" w:firstRow="1" w:lastRow="0" w:firstColumn="1" w:lastColumn="0" w:noHBand="0" w:noVBand="1"/>
      </w:tblPr>
      <w:tblGrid>
        <w:gridCol w:w="6731"/>
        <w:gridCol w:w="3169"/>
      </w:tblGrid>
      <w:tr w:rsidR="0085228D" w:rsidRPr="00A770A8" w14:paraId="78A2A338" w14:textId="77777777" w:rsidTr="00FF72F7">
        <w:trPr>
          <w:trHeight w:val="575"/>
          <w:jc w:val="center"/>
        </w:trPr>
        <w:tc>
          <w:tcPr>
            <w:tcW w:w="673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3E8CF507" w14:textId="483155BD" w:rsidR="00304D98" w:rsidRPr="00A770A8" w:rsidRDefault="0003387A" w:rsidP="00304D98">
            <w:pPr>
              <w:spacing w:before="120"/>
              <w:jc w:val="center"/>
              <w:rPr>
                <w:rFonts w:ascii="Times New Roman" w:hAnsi="Times New Roman"/>
                <w:b/>
                <w:sz w:val="24"/>
                <w:szCs w:val="24"/>
              </w:rPr>
            </w:pPr>
            <w:r w:rsidRPr="00A770A8">
              <w:rPr>
                <w:rFonts w:ascii="Times New Roman" w:hAnsi="Times New Roman"/>
                <w:b/>
                <w:sz w:val="24"/>
                <w:szCs w:val="24"/>
              </w:rPr>
              <w:lastRenderedPageBreak/>
              <w:t>Bên nhận ủy quyền</w:t>
            </w:r>
          </w:p>
        </w:tc>
        <w:tc>
          <w:tcPr>
            <w:tcW w:w="3169" w:type="dxa"/>
            <w:tcBorders>
              <w:top w:val="single" w:sz="4" w:space="0" w:color="auto"/>
              <w:left w:val="nil"/>
              <w:bottom w:val="single" w:sz="4" w:space="0" w:color="auto"/>
              <w:right w:val="single" w:sz="4" w:space="0" w:color="auto"/>
            </w:tcBorders>
            <w:shd w:val="clear" w:color="auto" w:fill="B8CCE4" w:themeFill="accent1" w:themeFillTint="66"/>
            <w:vAlign w:val="center"/>
          </w:tcPr>
          <w:p w14:paraId="40A0ECA1" w14:textId="4F6D99FE" w:rsidR="0085228D" w:rsidRPr="00A770A8" w:rsidRDefault="0003387A" w:rsidP="0003387A">
            <w:pPr>
              <w:spacing w:before="120"/>
              <w:jc w:val="center"/>
              <w:rPr>
                <w:rFonts w:ascii="Times New Roman" w:hAnsi="Times New Roman"/>
                <w:b/>
                <w:sz w:val="24"/>
                <w:szCs w:val="24"/>
              </w:rPr>
            </w:pPr>
            <w:r w:rsidRPr="00A770A8">
              <w:rPr>
                <w:rFonts w:ascii="Times New Roman" w:hAnsi="Times New Roman"/>
                <w:b/>
                <w:sz w:val="24"/>
                <w:szCs w:val="24"/>
              </w:rPr>
              <w:t>Số tiền</w:t>
            </w:r>
          </w:p>
        </w:tc>
      </w:tr>
      <w:tr w:rsidR="0003387A" w:rsidRPr="00A770A8" w14:paraId="42B8E313" w14:textId="77777777" w:rsidTr="00304D98">
        <w:trPr>
          <w:trHeight w:val="326"/>
          <w:jc w:val="center"/>
        </w:trPr>
        <w:tc>
          <w:tcPr>
            <w:tcW w:w="6731" w:type="dxa"/>
            <w:tcBorders>
              <w:top w:val="single" w:sz="4" w:space="0" w:color="auto"/>
              <w:left w:val="single" w:sz="4" w:space="0" w:color="auto"/>
              <w:bottom w:val="single" w:sz="4" w:space="0" w:color="auto"/>
              <w:right w:val="single" w:sz="4" w:space="0" w:color="auto"/>
            </w:tcBorders>
            <w:shd w:val="clear" w:color="auto" w:fill="auto"/>
            <w:vAlign w:val="center"/>
          </w:tcPr>
          <w:p w14:paraId="4BBC416E" w14:textId="7F625C01" w:rsidR="0003387A" w:rsidRPr="00A770A8" w:rsidRDefault="0003387A" w:rsidP="0003387A">
            <w:pPr>
              <w:spacing w:before="120"/>
              <w:jc w:val="both"/>
              <w:rPr>
                <w:rFonts w:ascii="Times New Roman" w:hAnsi="Times New Roman"/>
                <w:sz w:val="24"/>
                <w:szCs w:val="24"/>
              </w:rPr>
            </w:pPr>
            <w:r w:rsidRPr="00A770A8">
              <w:rPr>
                <w:rFonts w:ascii="Times New Roman" w:hAnsi="Times New Roman"/>
                <w:sz w:val="24"/>
                <w:szCs w:val="24"/>
              </w:rPr>
              <w:t>Ngân hàng TNHH một thành viên Standard Chartered (Việt Nam)</w:t>
            </w:r>
          </w:p>
        </w:tc>
        <w:tc>
          <w:tcPr>
            <w:tcW w:w="3169" w:type="dxa"/>
            <w:tcBorders>
              <w:top w:val="single" w:sz="4" w:space="0" w:color="auto"/>
              <w:left w:val="nil"/>
              <w:bottom w:val="single" w:sz="4" w:space="0" w:color="auto"/>
              <w:right w:val="single" w:sz="4" w:space="0" w:color="auto"/>
            </w:tcBorders>
            <w:shd w:val="clear" w:color="000000" w:fill="auto"/>
          </w:tcPr>
          <w:p w14:paraId="1026FCB2" w14:textId="7B708A78" w:rsidR="0003387A" w:rsidRPr="00A770A8" w:rsidRDefault="0003387A" w:rsidP="0003387A">
            <w:pPr>
              <w:spacing w:before="120"/>
              <w:jc w:val="center"/>
              <w:rPr>
                <w:rFonts w:ascii="Times New Roman" w:hAnsi="Times New Roman"/>
                <w:sz w:val="24"/>
                <w:szCs w:val="24"/>
              </w:rPr>
            </w:pPr>
            <w:r w:rsidRPr="00A770A8">
              <w:rPr>
                <w:rFonts w:ascii="Times New Roman" w:hAnsi="Times New Roman"/>
                <w:sz w:val="24"/>
                <w:szCs w:val="24"/>
              </w:rPr>
              <w:t>171.166.667</w:t>
            </w:r>
          </w:p>
        </w:tc>
      </w:tr>
      <w:tr w:rsidR="0003387A" w:rsidRPr="00A770A8" w14:paraId="3E076768" w14:textId="77777777" w:rsidTr="00304D98">
        <w:trPr>
          <w:trHeight w:val="326"/>
          <w:jc w:val="center"/>
        </w:trPr>
        <w:tc>
          <w:tcPr>
            <w:tcW w:w="6731" w:type="dxa"/>
            <w:tcBorders>
              <w:top w:val="nil"/>
              <w:left w:val="single" w:sz="4" w:space="0" w:color="auto"/>
              <w:bottom w:val="single" w:sz="4" w:space="0" w:color="auto"/>
              <w:right w:val="single" w:sz="4" w:space="0" w:color="auto"/>
            </w:tcBorders>
            <w:shd w:val="clear" w:color="auto" w:fill="auto"/>
            <w:vAlign w:val="center"/>
            <w:hideMark/>
          </w:tcPr>
          <w:p w14:paraId="125C872B" w14:textId="5801830C" w:rsidR="0003387A" w:rsidRPr="00A770A8" w:rsidRDefault="0003387A" w:rsidP="0003387A">
            <w:pPr>
              <w:spacing w:before="120"/>
              <w:jc w:val="both"/>
              <w:rPr>
                <w:rFonts w:ascii="Times New Roman" w:hAnsi="Times New Roman"/>
                <w:sz w:val="24"/>
                <w:szCs w:val="24"/>
              </w:rPr>
            </w:pPr>
            <w:r w:rsidRPr="00A770A8">
              <w:rPr>
                <w:rFonts w:ascii="Times New Roman" w:hAnsi="Times New Roman"/>
                <w:sz w:val="24"/>
                <w:szCs w:val="24"/>
              </w:rPr>
              <w:t>Trung tâm lưu ký chứng khoán Việt nam (VSD)</w:t>
            </w:r>
          </w:p>
        </w:tc>
        <w:tc>
          <w:tcPr>
            <w:tcW w:w="3169" w:type="dxa"/>
            <w:tcBorders>
              <w:top w:val="single" w:sz="4" w:space="0" w:color="auto"/>
              <w:left w:val="nil"/>
              <w:bottom w:val="single" w:sz="4" w:space="0" w:color="auto"/>
              <w:right w:val="single" w:sz="4" w:space="0" w:color="auto"/>
            </w:tcBorders>
            <w:shd w:val="clear" w:color="000000" w:fill="auto"/>
          </w:tcPr>
          <w:p w14:paraId="02BA3EC9" w14:textId="6E2A1EAE" w:rsidR="0003387A" w:rsidRPr="00A770A8" w:rsidRDefault="0003387A" w:rsidP="0003387A">
            <w:pPr>
              <w:spacing w:before="120"/>
              <w:jc w:val="center"/>
              <w:rPr>
                <w:rFonts w:ascii="Times New Roman" w:hAnsi="Times New Roman"/>
                <w:sz w:val="24"/>
                <w:szCs w:val="24"/>
              </w:rPr>
            </w:pPr>
            <w:r w:rsidRPr="00A770A8">
              <w:rPr>
                <w:rFonts w:ascii="Times New Roman" w:hAnsi="Times New Roman"/>
                <w:sz w:val="24"/>
                <w:szCs w:val="24"/>
              </w:rPr>
              <w:t>24.566.666</w:t>
            </w:r>
          </w:p>
        </w:tc>
      </w:tr>
      <w:tr w:rsidR="0003387A" w:rsidRPr="00A770A8" w14:paraId="41E6FEBA" w14:textId="77777777" w:rsidTr="00304D98">
        <w:trPr>
          <w:trHeight w:val="230"/>
          <w:jc w:val="center"/>
        </w:trPr>
        <w:tc>
          <w:tcPr>
            <w:tcW w:w="6731" w:type="dxa"/>
            <w:tcBorders>
              <w:top w:val="nil"/>
              <w:left w:val="single" w:sz="4" w:space="0" w:color="auto"/>
              <w:bottom w:val="single" w:sz="4" w:space="0" w:color="auto"/>
              <w:right w:val="single" w:sz="4" w:space="0" w:color="auto"/>
            </w:tcBorders>
            <w:shd w:val="clear" w:color="auto" w:fill="auto"/>
            <w:vAlign w:val="center"/>
            <w:hideMark/>
          </w:tcPr>
          <w:p w14:paraId="3D16D813" w14:textId="77777777" w:rsidR="0003387A" w:rsidRPr="00A770A8" w:rsidRDefault="0003387A" w:rsidP="0003387A">
            <w:pPr>
              <w:spacing w:before="120"/>
              <w:jc w:val="center"/>
              <w:rPr>
                <w:rFonts w:ascii="Times New Roman" w:hAnsi="Times New Roman"/>
                <w:b/>
                <w:sz w:val="24"/>
                <w:szCs w:val="24"/>
              </w:rPr>
            </w:pPr>
            <w:r w:rsidRPr="00A770A8">
              <w:rPr>
                <w:rFonts w:ascii="Times New Roman" w:hAnsi="Times New Roman"/>
                <w:b/>
                <w:sz w:val="24"/>
                <w:szCs w:val="24"/>
              </w:rPr>
              <w:t>Tổng cộng (VND)</w:t>
            </w:r>
          </w:p>
        </w:tc>
        <w:tc>
          <w:tcPr>
            <w:tcW w:w="3169" w:type="dxa"/>
            <w:tcBorders>
              <w:top w:val="single" w:sz="4" w:space="0" w:color="auto"/>
              <w:left w:val="nil"/>
              <w:bottom w:val="single" w:sz="4" w:space="0" w:color="auto"/>
              <w:right w:val="single" w:sz="4" w:space="0" w:color="auto"/>
            </w:tcBorders>
            <w:shd w:val="clear" w:color="000000" w:fill="auto"/>
          </w:tcPr>
          <w:p w14:paraId="306C32D6" w14:textId="10E104D1" w:rsidR="0003387A" w:rsidRPr="00A770A8" w:rsidRDefault="0003387A" w:rsidP="0003387A">
            <w:pPr>
              <w:spacing w:before="120"/>
              <w:jc w:val="center"/>
              <w:rPr>
                <w:rFonts w:ascii="Times New Roman" w:hAnsi="Times New Roman"/>
                <w:b/>
                <w:sz w:val="24"/>
                <w:szCs w:val="24"/>
              </w:rPr>
            </w:pPr>
            <w:r w:rsidRPr="00A770A8">
              <w:rPr>
                <w:rFonts w:ascii="Times New Roman" w:hAnsi="Times New Roman"/>
                <w:b/>
                <w:sz w:val="24"/>
                <w:szCs w:val="24"/>
              </w:rPr>
              <w:t>195.733.333</w:t>
            </w:r>
          </w:p>
        </w:tc>
      </w:tr>
    </w:tbl>
    <w:p w14:paraId="55C70E3E" w14:textId="77777777" w:rsidR="0085228D" w:rsidRPr="00A770A8" w:rsidRDefault="0085228D" w:rsidP="00920A63">
      <w:pPr>
        <w:spacing w:before="120"/>
        <w:jc w:val="both"/>
        <w:rPr>
          <w:rFonts w:ascii="Times New Roman" w:hAnsi="Times New Roman"/>
          <w:sz w:val="24"/>
          <w:szCs w:val="24"/>
        </w:rPr>
      </w:pPr>
    </w:p>
    <w:p w14:paraId="2D608BDC" w14:textId="77777777" w:rsidR="000A08C1" w:rsidRPr="00A770A8" w:rsidRDefault="003F0046" w:rsidP="00920A63">
      <w:pPr>
        <w:spacing w:before="120"/>
        <w:jc w:val="both"/>
        <w:rPr>
          <w:rFonts w:ascii="Times New Roman" w:hAnsi="Times New Roman"/>
          <w:sz w:val="24"/>
          <w:szCs w:val="24"/>
        </w:rPr>
      </w:pPr>
      <w:r w:rsidRPr="00A770A8">
        <w:rPr>
          <w:rFonts w:ascii="Times New Roman" w:hAnsi="Times New Roman"/>
          <w:sz w:val="24"/>
          <w:szCs w:val="24"/>
        </w:rPr>
        <w:t xml:space="preserve">d) Đánh giá khả năng duy trì hệ thống kiểm soát nội bộ, quản trị rủi ro, tính bảo mật, hạ tầng cơ sở vật chất kỹ thuật, hệ thống dự phòng nóng, hệ thống dư phòng thảm họa... của bên nhận ủy quyền, bảo đảm hoạt động ủy quyền được thực hiện thông suốt, không gây ảnh hưởng tới hoạt động đầu tư của nhà đầu </w:t>
      </w:r>
      <w:r w:rsidR="00FE3294" w:rsidRPr="00A770A8">
        <w:rPr>
          <w:rFonts w:ascii="Times New Roman" w:hAnsi="Times New Roman"/>
          <w:sz w:val="24"/>
          <w:szCs w:val="24"/>
        </w:rPr>
        <w:t>tư:</w:t>
      </w:r>
    </w:p>
    <w:p w14:paraId="507A5736" w14:textId="7566E9B4" w:rsidR="003F0046" w:rsidRPr="00A770A8" w:rsidRDefault="000A08C1" w:rsidP="00920A63">
      <w:pPr>
        <w:spacing w:before="120"/>
        <w:jc w:val="both"/>
        <w:rPr>
          <w:rFonts w:ascii="Times New Roman" w:hAnsi="Times New Roman"/>
          <w:sz w:val="24"/>
          <w:szCs w:val="24"/>
        </w:rPr>
      </w:pPr>
      <w:r w:rsidRPr="00A770A8">
        <w:rPr>
          <w:rFonts w:ascii="Times New Roman" w:hAnsi="Times New Roman"/>
          <w:sz w:val="24"/>
          <w:szCs w:val="24"/>
        </w:rPr>
        <w:t>Theo ghi nhận của C</w:t>
      </w:r>
      <w:r w:rsidR="000549F2" w:rsidRPr="00A770A8">
        <w:rPr>
          <w:rFonts w:ascii="Times New Roman" w:hAnsi="Times New Roman"/>
          <w:sz w:val="24"/>
          <w:szCs w:val="24"/>
        </w:rPr>
        <w:t>ô</w:t>
      </w:r>
      <w:r w:rsidRPr="00A770A8">
        <w:rPr>
          <w:rFonts w:ascii="Times New Roman" w:hAnsi="Times New Roman"/>
          <w:sz w:val="24"/>
          <w:szCs w:val="24"/>
        </w:rPr>
        <w:t>ng ty Quản lý quỹ, bên nhận Ủy quyền đáp ứng được yêu cầu về khả năng</w:t>
      </w:r>
      <w:r w:rsidR="000549F2" w:rsidRPr="00A770A8">
        <w:rPr>
          <w:rFonts w:ascii="Times New Roman" w:hAnsi="Times New Roman"/>
          <w:sz w:val="24"/>
          <w:szCs w:val="24"/>
        </w:rPr>
        <w:t xml:space="preserve"> duy trì hệ thống kiểm soát nội bộ, quản trị rủi ro, tính bảo mật, hạ tầng cơ sở vật chất kỹ thuật, hệ thống dự phòng nóng, hệ thống dư phòng thảm họa...bảo đảm hoạt </w:t>
      </w:r>
      <w:r w:rsidR="00BC4063" w:rsidRPr="00A770A8">
        <w:rPr>
          <w:rFonts w:ascii="Times New Roman" w:hAnsi="Times New Roman"/>
          <w:sz w:val="24"/>
          <w:szCs w:val="24"/>
        </w:rPr>
        <w:t>động ủy quyền được thực hiện thô</w:t>
      </w:r>
      <w:r w:rsidR="000549F2" w:rsidRPr="00A770A8">
        <w:rPr>
          <w:rFonts w:ascii="Times New Roman" w:hAnsi="Times New Roman"/>
          <w:sz w:val="24"/>
          <w:szCs w:val="24"/>
        </w:rPr>
        <w:t>ng suốt, không gây ảnh hưởng tới hoạt động đầu tư của Nhà đầu tư.</w:t>
      </w:r>
    </w:p>
    <w:p w14:paraId="56417867" w14:textId="77777777" w:rsidR="000A08C1" w:rsidRPr="00A770A8" w:rsidRDefault="000A08C1" w:rsidP="00920A63">
      <w:pPr>
        <w:spacing w:before="120"/>
        <w:jc w:val="both"/>
        <w:rPr>
          <w:rFonts w:ascii="Times New Roman" w:hAnsi="Times New Roman"/>
          <w:sz w:val="24"/>
          <w:szCs w:val="24"/>
        </w:rPr>
      </w:pPr>
    </w:p>
    <w:tbl>
      <w:tblPr>
        <w:tblW w:w="0" w:type="auto"/>
        <w:tblLook w:val="01E0" w:firstRow="1" w:lastRow="1" w:firstColumn="1" w:lastColumn="1" w:noHBand="0" w:noVBand="0"/>
      </w:tblPr>
      <w:tblGrid>
        <w:gridCol w:w="4988"/>
        <w:gridCol w:w="4988"/>
      </w:tblGrid>
      <w:tr w:rsidR="003F0046" w:rsidRPr="00920A63" w14:paraId="7E6BADD5" w14:textId="77777777" w:rsidTr="0097011E">
        <w:tc>
          <w:tcPr>
            <w:tcW w:w="4988" w:type="dxa"/>
          </w:tcPr>
          <w:p w14:paraId="2B9D504D" w14:textId="77777777" w:rsidR="003F0046" w:rsidRPr="00A770A8" w:rsidRDefault="003F0046" w:rsidP="00920A63">
            <w:pPr>
              <w:spacing w:before="120"/>
              <w:rPr>
                <w:rFonts w:ascii="Times New Roman" w:hAnsi="Times New Roman"/>
                <w:sz w:val="24"/>
                <w:szCs w:val="24"/>
              </w:rPr>
            </w:pPr>
          </w:p>
        </w:tc>
        <w:tc>
          <w:tcPr>
            <w:tcW w:w="4988" w:type="dxa"/>
          </w:tcPr>
          <w:p w14:paraId="65BF0CD3" w14:textId="32D54DD0" w:rsidR="00A770A8" w:rsidRDefault="00A770A8" w:rsidP="00920A63">
            <w:pPr>
              <w:spacing w:before="120"/>
              <w:jc w:val="center"/>
              <w:rPr>
                <w:rFonts w:ascii="Times New Roman" w:hAnsi="Times New Roman"/>
                <w:b/>
                <w:sz w:val="24"/>
                <w:szCs w:val="24"/>
              </w:rPr>
            </w:pPr>
            <w:r>
              <w:rPr>
                <w:rFonts w:ascii="Times New Roman" w:hAnsi="Times New Roman"/>
                <w:b/>
                <w:sz w:val="24"/>
                <w:szCs w:val="24"/>
              </w:rPr>
              <w:t>TP.HCM, ngày 14 tháng 8 năm 2019</w:t>
            </w:r>
            <w:bookmarkStart w:id="2" w:name="_GoBack"/>
            <w:bookmarkEnd w:id="2"/>
          </w:p>
          <w:p w14:paraId="4D1E7409" w14:textId="09D5AF9F" w:rsidR="003F0046" w:rsidRPr="00A770A8" w:rsidRDefault="003F0046" w:rsidP="00920A63">
            <w:pPr>
              <w:spacing w:before="120"/>
              <w:jc w:val="center"/>
              <w:rPr>
                <w:rFonts w:ascii="Times New Roman" w:hAnsi="Times New Roman"/>
                <w:b/>
                <w:sz w:val="24"/>
                <w:szCs w:val="24"/>
              </w:rPr>
            </w:pPr>
            <w:r w:rsidRPr="00A770A8">
              <w:rPr>
                <w:rFonts w:ascii="Times New Roman" w:hAnsi="Times New Roman"/>
                <w:b/>
                <w:sz w:val="24"/>
                <w:szCs w:val="24"/>
              </w:rPr>
              <w:t>Giám đốc Công ty quản lý quỹ</w:t>
            </w:r>
          </w:p>
          <w:p w14:paraId="214148DC" w14:textId="077C318C" w:rsidR="00B4531A" w:rsidRPr="00A770A8" w:rsidRDefault="00B4531A" w:rsidP="00920A63">
            <w:pPr>
              <w:spacing w:before="120"/>
              <w:jc w:val="center"/>
              <w:rPr>
                <w:rFonts w:ascii="Times New Roman" w:hAnsi="Times New Roman"/>
                <w:b/>
                <w:i/>
                <w:sz w:val="24"/>
                <w:szCs w:val="24"/>
              </w:rPr>
            </w:pPr>
          </w:p>
          <w:p w14:paraId="4285708C" w14:textId="143B768A" w:rsidR="000549F2" w:rsidRPr="00A770A8" w:rsidRDefault="000549F2" w:rsidP="00920A63">
            <w:pPr>
              <w:spacing w:before="120"/>
              <w:jc w:val="center"/>
              <w:rPr>
                <w:rFonts w:ascii="Times New Roman" w:hAnsi="Times New Roman"/>
                <w:b/>
                <w:i/>
                <w:sz w:val="24"/>
                <w:szCs w:val="24"/>
              </w:rPr>
            </w:pPr>
          </w:p>
          <w:p w14:paraId="483F5124" w14:textId="4018B715" w:rsidR="000549F2" w:rsidRPr="00A770A8" w:rsidRDefault="000549F2" w:rsidP="00920A63">
            <w:pPr>
              <w:spacing w:before="120"/>
              <w:jc w:val="center"/>
              <w:rPr>
                <w:rFonts w:ascii="Times New Roman" w:hAnsi="Times New Roman"/>
                <w:b/>
                <w:i/>
                <w:sz w:val="24"/>
                <w:szCs w:val="24"/>
              </w:rPr>
            </w:pPr>
          </w:p>
          <w:p w14:paraId="0F3474C7" w14:textId="6A70A918" w:rsidR="000549F2" w:rsidRPr="00A770A8" w:rsidRDefault="000549F2" w:rsidP="00920A63">
            <w:pPr>
              <w:spacing w:before="120"/>
              <w:jc w:val="center"/>
              <w:rPr>
                <w:rFonts w:ascii="Times New Roman" w:hAnsi="Times New Roman"/>
                <w:b/>
                <w:i/>
                <w:sz w:val="24"/>
                <w:szCs w:val="24"/>
              </w:rPr>
            </w:pPr>
          </w:p>
          <w:p w14:paraId="7F13DD66" w14:textId="0A5A09FA" w:rsidR="000549F2" w:rsidRPr="00920A63" w:rsidRDefault="000549F2" w:rsidP="00920A63">
            <w:pPr>
              <w:spacing w:before="120"/>
              <w:jc w:val="center"/>
              <w:rPr>
                <w:rFonts w:ascii="Times New Roman" w:hAnsi="Times New Roman"/>
                <w:b/>
                <w:sz w:val="24"/>
                <w:szCs w:val="24"/>
              </w:rPr>
            </w:pPr>
            <w:r w:rsidRPr="00A770A8">
              <w:rPr>
                <w:rFonts w:ascii="Times New Roman" w:hAnsi="Times New Roman"/>
                <w:b/>
                <w:sz w:val="24"/>
                <w:szCs w:val="24"/>
              </w:rPr>
              <w:t>Lê Thị Hồng Thái</w:t>
            </w:r>
          </w:p>
          <w:p w14:paraId="7AB2A29F" w14:textId="77777777" w:rsidR="000549F2" w:rsidRPr="00920A63" w:rsidRDefault="000549F2" w:rsidP="00920A63">
            <w:pPr>
              <w:spacing w:before="120"/>
              <w:jc w:val="center"/>
              <w:rPr>
                <w:rFonts w:ascii="Times New Roman" w:hAnsi="Times New Roman"/>
                <w:b/>
                <w:i/>
                <w:sz w:val="24"/>
                <w:szCs w:val="24"/>
              </w:rPr>
            </w:pPr>
          </w:p>
          <w:p w14:paraId="6094EF45" w14:textId="77777777" w:rsidR="00B4531A" w:rsidRPr="00920A63" w:rsidRDefault="00B4531A" w:rsidP="00920A63">
            <w:pPr>
              <w:spacing w:before="120"/>
              <w:jc w:val="center"/>
              <w:rPr>
                <w:rFonts w:ascii="Times New Roman" w:hAnsi="Times New Roman"/>
                <w:i/>
                <w:sz w:val="24"/>
                <w:szCs w:val="24"/>
              </w:rPr>
            </w:pPr>
          </w:p>
          <w:p w14:paraId="4CAC119E" w14:textId="77777777" w:rsidR="00B4531A" w:rsidRPr="00920A63" w:rsidRDefault="00B4531A" w:rsidP="00920A63">
            <w:pPr>
              <w:spacing w:before="120"/>
              <w:jc w:val="center"/>
              <w:rPr>
                <w:rFonts w:ascii="Times New Roman" w:hAnsi="Times New Roman"/>
                <w:i/>
                <w:sz w:val="24"/>
                <w:szCs w:val="24"/>
              </w:rPr>
            </w:pPr>
          </w:p>
          <w:p w14:paraId="002CB54A" w14:textId="77777777" w:rsidR="00B4531A" w:rsidRPr="00920A63" w:rsidRDefault="00B4531A" w:rsidP="00920A63">
            <w:pPr>
              <w:spacing w:before="120"/>
              <w:jc w:val="center"/>
              <w:rPr>
                <w:rFonts w:ascii="Times New Roman" w:hAnsi="Times New Roman"/>
                <w:i/>
                <w:sz w:val="24"/>
                <w:szCs w:val="24"/>
              </w:rPr>
            </w:pPr>
          </w:p>
          <w:p w14:paraId="4E339805" w14:textId="77777777" w:rsidR="00B4531A" w:rsidRPr="00920A63" w:rsidRDefault="00B4531A" w:rsidP="00920A63">
            <w:pPr>
              <w:spacing w:before="120"/>
              <w:rPr>
                <w:rFonts w:ascii="Times New Roman" w:hAnsi="Times New Roman"/>
                <w:i/>
                <w:sz w:val="24"/>
                <w:szCs w:val="24"/>
              </w:rPr>
            </w:pPr>
          </w:p>
          <w:p w14:paraId="2C5BE43E" w14:textId="77777777" w:rsidR="00B4531A" w:rsidRPr="00920A63" w:rsidRDefault="00B4531A" w:rsidP="00920A63">
            <w:pPr>
              <w:spacing w:before="120"/>
              <w:jc w:val="center"/>
              <w:rPr>
                <w:rFonts w:ascii="Times New Roman" w:hAnsi="Times New Roman"/>
                <w:i/>
                <w:sz w:val="24"/>
                <w:szCs w:val="24"/>
              </w:rPr>
            </w:pPr>
          </w:p>
          <w:p w14:paraId="5C4FDA04" w14:textId="77777777" w:rsidR="00B4531A" w:rsidRPr="00920A63" w:rsidRDefault="00B4531A" w:rsidP="00920A63">
            <w:pPr>
              <w:spacing w:before="120"/>
              <w:jc w:val="center"/>
              <w:rPr>
                <w:rFonts w:ascii="Times New Roman" w:hAnsi="Times New Roman"/>
                <w:sz w:val="24"/>
                <w:szCs w:val="24"/>
              </w:rPr>
            </w:pPr>
          </w:p>
        </w:tc>
      </w:tr>
    </w:tbl>
    <w:p w14:paraId="03F8B12E" w14:textId="77777777" w:rsidR="006F7518" w:rsidRPr="00920A63" w:rsidRDefault="00A770A8" w:rsidP="00920A63">
      <w:pPr>
        <w:rPr>
          <w:rFonts w:ascii="Times New Roman" w:hAnsi="Times New Roman"/>
          <w:sz w:val="24"/>
          <w:szCs w:val="24"/>
        </w:rPr>
      </w:pPr>
    </w:p>
    <w:sectPr w:rsidR="006F7518" w:rsidRPr="00920A63" w:rsidSect="00920A63">
      <w:pgSz w:w="12240" w:h="15840"/>
      <w:pgMar w:top="117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5A39"/>
    <w:multiLevelType w:val="hybridMultilevel"/>
    <w:tmpl w:val="78FE05DE"/>
    <w:lvl w:ilvl="0" w:tplc="7E6446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96338"/>
    <w:multiLevelType w:val="hybridMultilevel"/>
    <w:tmpl w:val="F024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1928"/>
    <w:multiLevelType w:val="hybridMultilevel"/>
    <w:tmpl w:val="B7B89ED8"/>
    <w:lvl w:ilvl="0" w:tplc="04090005">
      <w:start w:val="1"/>
      <w:numFmt w:val="bullet"/>
      <w:lvlText w:val=""/>
      <w:lvlJc w:val="left"/>
      <w:pPr>
        <w:ind w:left="3414" w:hanging="360"/>
      </w:pPr>
      <w:rPr>
        <w:rFonts w:ascii="Wingdings" w:hAnsi="Wingdings"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3" w15:restartNumberingAfterBreak="0">
    <w:nsid w:val="1154078C"/>
    <w:multiLevelType w:val="hybridMultilevel"/>
    <w:tmpl w:val="C31CC5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21517"/>
    <w:multiLevelType w:val="hybridMultilevel"/>
    <w:tmpl w:val="A002D2F8"/>
    <w:lvl w:ilvl="0" w:tplc="39B8D4AE">
      <w:start w:val="1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87BD8"/>
    <w:multiLevelType w:val="hybridMultilevel"/>
    <w:tmpl w:val="B492C5A8"/>
    <w:lvl w:ilvl="0" w:tplc="65CEEB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5546D"/>
    <w:multiLevelType w:val="hybridMultilevel"/>
    <w:tmpl w:val="23B2D7FA"/>
    <w:lvl w:ilvl="0" w:tplc="48090017">
      <w:start w:val="1"/>
      <w:numFmt w:val="lowerLetter"/>
      <w:lvlText w:val="%1)"/>
      <w:lvlJc w:val="left"/>
      <w:pPr>
        <w:ind w:left="540" w:hanging="360"/>
      </w:pPr>
      <w:rPr>
        <w:rFonts w:hint="default"/>
      </w:rPr>
    </w:lvl>
    <w:lvl w:ilvl="1" w:tplc="48090019" w:tentative="1">
      <w:start w:val="1"/>
      <w:numFmt w:val="lowerLetter"/>
      <w:lvlText w:val="%2."/>
      <w:lvlJc w:val="left"/>
      <w:pPr>
        <w:ind w:left="1260" w:hanging="360"/>
      </w:pPr>
    </w:lvl>
    <w:lvl w:ilvl="2" w:tplc="4809001B" w:tentative="1">
      <w:start w:val="1"/>
      <w:numFmt w:val="lowerRoman"/>
      <w:lvlText w:val="%3."/>
      <w:lvlJc w:val="right"/>
      <w:pPr>
        <w:ind w:left="1980" w:hanging="180"/>
      </w:pPr>
    </w:lvl>
    <w:lvl w:ilvl="3" w:tplc="4809000F" w:tentative="1">
      <w:start w:val="1"/>
      <w:numFmt w:val="decimal"/>
      <w:lvlText w:val="%4."/>
      <w:lvlJc w:val="left"/>
      <w:pPr>
        <w:ind w:left="2700" w:hanging="360"/>
      </w:pPr>
    </w:lvl>
    <w:lvl w:ilvl="4" w:tplc="48090019" w:tentative="1">
      <w:start w:val="1"/>
      <w:numFmt w:val="lowerLetter"/>
      <w:lvlText w:val="%5."/>
      <w:lvlJc w:val="left"/>
      <w:pPr>
        <w:ind w:left="3420" w:hanging="360"/>
      </w:pPr>
    </w:lvl>
    <w:lvl w:ilvl="5" w:tplc="4809001B" w:tentative="1">
      <w:start w:val="1"/>
      <w:numFmt w:val="lowerRoman"/>
      <w:lvlText w:val="%6."/>
      <w:lvlJc w:val="right"/>
      <w:pPr>
        <w:ind w:left="4140" w:hanging="180"/>
      </w:pPr>
    </w:lvl>
    <w:lvl w:ilvl="6" w:tplc="4809000F" w:tentative="1">
      <w:start w:val="1"/>
      <w:numFmt w:val="decimal"/>
      <w:lvlText w:val="%7."/>
      <w:lvlJc w:val="left"/>
      <w:pPr>
        <w:ind w:left="4860" w:hanging="360"/>
      </w:pPr>
    </w:lvl>
    <w:lvl w:ilvl="7" w:tplc="48090019" w:tentative="1">
      <w:start w:val="1"/>
      <w:numFmt w:val="lowerLetter"/>
      <w:lvlText w:val="%8."/>
      <w:lvlJc w:val="left"/>
      <w:pPr>
        <w:ind w:left="5580" w:hanging="360"/>
      </w:pPr>
    </w:lvl>
    <w:lvl w:ilvl="8" w:tplc="4809001B" w:tentative="1">
      <w:start w:val="1"/>
      <w:numFmt w:val="lowerRoman"/>
      <w:lvlText w:val="%9."/>
      <w:lvlJc w:val="right"/>
      <w:pPr>
        <w:ind w:left="6300" w:hanging="180"/>
      </w:pPr>
    </w:lvl>
  </w:abstractNum>
  <w:abstractNum w:abstractNumId="7" w15:restartNumberingAfterBreak="0">
    <w:nsid w:val="2BE52B9D"/>
    <w:multiLevelType w:val="hybridMultilevel"/>
    <w:tmpl w:val="06A64720"/>
    <w:lvl w:ilvl="0" w:tplc="4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2125BB"/>
    <w:multiLevelType w:val="multilevel"/>
    <w:tmpl w:val="3DAA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B66683"/>
    <w:multiLevelType w:val="hybridMultilevel"/>
    <w:tmpl w:val="F8A439D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518933B9"/>
    <w:multiLevelType w:val="hybridMultilevel"/>
    <w:tmpl w:val="6A0EFEC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546F7578"/>
    <w:multiLevelType w:val="hybridMultilevel"/>
    <w:tmpl w:val="792E7EC6"/>
    <w:lvl w:ilvl="0" w:tplc="E696A9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02648"/>
    <w:multiLevelType w:val="hybridMultilevel"/>
    <w:tmpl w:val="534AD4F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EB87A5F"/>
    <w:multiLevelType w:val="hybridMultilevel"/>
    <w:tmpl w:val="EF5EB0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E4BAC"/>
    <w:multiLevelType w:val="hybridMultilevel"/>
    <w:tmpl w:val="AFA28EBC"/>
    <w:lvl w:ilvl="0" w:tplc="CDEED1D6">
      <w:start w:val="1"/>
      <w:numFmt w:val="lowerRoman"/>
      <w:lvlText w:val="(%1)"/>
      <w:lvlJc w:val="left"/>
      <w:pPr>
        <w:ind w:left="780" w:hanging="720"/>
      </w:pPr>
      <w:rPr>
        <w:rFonts w:hint="default"/>
      </w:rPr>
    </w:lvl>
    <w:lvl w:ilvl="1" w:tplc="48090019" w:tentative="1">
      <w:start w:val="1"/>
      <w:numFmt w:val="lowerLetter"/>
      <w:lvlText w:val="%2."/>
      <w:lvlJc w:val="left"/>
      <w:pPr>
        <w:ind w:left="1140" w:hanging="360"/>
      </w:pPr>
    </w:lvl>
    <w:lvl w:ilvl="2" w:tplc="4809001B" w:tentative="1">
      <w:start w:val="1"/>
      <w:numFmt w:val="lowerRoman"/>
      <w:lvlText w:val="%3."/>
      <w:lvlJc w:val="right"/>
      <w:pPr>
        <w:ind w:left="1860" w:hanging="180"/>
      </w:pPr>
    </w:lvl>
    <w:lvl w:ilvl="3" w:tplc="4809000F" w:tentative="1">
      <w:start w:val="1"/>
      <w:numFmt w:val="decimal"/>
      <w:lvlText w:val="%4."/>
      <w:lvlJc w:val="left"/>
      <w:pPr>
        <w:ind w:left="2580" w:hanging="360"/>
      </w:pPr>
    </w:lvl>
    <w:lvl w:ilvl="4" w:tplc="48090019" w:tentative="1">
      <w:start w:val="1"/>
      <w:numFmt w:val="lowerLetter"/>
      <w:lvlText w:val="%5."/>
      <w:lvlJc w:val="left"/>
      <w:pPr>
        <w:ind w:left="3300" w:hanging="360"/>
      </w:pPr>
    </w:lvl>
    <w:lvl w:ilvl="5" w:tplc="4809001B" w:tentative="1">
      <w:start w:val="1"/>
      <w:numFmt w:val="lowerRoman"/>
      <w:lvlText w:val="%6."/>
      <w:lvlJc w:val="right"/>
      <w:pPr>
        <w:ind w:left="4020" w:hanging="180"/>
      </w:pPr>
    </w:lvl>
    <w:lvl w:ilvl="6" w:tplc="4809000F" w:tentative="1">
      <w:start w:val="1"/>
      <w:numFmt w:val="decimal"/>
      <w:lvlText w:val="%7."/>
      <w:lvlJc w:val="left"/>
      <w:pPr>
        <w:ind w:left="4740" w:hanging="360"/>
      </w:pPr>
    </w:lvl>
    <w:lvl w:ilvl="7" w:tplc="48090019" w:tentative="1">
      <w:start w:val="1"/>
      <w:numFmt w:val="lowerLetter"/>
      <w:lvlText w:val="%8."/>
      <w:lvlJc w:val="left"/>
      <w:pPr>
        <w:ind w:left="5460" w:hanging="360"/>
      </w:pPr>
    </w:lvl>
    <w:lvl w:ilvl="8" w:tplc="4809001B" w:tentative="1">
      <w:start w:val="1"/>
      <w:numFmt w:val="lowerRoman"/>
      <w:lvlText w:val="%9."/>
      <w:lvlJc w:val="right"/>
      <w:pPr>
        <w:ind w:left="6180" w:hanging="180"/>
      </w:pPr>
    </w:lvl>
  </w:abstractNum>
  <w:abstractNum w:abstractNumId="15" w15:restartNumberingAfterBreak="0">
    <w:nsid w:val="71CA1D37"/>
    <w:multiLevelType w:val="hybridMultilevel"/>
    <w:tmpl w:val="2FD430C0"/>
    <w:lvl w:ilvl="0" w:tplc="C0446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B846EF"/>
    <w:multiLevelType w:val="hybridMultilevel"/>
    <w:tmpl w:val="C56684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3"/>
  </w:num>
  <w:num w:numId="3">
    <w:abstractNumId w:val="13"/>
  </w:num>
  <w:num w:numId="4">
    <w:abstractNumId w:val="5"/>
  </w:num>
  <w:num w:numId="5">
    <w:abstractNumId w:val="15"/>
  </w:num>
  <w:num w:numId="6">
    <w:abstractNumId w:val="11"/>
  </w:num>
  <w:num w:numId="7">
    <w:abstractNumId w:val="0"/>
  </w:num>
  <w:num w:numId="8">
    <w:abstractNumId w:val="8"/>
  </w:num>
  <w:num w:numId="9">
    <w:abstractNumId w:val="7"/>
  </w:num>
  <w:num w:numId="10">
    <w:abstractNumId w:val="9"/>
  </w:num>
  <w:num w:numId="11">
    <w:abstractNumId w:val="2"/>
  </w:num>
  <w:num w:numId="12">
    <w:abstractNumId w:val="1"/>
  </w:num>
  <w:num w:numId="13">
    <w:abstractNumId w:val="14"/>
  </w:num>
  <w:num w:numId="14">
    <w:abstractNumId w:val="12"/>
  </w:num>
  <w:num w:numId="15">
    <w:abstractNumId w:val="16"/>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046"/>
    <w:rsid w:val="00004C5D"/>
    <w:rsid w:val="00021FF6"/>
    <w:rsid w:val="0003387A"/>
    <w:rsid w:val="00034B0F"/>
    <w:rsid w:val="0003697F"/>
    <w:rsid w:val="00036B61"/>
    <w:rsid w:val="000435CC"/>
    <w:rsid w:val="000460E7"/>
    <w:rsid w:val="00047E57"/>
    <w:rsid w:val="00051B60"/>
    <w:rsid w:val="000549F2"/>
    <w:rsid w:val="0008061C"/>
    <w:rsid w:val="000A08C1"/>
    <w:rsid w:val="000B050B"/>
    <w:rsid w:val="000B6982"/>
    <w:rsid w:val="000D44D7"/>
    <w:rsid w:val="000E27FD"/>
    <w:rsid w:val="000E7B44"/>
    <w:rsid w:val="000F5616"/>
    <w:rsid w:val="00100E1C"/>
    <w:rsid w:val="00106CDB"/>
    <w:rsid w:val="00120C2E"/>
    <w:rsid w:val="001305DB"/>
    <w:rsid w:val="001335C5"/>
    <w:rsid w:val="00133983"/>
    <w:rsid w:val="001500D9"/>
    <w:rsid w:val="00166ABC"/>
    <w:rsid w:val="00172FA5"/>
    <w:rsid w:val="00173D8B"/>
    <w:rsid w:val="00184A46"/>
    <w:rsid w:val="00187782"/>
    <w:rsid w:val="0019545A"/>
    <w:rsid w:val="001C509D"/>
    <w:rsid w:val="001E4AA0"/>
    <w:rsid w:val="001F1A7A"/>
    <w:rsid w:val="001F675C"/>
    <w:rsid w:val="00206F88"/>
    <w:rsid w:val="00217BF3"/>
    <w:rsid w:val="0022266E"/>
    <w:rsid w:val="0022661D"/>
    <w:rsid w:val="002534DA"/>
    <w:rsid w:val="00253729"/>
    <w:rsid w:val="002902F2"/>
    <w:rsid w:val="002A157D"/>
    <w:rsid w:val="002A64D6"/>
    <w:rsid w:val="002B70C4"/>
    <w:rsid w:val="002C18B1"/>
    <w:rsid w:val="002C2611"/>
    <w:rsid w:val="002C62AC"/>
    <w:rsid w:val="002D6830"/>
    <w:rsid w:val="002E0BCE"/>
    <w:rsid w:val="002E3F2B"/>
    <w:rsid w:val="002E7115"/>
    <w:rsid w:val="002F23E0"/>
    <w:rsid w:val="00303F0D"/>
    <w:rsid w:val="00304D08"/>
    <w:rsid w:val="00304D98"/>
    <w:rsid w:val="0031567D"/>
    <w:rsid w:val="003230EE"/>
    <w:rsid w:val="00323EC8"/>
    <w:rsid w:val="00333C0E"/>
    <w:rsid w:val="00333F08"/>
    <w:rsid w:val="00333F89"/>
    <w:rsid w:val="003422E5"/>
    <w:rsid w:val="00363C80"/>
    <w:rsid w:val="00375101"/>
    <w:rsid w:val="00381E33"/>
    <w:rsid w:val="003967DB"/>
    <w:rsid w:val="003A28E7"/>
    <w:rsid w:val="003F0046"/>
    <w:rsid w:val="00402789"/>
    <w:rsid w:val="004038DA"/>
    <w:rsid w:val="00416AB1"/>
    <w:rsid w:val="00443AB9"/>
    <w:rsid w:val="00462285"/>
    <w:rsid w:val="004634BE"/>
    <w:rsid w:val="00466151"/>
    <w:rsid w:val="004718CA"/>
    <w:rsid w:val="00486A59"/>
    <w:rsid w:val="004A586E"/>
    <w:rsid w:val="004B281E"/>
    <w:rsid w:val="004C5125"/>
    <w:rsid w:val="004E6146"/>
    <w:rsid w:val="004F1FFB"/>
    <w:rsid w:val="0050731F"/>
    <w:rsid w:val="005264FE"/>
    <w:rsid w:val="00532C1E"/>
    <w:rsid w:val="00545B49"/>
    <w:rsid w:val="005558A1"/>
    <w:rsid w:val="00576849"/>
    <w:rsid w:val="005B6283"/>
    <w:rsid w:val="005C0AA3"/>
    <w:rsid w:val="005D30C3"/>
    <w:rsid w:val="005F375C"/>
    <w:rsid w:val="005F51A6"/>
    <w:rsid w:val="005F76A2"/>
    <w:rsid w:val="006027ED"/>
    <w:rsid w:val="00612BC7"/>
    <w:rsid w:val="00627079"/>
    <w:rsid w:val="00634601"/>
    <w:rsid w:val="00637E1F"/>
    <w:rsid w:val="00656B57"/>
    <w:rsid w:val="00666DE0"/>
    <w:rsid w:val="00670669"/>
    <w:rsid w:val="006712E4"/>
    <w:rsid w:val="00684A23"/>
    <w:rsid w:val="0069610C"/>
    <w:rsid w:val="006B2355"/>
    <w:rsid w:val="006B7A58"/>
    <w:rsid w:val="006C4F21"/>
    <w:rsid w:val="006D5D37"/>
    <w:rsid w:val="006F1C95"/>
    <w:rsid w:val="007119E0"/>
    <w:rsid w:val="0072245F"/>
    <w:rsid w:val="00731BB3"/>
    <w:rsid w:val="00732084"/>
    <w:rsid w:val="0073279F"/>
    <w:rsid w:val="00746747"/>
    <w:rsid w:val="007625CC"/>
    <w:rsid w:val="00782E24"/>
    <w:rsid w:val="007A3DAD"/>
    <w:rsid w:val="007B7E03"/>
    <w:rsid w:val="007C4314"/>
    <w:rsid w:val="007C7FC8"/>
    <w:rsid w:val="008113E9"/>
    <w:rsid w:val="00824440"/>
    <w:rsid w:val="00825E64"/>
    <w:rsid w:val="0084287E"/>
    <w:rsid w:val="008463F5"/>
    <w:rsid w:val="0085228D"/>
    <w:rsid w:val="008753A6"/>
    <w:rsid w:val="008755A3"/>
    <w:rsid w:val="0087744D"/>
    <w:rsid w:val="00884C7C"/>
    <w:rsid w:val="00885BD3"/>
    <w:rsid w:val="008B07E5"/>
    <w:rsid w:val="008B27C8"/>
    <w:rsid w:val="008B5780"/>
    <w:rsid w:val="008B58ED"/>
    <w:rsid w:val="008C0943"/>
    <w:rsid w:val="008D5A9F"/>
    <w:rsid w:val="008F0802"/>
    <w:rsid w:val="008F4856"/>
    <w:rsid w:val="008F56FA"/>
    <w:rsid w:val="00920A63"/>
    <w:rsid w:val="009241B2"/>
    <w:rsid w:val="00931277"/>
    <w:rsid w:val="009325E0"/>
    <w:rsid w:val="009503F1"/>
    <w:rsid w:val="009534CF"/>
    <w:rsid w:val="00956312"/>
    <w:rsid w:val="009710C5"/>
    <w:rsid w:val="00971FDD"/>
    <w:rsid w:val="009902E2"/>
    <w:rsid w:val="009A3BB9"/>
    <w:rsid w:val="009C0F9E"/>
    <w:rsid w:val="009C1BA6"/>
    <w:rsid w:val="009D2757"/>
    <w:rsid w:val="009D6DBC"/>
    <w:rsid w:val="009D7870"/>
    <w:rsid w:val="009F7150"/>
    <w:rsid w:val="00A06C3E"/>
    <w:rsid w:val="00A364E6"/>
    <w:rsid w:val="00A4293C"/>
    <w:rsid w:val="00A501CD"/>
    <w:rsid w:val="00A5797B"/>
    <w:rsid w:val="00A6562E"/>
    <w:rsid w:val="00A770A8"/>
    <w:rsid w:val="00A77A15"/>
    <w:rsid w:val="00A87439"/>
    <w:rsid w:val="00AB0F98"/>
    <w:rsid w:val="00AC22BF"/>
    <w:rsid w:val="00AE447B"/>
    <w:rsid w:val="00AE7489"/>
    <w:rsid w:val="00B27D1F"/>
    <w:rsid w:val="00B315CE"/>
    <w:rsid w:val="00B34784"/>
    <w:rsid w:val="00B4286B"/>
    <w:rsid w:val="00B4531A"/>
    <w:rsid w:val="00B51875"/>
    <w:rsid w:val="00B62781"/>
    <w:rsid w:val="00B62BE0"/>
    <w:rsid w:val="00B64BDA"/>
    <w:rsid w:val="00B779BF"/>
    <w:rsid w:val="00B87AD8"/>
    <w:rsid w:val="00B948CB"/>
    <w:rsid w:val="00BA03F7"/>
    <w:rsid w:val="00BA0865"/>
    <w:rsid w:val="00BA51D4"/>
    <w:rsid w:val="00BA6809"/>
    <w:rsid w:val="00BC13F0"/>
    <w:rsid w:val="00BC4063"/>
    <w:rsid w:val="00BD0547"/>
    <w:rsid w:val="00BE67B2"/>
    <w:rsid w:val="00BF2E66"/>
    <w:rsid w:val="00C22292"/>
    <w:rsid w:val="00C30B89"/>
    <w:rsid w:val="00C315AB"/>
    <w:rsid w:val="00C4302B"/>
    <w:rsid w:val="00C67A49"/>
    <w:rsid w:val="00C842D7"/>
    <w:rsid w:val="00C8649D"/>
    <w:rsid w:val="00C91CCA"/>
    <w:rsid w:val="00C94304"/>
    <w:rsid w:val="00CC5C82"/>
    <w:rsid w:val="00CE79FB"/>
    <w:rsid w:val="00CF6718"/>
    <w:rsid w:val="00D023C6"/>
    <w:rsid w:val="00D073A1"/>
    <w:rsid w:val="00D145A0"/>
    <w:rsid w:val="00D3517B"/>
    <w:rsid w:val="00D53D82"/>
    <w:rsid w:val="00D84EFB"/>
    <w:rsid w:val="00D8779A"/>
    <w:rsid w:val="00D95205"/>
    <w:rsid w:val="00DA558C"/>
    <w:rsid w:val="00DA6D74"/>
    <w:rsid w:val="00DB6CB3"/>
    <w:rsid w:val="00DC6CFF"/>
    <w:rsid w:val="00E26C0A"/>
    <w:rsid w:val="00E336A9"/>
    <w:rsid w:val="00E4512B"/>
    <w:rsid w:val="00E579E8"/>
    <w:rsid w:val="00E62BFD"/>
    <w:rsid w:val="00E65E77"/>
    <w:rsid w:val="00E77A50"/>
    <w:rsid w:val="00E83978"/>
    <w:rsid w:val="00E92618"/>
    <w:rsid w:val="00EB6DA8"/>
    <w:rsid w:val="00EC0461"/>
    <w:rsid w:val="00EF7BDA"/>
    <w:rsid w:val="00F05C43"/>
    <w:rsid w:val="00F13B7E"/>
    <w:rsid w:val="00F152ED"/>
    <w:rsid w:val="00F32A3D"/>
    <w:rsid w:val="00F533E7"/>
    <w:rsid w:val="00F54CF7"/>
    <w:rsid w:val="00F55574"/>
    <w:rsid w:val="00F734BB"/>
    <w:rsid w:val="00F80777"/>
    <w:rsid w:val="00F8343C"/>
    <w:rsid w:val="00F845D6"/>
    <w:rsid w:val="00F85702"/>
    <w:rsid w:val="00FA05CD"/>
    <w:rsid w:val="00FA6CEB"/>
    <w:rsid w:val="00FD4109"/>
    <w:rsid w:val="00FD4433"/>
    <w:rsid w:val="00FD49A5"/>
    <w:rsid w:val="00FE3294"/>
    <w:rsid w:val="00FF72CD"/>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88835"/>
  <w15:docId w15:val="{D94D3AFD-E78D-476A-AE26-7607C98B6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046"/>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nhideWhenUsed/>
    <w:qFormat/>
    <w:rsid w:val="004C5125"/>
    <w:pPr>
      <w:keepNext/>
      <w:spacing w:before="100" w:beforeAutospacing="1" w:after="120"/>
      <w:ind w:hanging="5"/>
      <w:outlineLvl w:val="1"/>
    </w:pPr>
    <w:rPr>
      <w:rFonts w:ascii="Calibri" w:eastAsiaTheme="minorHAnsi" w:hAnsi="Calibri" w:cstheme="minorBidi"/>
      <w:b/>
      <w:bCs/>
      <w:color w:val="000000"/>
      <w:sz w:val="22"/>
      <w:szCs w:val="22"/>
    </w:rPr>
  </w:style>
  <w:style w:type="paragraph" w:styleId="Heading3">
    <w:name w:val="heading 3"/>
    <w:basedOn w:val="Normal"/>
    <w:next w:val="Normal"/>
    <w:link w:val="Heading3Char"/>
    <w:unhideWhenUsed/>
    <w:qFormat/>
    <w:rsid w:val="004C5125"/>
    <w:pPr>
      <w:keepNext/>
      <w:spacing w:before="100" w:beforeAutospacing="1" w:after="120"/>
      <w:ind w:right="90" w:hanging="5"/>
      <w:jc w:val="right"/>
      <w:outlineLvl w:val="2"/>
    </w:pPr>
    <w:rPr>
      <w:rFonts w:ascii="Calibri" w:eastAsiaTheme="minorHAnsi" w:hAnsi="Calibri" w:cstheme="minorBidi"/>
      <w:b/>
      <w:bCs/>
      <w:color w:val="000000"/>
      <w:sz w:val="22"/>
      <w:szCs w:val="22"/>
    </w:rPr>
  </w:style>
  <w:style w:type="paragraph" w:styleId="Heading4">
    <w:name w:val="heading 4"/>
    <w:basedOn w:val="Normal"/>
    <w:next w:val="Normal"/>
    <w:link w:val="Heading4Char"/>
    <w:uiPriority w:val="9"/>
    <w:unhideWhenUsed/>
    <w:qFormat/>
    <w:rsid w:val="00100E1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00E1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E44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BA6"/>
    <w:pPr>
      <w:ind w:left="720"/>
      <w:contextualSpacing/>
    </w:pPr>
    <w:rPr>
      <w:rFonts w:ascii="Times New Roman" w:hAnsi="Times New Roman"/>
      <w:b/>
      <w:sz w:val="24"/>
      <w:szCs w:val="24"/>
    </w:rPr>
  </w:style>
  <w:style w:type="paragraph" w:customStyle="1" w:styleId="Default">
    <w:name w:val="Default"/>
    <w:rsid w:val="009C1B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rsid w:val="009C1BA6"/>
    <w:rPr>
      <w:sz w:val="16"/>
      <w:szCs w:val="16"/>
    </w:rPr>
  </w:style>
  <w:style w:type="paragraph" w:styleId="CommentText">
    <w:name w:val="annotation text"/>
    <w:basedOn w:val="Normal"/>
    <w:link w:val="CommentTextChar"/>
    <w:uiPriority w:val="99"/>
    <w:rsid w:val="009C1BA6"/>
    <w:rPr>
      <w:rFonts w:ascii="Times New Roman" w:hAnsi="Times New Roman"/>
    </w:rPr>
  </w:style>
  <w:style w:type="character" w:customStyle="1" w:styleId="CommentTextChar">
    <w:name w:val="Comment Text Char"/>
    <w:basedOn w:val="DefaultParagraphFont"/>
    <w:link w:val="CommentText"/>
    <w:uiPriority w:val="99"/>
    <w:rsid w:val="009C1B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C1BA6"/>
    <w:rPr>
      <w:rFonts w:ascii="Tahoma" w:hAnsi="Tahoma" w:cs="Tahoma"/>
      <w:sz w:val="16"/>
      <w:szCs w:val="16"/>
    </w:rPr>
  </w:style>
  <w:style w:type="character" w:customStyle="1" w:styleId="BalloonTextChar">
    <w:name w:val="Balloon Text Char"/>
    <w:basedOn w:val="DefaultParagraphFont"/>
    <w:link w:val="BalloonText"/>
    <w:uiPriority w:val="99"/>
    <w:semiHidden/>
    <w:rsid w:val="009C1BA6"/>
    <w:rPr>
      <w:rFonts w:ascii="Tahoma" w:eastAsia="Times New Roman" w:hAnsi="Tahoma" w:cs="Tahoma"/>
      <w:sz w:val="16"/>
      <w:szCs w:val="16"/>
    </w:rPr>
  </w:style>
  <w:style w:type="character" w:customStyle="1" w:styleId="Heading2Char">
    <w:name w:val="Heading 2 Char"/>
    <w:basedOn w:val="DefaultParagraphFont"/>
    <w:link w:val="Heading2"/>
    <w:rsid w:val="004C5125"/>
    <w:rPr>
      <w:rFonts w:ascii="Calibri" w:hAnsi="Calibri"/>
      <w:b/>
      <w:bCs/>
      <w:color w:val="000000"/>
    </w:rPr>
  </w:style>
  <w:style w:type="character" w:customStyle="1" w:styleId="Heading3Char">
    <w:name w:val="Heading 3 Char"/>
    <w:basedOn w:val="DefaultParagraphFont"/>
    <w:link w:val="Heading3"/>
    <w:rsid w:val="004C5125"/>
    <w:rPr>
      <w:rFonts w:ascii="Calibri" w:hAnsi="Calibri"/>
      <w:b/>
      <w:bCs/>
      <w:color w:val="000000"/>
    </w:rPr>
  </w:style>
  <w:style w:type="character" w:customStyle="1" w:styleId="Heading4Char">
    <w:name w:val="Heading 4 Char"/>
    <w:basedOn w:val="DefaultParagraphFont"/>
    <w:link w:val="Heading4"/>
    <w:uiPriority w:val="9"/>
    <w:rsid w:val="00100E1C"/>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rsid w:val="00100E1C"/>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AE447B"/>
    <w:rPr>
      <w:rFonts w:asciiTheme="majorHAnsi" w:eastAsiaTheme="majorEastAsia" w:hAnsiTheme="majorHAnsi" w:cstheme="majorBidi"/>
      <w:i/>
      <w:iCs/>
      <w:color w:val="243F60" w:themeColor="accent1" w:themeShade="7F"/>
      <w:sz w:val="20"/>
      <w:szCs w:val="20"/>
    </w:rPr>
  </w:style>
  <w:style w:type="paragraph" w:styleId="BodyTextIndent3">
    <w:name w:val="Body Text Indent 3"/>
    <w:basedOn w:val="Normal"/>
    <w:link w:val="BodyTextIndent3Char"/>
    <w:uiPriority w:val="99"/>
    <w:unhideWhenUsed/>
    <w:rsid w:val="00AE447B"/>
    <w:pPr>
      <w:autoSpaceDE w:val="0"/>
      <w:autoSpaceDN w:val="0"/>
      <w:adjustRightInd w:val="0"/>
      <w:ind w:left="540" w:hanging="270"/>
      <w:jc w:val="both"/>
    </w:pPr>
    <w:rPr>
      <w:rFonts w:ascii="Times New Roman" w:hAnsi="Times New Roman"/>
      <w:sz w:val="26"/>
      <w:szCs w:val="26"/>
    </w:rPr>
  </w:style>
  <w:style w:type="character" w:customStyle="1" w:styleId="BodyTextIndent3Char">
    <w:name w:val="Body Text Indent 3 Char"/>
    <w:basedOn w:val="DefaultParagraphFont"/>
    <w:link w:val="BodyTextIndent3"/>
    <w:uiPriority w:val="99"/>
    <w:rsid w:val="00AE447B"/>
    <w:rPr>
      <w:rFonts w:ascii="Times New Roman" w:eastAsia="Times New Roman" w:hAnsi="Times New Roman" w:cs="Times New Roman"/>
      <w:sz w:val="26"/>
      <w:szCs w:val="26"/>
    </w:rPr>
  </w:style>
  <w:style w:type="paragraph" w:styleId="NormalWeb">
    <w:name w:val="Normal (Web)"/>
    <w:basedOn w:val="Normal"/>
    <w:uiPriority w:val="99"/>
    <w:unhideWhenUsed/>
    <w:rsid w:val="0085228D"/>
    <w:pPr>
      <w:spacing w:before="100" w:beforeAutospacing="1" w:after="100" w:afterAutospacing="1"/>
    </w:pPr>
    <w:rPr>
      <w:rFonts w:ascii="Times New Roman" w:eastAsiaTheme="minorEastAsia" w:hAnsi="Times New Roman"/>
      <w:sz w:val="24"/>
      <w:szCs w:val="24"/>
    </w:rPr>
  </w:style>
  <w:style w:type="paragraph" w:styleId="CommentSubject">
    <w:name w:val="annotation subject"/>
    <w:basedOn w:val="CommentText"/>
    <w:next w:val="CommentText"/>
    <w:link w:val="CommentSubjectChar"/>
    <w:uiPriority w:val="99"/>
    <w:semiHidden/>
    <w:unhideWhenUsed/>
    <w:rsid w:val="008753A6"/>
    <w:rPr>
      <w:rFonts w:ascii="Arial" w:hAnsi="Arial"/>
      <w:b/>
      <w:bCs/>
    </w:rPr>
  </w:style>
  <w:style w:type="character" w:customStyle="1" w:styleId="CommentSubjectChar">
    <w:name w:val="Comment Subject Char"/>
    <w:basedOn w:val="CommentTextChar"/>
    <w:link w:val="CommentSubject"/>
    <w:uiPriority w:val="99"/>
    <w:semiHidden/>
    <w:rsid w:val="008753A6"/>
    <w:rPr>
      <w:rFonts w:ascii="Arial" w:eastAsia="Times New Roman" w:hAnsi="Arial" w:cs="Times New Roman"/>
      <w:b/>
      <w:bCs/>
      <w:sz w:val="20"/>
      <w:szCs w:val="20"/>
    </w:rPr>
  </w:style>
  <w:style w:type="table" w:styleId="TableGrid">
    <w:name w:val="Table Grid"/>
    <w:basedOn w:val="TableNormal"/>
    <w:uiPriority w:val="59"/>
    <w:unhideWhenUsed/>
    <w:rsid w:val="00375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36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3129">
      <w:bodyDiv w:val="1"/>
      <w:marLeft w:val="0"/>
      <w:marRight w:val="0"/>
      <w:marTop w:val="0"/>
      <w:marBottom w:val="0"/>
      <w:divBdr>
        <w:top w:val="none" w:sz="0" w:space="0" w:color="auto"/>
        <w:left w:val="none" w:sz="0" w:space="0" w:color="auto"/>
        <w:bottom w:val="none" w:sz="0" w:space="0" w:color="auto"/>
        <w:right w:val="none" w:sz="0" w:space="0" w:color="auto"/>
      </w:divBdr>
    </w:div>
    <w:div w:id="532771701">
      <w:bodyDiv w:val="1"/>
      <w:marLeft w:val="0"/>
      <w:marRight w:val="0"/>
      <w:marTop w:val="0"/>
      <w:marBottom w:val="0"/>
      <w:divBdr>
        <w:top w:val="none" w:sz="0" w:space="0" w:color="auto"/>
        <w:left w:val="none" w:sz="0" w:space="0" w:color="auto"/>
        <w:bottom w:val="none" w:sz="0" w:space="0" w:color="auto"/>
        <w:right w:val="none" w:sz="0" w:space="0" w:color="auto"/>
      </w:divBdr>
    </w:div>
    <w:div w:id="1517308222">
      <w:bodyDiv w:val="1"/>
      <w:marLeft w:val="0"/>
      <w:marRight w:val="0"/>
      <w:marTop w:val="0"/>
      <w:marBottom w:val="0"/>
      <w:divBdr>
        <w:top w:val="none" w:sz="0" w:space="0" w:color="auto"/>
        <w:left w:val="none" w:sz="0" w:space="0" w:color="auto"/>
        <w:bottom w:val="none" w:sz="0" w:space="0" w:color="auto"/>
        <w:right w:val="none" w:sz="0" w:space="0" w:color="auto"/>
      </w:divBdr>
    </w:div>
    <w:div w:id="1797599432">
      <w:bodyDiv w:val="1"/>
      <w:marLeft w:val="0"/>
      <w:marRight w:val="0"/>
      <w:marTop w:val="0"/>
      <w:marBottom w:val="0"/>
      <w:divBdr>
        <w:top w:val="none" w:sz="0" w:space="0" w:color="auto"/>
        <w:left w:val="none" w:sz="0" w:space="0" w:color="auto"/>
        <w:bottom w:val="none" w:sz="0" w:space="0" w:color="auto"/>
        <w:right w:val="none" w:sz="0" w:space="0" w:color="auto"/>
      </w:divBdr>
    </w:div>
    <w:div w:id="1853258550">
      <w:bodyDiv w:val="1"/>
      <w:marLeft w:val="0"/>
      <w:marRight w:val="0"/>
      <w:marTop w:val="0"/>
      <w:marBottom w:val="0"/>
      <w:divBdr>
        <w:top w:val="none" w:sz="0" w:space="0" w:color="auto"/>
        <w:left w:val="none" w:sz="0" w:space="0" w:color="auto"/>
        <w:bottom w:val="none" w:sz="0" w:space="0" w:color="auto"/>
        <w:right w:val="none" w:sz="0" w:space="0" w:color="auto"/>
      </w:divBdr>
    </w:div>
    <w:div w:id="207338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spPr>
            <a:pattFill prst="narHorz">
              <a:fgClr>
                <a:schemeClr val="accent6"/>
              </a:fgClr>
              <a:bgClr>
                <a:schemeClr val="accent6">
                  <a:lumMod val="20000"/>
                  <a:lumOff val="80000"/>
                </a:schemeClr>
              </a:bgClr>
            </a:pattFill>
            <a:ln>
              <a:noFill/>
            </a:ln>
            <a:effectLst>
              <a:innerShdw blurRad="114300">
                <a:schemeClr val="accent6"/>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Sheet1!$B$1:$C$1</c:f>
              <c:strCache>
                <c:ptCount val="2"/>
                <c:pt idx="0">
                  <c:v>Tăng trưởng /1 đơn vị CCQ</c:v>
                </c:pt>
                <c:pt idx="1">
                  <c:v>Tăng trưởng chỉ số cơ sở</c:v>
                </c:pt>
              </c:strCache>
            </c:strRef>
          </c:cat>
          <c:val>
            <c:numRef>
              <c:f>Sheet1!$B$2:$C$2</c:f>
              <c:numCache>
                <c:formatCode>0.00%</c:formatCode>
                <c:ptCount val="2"/>
                <c:pt idx="0">
                  <c:v>5.7000000000000002E-3</c:v>
                </c:pt>
                <c:pt idx="1">
                  <c:v>1.0699999999999999E-2</c:v>
                </c:pt>
              </c:numCache>
            </c:numRef>
          </c:val>
          <c:extLst>
            <c:ext xmlns:c16="http://schemas.microsoft.com/office/drawing/2014/chart" uri="{C3380CC4-5D6E-409C-BE32-E72D297353CC}">
              <c16:uniqueId val="{00000000-C21C-48B0-8C96-2D5467045431}"/>
            </c:ext>
          </c:extLst>
        </c:ser>
        <c:dLbls>
          <c:showLegendKey val="0"/>
          <c:showVal val="0"/>
          <c:showCatName val="0"/>
          <c:showSerName val="0"/>
          <c:showPercent val="0"/>
          <c:showBubbleSize val="0"/>
        </c:dLbls>
        <c:gapWidth val="164"/>
        <c:overlap val="-22"/>
        <c:axId val="121752960"/>
        <c:axId val="122974976"/>
      </c:barChart>
      <c:catAx>
        <c:axId val="12175296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2974976"/>
        <c:crosses val="autoZero"/>
        <c:auto val="1"/>
        <c:lblAlgn val="ctr"/>
        <c:lblOffset val="100"/>
        <c:noMultiLvlLbl val="0"/>
      </c:catAx>
      <c:valAx>
        <c:axId val="12297497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21752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GnvroRSgplJYuatA1OQiPeZOXhw=</DigestValue>
    </Reference>
    <Reference URI="#idOfficeObject" Type="http://www.w3.org/2000/09/xmldsig#Object">
      <DigestMethod Algorithm="http://www.w3.org/2000/09/xmldsig#sha1"/>
      <DigestValue>vnYmcKB70Y28WvuauZtkDh8SnRQ=</DigestValue>
    </Reference>
    <Reference URI="#idSignedProperties" Type="http://uri.etsi.org/01903#SignedProperties">
      <Transforms>
        <Transform Algorithm="http://www.w3.org/TR/2001/REC-xml-c14n-20010315"/>
      </Transforms>
      <DigestMethod Algorithm="http://www.w3.org/2000/09/xmldsig#sha1"/>
      <DigestValue>fV4MlKzpwA+xybwozzuDNMDwnDI=</DigestValue>
    </Reference>
  </SignedInfo>
  <SignatureValue>fxP9QRbB0XSNl1Vt9CVdlZuYyQIqy4mQOx8LqGpz43FelpU1hwGAlFQued1TgnWNNAag8dcvojBH
qsJN4EMykhhPgweadEO6/M/6eIhrf/V8ckTwWK6huSzMnMxhV2VOOCYDnSmZxMLiIw04OhLKF7iB
y5OTBrTDYI7NbozX1mI=</SignatureValue>
  <KeyInfo>
    <X509Data>
      <X509Certificate>MIIF3jCCA8agAwIBAgIQVAEBAbwSiqHTLRlF5uYR1DANBgkqhkiG9w0BAQUFADBpMQswCQYDVQQG
EwJWTjETMBEGA1UEChMKVk5QVCBHcm91cDEeMBwGA1UECxMVVk5QVC1DQSBUcnVzdCBOZXR3b3Jr
MSUwIwYDVQQDExxWTlBUIENlcnRpZmljYXRpb24gQXV0aG9yaXR5MB4XDTE4MDQwNDA4NTYwMFoX
DTE5MTIxNjA2NTgwOFowgbYxCzAJBgNVBAYTAlZOMRcwFQYDVQQIDA5I4buTIENow60gTWluaDER
MA8GA1UEBwwIUXXhuq1uIDExWzBZBgNVBAMMUkPDlE5HIFRZIFRSw4FDSCBOSEnhu4ZNIEjhu65V
IEjhuqBOIE3hu5hUIFRIw4BOSCBWScOKTiBRVeG6ok4gTMOdIFFV4bu4IENIVUJCIExJRkUxHjAc
BgoJkiaJk/IsZAEBDA5NU1Q6MDMxMjU0NzQ4NjCBnzANBgkqhkiG9w0BAQEFAAOBjQAwgYkCgYEA
z4ayuxL0aXWcTP708GqkkDyVBpXNBL45fmsu/ZBGV73mah9dnTQAjr1iQSGXIvLmcqqMh3M293NH
eRdCcGNRAOndCbXsS2cl0XkcDV5e3GoVSi+AaSfN6XK56+F503S0XfXCg4IZWT+ZlfDJN71fHanq
2tPuVs/TDNl6CzYmhjUCAwEAAaOCAbYwggGyMHAGCCsGAQUFBwEBBGQwYjAyBggrBgEFBQcwAoYm
aHR0cDovL3B1Yi52bnB0LWNhLnZuL2NlcnRzL3ZucHRjYS5jZXIwLAYIKwYBBQUHMAGGIGh0dHA6
Ly9vY3NwLnZucHQtY2Eudm4vcmVzcG9uZGVyMB0GA1UdDgQWBBT6rx19VXTczNe4mB/tFYGsxdew
GjAMBgNVHRMBAf8EAjAAMB8GA1UdIwQYMBaAFAZpwNXVAooVjUZ96XziaApVrGqvMGgGA1UdIARh
MF8wXQYOKwYBBAGB7QMBAQMBAQEwSzAiBggrBgEFBQcCAjAWHhQATwBJAEQALQBTAFQALQAxAC4A
MDAlBggrBgEFBQcCARYZaHR0cDovL3B1Yi52bnB0LWNhLnZuL3JwYTAxBgNVHR8EKjAoMCagJKAi
hiBodHRwOi8vY3JsLnZucHQtY2Eudm4vdm5wdGNhLmNybDAOBgNVHQ8BAf8EBAMCBPAwIAYDVR0l
BBkwFwYKKwYBBAGCNwoDDAYJKoZIhvcvAQEFMCEGA1UdEQQaMBiBFmtpbXRyYW5ndnQ4N0BnbWFp
bC5jb20wDQYJKoZIhvcNAQEFBQADggIBABfnDVZNnaLbZJTo7sAYKJSGMDb1p6AjGJjNoIx37FBx
zONIYBx2jcxxAMmTFXmuKkK82C72Bh/5JoFVN8Ld8Ai+iWqCknUgxLX66tX2ngyeBZqksO2Ht4aS
9yNd1uDD4K5DTram9RBy0JlEMNEi9zD7RIDPwFCWt+HaI0lxtDW3VfOGuMg4W8Hs6yV3T5AbT9rx
7lADXrPhist/tFo9hoGaWoCcZSiaJ0A0Du21v6FunqjUuEnoAa8dI/7P5moSBf6Yyfg7DdtnHWxc
E39Z4fznya5LhWqWC8YcoCCneE2XfhVKJ6wEtXmMT7bzKy8XkLsM0sM4zQrbV+kE2dqvJM0pTYEM
/svJZZgssL6IpWC0sI3h8T5RKE0FNnMQj5MnRlTC+3+8+HYPeT65wzu44hR7s/CdLU47OPG+JqUq
qJLHN6VH+6TjcI593oFzvhzr7TiGJEjc0T+ijS41o8vapaCp+3G14kTrBA2prHE09Del2Mwmy+fP
TI1vSrCHjW3nOMWYXSDrXKGzT8PtjbTEyNdmWZbefKQSZ03uEt1sjlDgQLXi0fVPTyKqUnBHawDS
UD2ii91K3/YlmRKy3NX+hHbKRZQNEW+yLE3C5qm+ucmoXdnIIswPvyeT4Xt3muCh3gXIKnkoE1lc
myKgjy8dFsAuRa9E76rjZIGodiYgukFU</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MiqS10jKefJIa/yv/uG3ICrGob8=</DigestValue>
      </Reference>
      <Reference URI="/word/settings.xml?ContentType=application/vnd.openxmlformats-officedocument.wordprocessingml.settings+xml">
        <DigestMethod Algorithm="http://www.w3.org/2000/09/xmldsig#sha1"/>
        <DigestValue>ij3KFiwSP7sHO7q61Fub6pN1xxY=</DigestValue>
      </Reference>
      <Reference URI="/word/numbering.xml?ContentType=application/vnd.openxmlformats-officedocument.wordprocessingml.numbering+xml">
        <DigestMethod Algorithm="http://www.w3.org/2000/09/xmldsig#sha1"/>
        <DigestValue>cUYFUEC8Aq9hFP0W8AvKRW7kWfA=</DigestValue>
      </Reference>
      <Reference URI="/word/charts/chart1.xml?ContentType=application/vnd.openxmlformats-officedocument.drawingml.chart+xml">
        <DigestMethod Algorithm="http://www.w3.org/2000/09/xmldsig#sha1"/>
        <DigestValue>A6+RgMgMoVW2OUqKliUAgHp471o=</DigestValue>
      </Reference>
      <Reference URI="/word/theme/theme1.xml?ContentType=application/vnd.openxmlformats-officedocument.theme+xml">
        <DigestMethod Algorithm="http://www.w3.org/2000/09/xmldsig#sha1"/>
        <DigestValue>A7mMCM/bIq8J08Isx4WI1dNx25c=</DigestValue>
      </Reference>
      <Reference URI="/word/fontTable.xml?ContentType=application/vnd.openxmlformats-officedocument.wordprocessingml.fontTable+xml">
        <DigestMethod Algorithm="http://www.w3.org/2000/09/xmldsig#sha1"/>
        <DigestValue>/EBG2AFsdEl6tZCAF9ahYP971J4=</DigestValue>
      </Reference>
      <Reference URI="/word/document.xml?ContentType=application/vnd.openxmlformats-officedocument.wordprocessingml.document.main+xml">
        <DigestMethod Algorithm="http://www.w3.org/2000/09/xmldsig#sha1"/>
        <DigestValue>ztS//WdH8SSGM6zFjQic/GQwvNQ=</DigestValue>
      </Reference>
      <Reference URI="/word/styles.xml?ContentType=application/vnd.openxmlformats-officedocument.wordprocessingml.styles+xml">
        <DigestMethod Algorithm="http://www.w3.org/2000/09/xmldsig#sha1"/>
        <DigestValue>Fw2Grxl6M5Mts0/MBq4iqg4ef2U=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charts/_rels/chart1.xml.rels?ContentType=application/vnd.openxmlformats-package.relationships+xml">
        <Transforms>
          <Transform Algorithm="http://schemas.openxmlformats.org/package/2006/RelationshipTransform">
            <mdssi:RelationshipReference SourceId="rId3"/>
          </Transform>
          <Transform Algorithm="http://www.w3.org/TR/2001/REC-xml-c14n-20010315"/>
        </Transforms>
        <DigestMethod Algorithm="http://www.w3.org/2000/09/xmldsig#sha1"/>
        <DigestValue>U8qPGZF+ZS6KDYr4TXdqcqpRQEc=</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0PfqQm28cBYA8M3SQw0l3JYe4Is=</DigestValue>
      </Reference>
    </Manifest>
    <SignatureProperties>
      <SignatureProperty Id="idSignatureTime" Target="#idPackageSignature">
        <mdssi:SignatureTime>
          <mdssi:Format>YYYY-MM-DDThh:mm:ssTZD</mdssi:Format>
          <mdssi:Value>2019-08-14T09:39:38Z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Submit to SSC</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2019-08-14T09:39:38Z</xd:SigningTime>
          <xd:SigningCertificate>
            <xd:Cert>
              <xd:CertDigest>
                <DigestMethod Algorithm="http://www.w3.org/2000/09/xmldsig#sha1"/>
                <DigestValue>pGeCIjlxN5ANMbKqbLkXmrEuJhw=</DigestValue>
              </xd:CertDigest>
              <xd:IssuerSerial>
                <X509IssuerName>CN=VNPT Certification Authority, OU=VNPT-CA Trust Network, O=VNPT Group, C=VN</X509IssuerName>
                <X509SerialNumber>111660364362634831500366299728326300116</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668</TotalTime>
  <Pages>9</Pages>
  <Words>3195</Words>
  <Characters>18213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Thanh Thuy - AFMC Vietnam</dc:creator>
  <cp:lastModifiedBy>Nguyen, Thi Bich Ngoc - CFMC Vietnam</cp:lastModifiedBy>
  <cp:revision>131</cp:revision>
  <dcterms:created xsi:type="dcterms:W3CDTF">2019-07-05T04:39:00Z</dcterms:created>
  <dcterms:modified xsi:type="dcterms:W3CDTF">2019-08-14T08:57:00Z</dcterms:modified>
</cp:coreProperties>
</file>