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DE27AE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1AB32334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5D3A94" w:rsidRPr="005D3A94">
              <w:rPr>
                <w:b w:val="0"/>
                <w:sz w:val="24"/>
                <w:szCs w:val="24"/>
                <w:lang w:val="nl-NL"/>
              </w:rPr>
              <w:t>CFMCACEN230104V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39A0679E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234D3F">
              <w:rPr>
                <w:b w:val="0"/>
                <w:i/>
                <w:sz w:val="24"/>
                <w:szCs w:val="24"/>
                <w:lang w:val="nl-NL"/>
              </w:rPr>
              <w:t>1</w:t>
            </w:r>
            <w:r w:rsidR="00A259DE">
              <w:rPr>
                <w:b w:val="0"/>
                <w:i/>
                <w:sz w:val="24"/>
                <w:szCs w:val="24"/>
                <w:lang w:val="nl-NL"/>
              </w:rPr>
              <w:t>1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0</w:t>
            </w:r>
            <w:r w:rsidR="00DE27AE">
              <w:rPr>
                <w:b w:val="0"/>
                <w:i/>
                <w:sz w:val="24"/>
                <w:szCs w:val="24"/>
                <w:lang w:val="nl-NL"/>
              </w:rPr>
              <w:t>8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3</w:t>
            </w: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12337AD7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E27AE">
        <w:rPr>
          <w:rFonts w:ascii="Times New Roman" w:hAnsi="Times New Roman"/>
          <w:i/>
          <w:sz w:val="24"/>
          <w:szCs w:val="24"/>
          <w:lang w:val="nl-NL"/>
        </w:rPr>
        <w:t>bán niên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202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3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2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59" w:type="dxa"/>
        <w:tblInd w:w="-5" w:type="dxa"/>
        <w:tblLook w:val="04A0" w:firstRow="1" w:lastRow="0" w:firstColumn="1" w:lastColumn="0" w:noHBand="0" w:noVBand="1"/>
      </w:tblPr>
      <w:tblGrid>
        <w:gridCol w:w="632"/>
        <w:gridCol w:w="1978"/>
        <w:gridCol w:w="1670"/>
        <w:gridCol w:w="1655"/>
        <w:gridCol w:w="1481"/>
        <w:gridCol w:w="843"/>
      </w:tblGrid>
      <w:tr w:rsidR="00A0546E" w:rsidRPr="004F00C9" w14:paraId="7EC4B096" w14:textId="77777777" w:rsidTr="00DE27AE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Nội dung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4D69CE96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27AE">
              <w:rPr>
                <w:b/>
                <w:bCs/>
                <w:color w:val="000000"/>
                <w:sz w:val="22"/>
                <w:szCs w:val="22"/>
              </w:rPr>
              <w:t xml:space="preserve">Bán niên 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1906068C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27AE">
              <w:rPr>
                <w:b/>
                <w:bCs/>
                <w:color w:val="000000"/>
                <w:sz w:val="22"/>
                <w:szCs w:val="22"/>
              </w:rPr>
              <w:t xml:space="preserve">Bán niên 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Chênh lệch</w:t>
            </w:r>
          </w:p>
        </w:tc>
      </w:tr>
      <w:tr w:rsidR="00A0546E" w:rsidRPr="004F00C9" w14:paraId="1BAB3D58" w14:textId="77777777" w:rsidTr="00DE27AE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DE27AE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doanh thu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459F0579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13.964.544.841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03167326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11.485.183.883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39124B4F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2.479.360.958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14994045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E27A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DE27AE">
              <w:rPr>
                <w:color w:val="000000"/>
                <w:sz w:val="22"/>
                <w:szCs w:val="22"/>
              </w:rPr>
              <w:t>6</w:t>
            </w:r>
          </w:p>
        </w:tc>
      </w:tr>
      <w:tr w:rsidR="00A0546E" w:rsidRPr="004F00C9" w14:paraId="16A0804B" w14:textId="77777777" w:rsidTr="00DE27AE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chi phí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253F6ED8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4.865.596.254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020ADB5B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4.018.853.554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134E9C85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846.742.700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43912B44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E27A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DE27AE">
              <w:rPr>
                <w:color w:val="000000"/>
                <w:sz w:val="22"/>
                <w:szCs w:val="22"/>
              </w:rPr>
              <w:t>1</w:t>
            </w:r>
          </w:p>
        </w:tc>
      </w:tr>
      <w:tr w:rsidR="00A0546E" w:rsidRPr="004F00C9" w14:paraId="373459B2" w14:textId="77777777" w:rsidTr="00DE27AE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trước thuế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73FE12EC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9.098.948.587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1E30B889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7.466.330.329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3DF48007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1.632.618.258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2CDB697D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519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DE27AE">
              <w:rPr>
                <w:color w:val="000000"/>
                <w:sz w:val="22"/>
                <w:szCs w:val="22"/>
              </w:rPr>
              <w:t>9</w:t>
            </w:r>
          </w:p>
        </w:tc>
      </w:tr>
      <w:tr w:rsidR="00A0546E" w:rsidRPr="004F00C9" w14:paraId="4CCFC745" w14:textId="77777777" w:rsidTr="00DE27AE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sau thuế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727DD276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7.279.158.869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75064E0A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5.973.064.263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4688EDDD" w:rsidR="00A0546E" w:rsidRPr="0015647C" w:rsidRDefault="00DE27AE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1.306.094.606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2F1F35F4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519AD">
              <w:rPr>
                <w:color w:val="000000"/>
                <w:sz w:val="22"/>
                <w:szCs w:val="22"/>
              </w:rPr>
              <w:t>1</w:t>
            </w:r>
            <w:r w:rsidR="00C976E6">
              <w:rPr>
                <w:color w:val="000000"/>
                <w:sz w:val="22"/>
                <w:szCs w:val="22"/>
              </w:rPr>
              <w:t>,</w:t>
            </w:r>
            <w:r w:rsidR="00DE27AE">
              <w:rPr>
                <w:color w:val="000000"/>
                <w:sz w:val="22"/>
                <w:szCs w:val="22"/>
              </w:rPr>
              <w:t>9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11D3D596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5C7840">
        <w:rPr>
          <w:rFonts w:ascii="Times New Roman" w:hAnsi="Times New Roman"/>
          <w:sz w:val="24"/>
          <w:szCs w:val="24"/>
          <w:lang w:val="nl-NL"/>
        </w:rPr>
        <w:t>bán niên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5C7840" w:rsidRPr="005C7840">
        <w:rPr>
          <w:rFonts w:ascii="Times New Roman" w:hAnsi="Times New Roman"/>
          <w:sz w:val="24"/>
          <w:szCs w:val="24"/>
          <w:lang w:val="nl-NL"/>
        </w:rPr>
        <w:t>2.479.360.958</w:t>
      </w:r>
      <w:r w:rsidR="005C7840" w:rsidRPr="005C7840">
        <w:rPr>
          <w:color w:val="000000"/>
          <w:sz w:val="22"/>
          <w:szCs w:val="22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ED0843">
        <w:rPr>
          <w:rFonts w:ascii="Times New Roman" w:hAnsi="Times New Roman"/>
          <w:sz w:val="24"/>
          <w:szCs w:val="24"/>
          <w:lang w:val="nl-NL"/>
        </w:rPr>
        <w:t>2</w:t>
      </w:r>
      <w:r w:rsidR="005C7840">
        <w:rPr>
          <w:rFonts w:ascii="Times New Roman" w:hAnsi="Times New Roman"/>
          <w:sz w:val="24"/>
          <w:szCs w:val="24"/>
          <w:lang w:val="nl-NL"/>
        </w:rPr>
        <w:t>1</w:t>
      </w:r>
      <w:r w:rsidR="00ED0843">
        <w:rPr>
          <w:rFonts w:ascii="Times New Roman" w:hAnsi="Times New Roman"/>
          <w:sz w:val="24"/>
          <w:szCs w:val="24"/>
          <w:lang w:val="nl-NL"/>
        </w:rPr>
        <w:t>,</w:t>
      </w:r>
      <w:r w:rsidR="005C7840">
        <w:rPr>
          <w:rFonts w:ascii="Times New Roman" w:hAnsi="Times New Roman"/>
          <w:sz w:val="24"/>
          <w:szCs w:val="24"/>
          <w:lang w:val="nl-NL"/>
        </w:rPr>
        <w:t>6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4EA5E9A5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5C7840">
        <w:rPr>
          <w:rFonts w:ascii="Times New Roman" w:hAnsi="Times New Roman"/>
          <w:sz w:val="24"/>
          <w:szCs w:val="24"/>
          <w:lang w:val="nl-NL"/>
        </w:rPr>
        <w:t xml:space="preserve">bán niên </w:t>
      </w:r>
      <w:r w:rsidR="00DD15D5">
        <w:rPr>
          <w:rFonts w:ascii="Times New Roman" w:hAnsi="Times New Roman"/>
          <w:sz w:val="24"/>
          <w:szCs w:val="24"/>
          <w:lang w:val="nl-NL"/>
        </w:rPr>
        <w:t>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C7840" w:rsidRPr="005C7840">
        <w:rPr>
          <w:rFonts w:ascii="Times New Roman" w:hAnsi="Times New Roman"/>
          <w:sz w:val="24"/>
          <w:szCs w:val="24"/>
          <w:lang w:val="nl-NL"/>
        </w:rPr>
        <w:t>846.742.700</w:t>
      </w:r>
      <w:r w:rsidR="005C7840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D0843">
        <w:rPr>
          <w:rFonts w:ascii="Times New Roman" w:hAnsi="Times New Roman"/>
          <w:sz w:val="24"/>
          <w:szCs w:val="24"/>
          <w:lang w:val="nl-NL"/>
        </w:rPr>
        <w:t>2</w:t>
      </w:r>
      <w:r w:rsidR="005C7840">
        <w:rPr>
          <w:rFonts w:ascii="Times New Roman" w:hAnsi="Times New Roman"/>
          <w:sz w:val="24"/>
          <w:szCs w:val="24"/>
          <w:lang w:val="nl-NL"/>
        </w:rPr>
        <w:t>1</w:t>
      </w:r>
      <w:r w:rsidR="00ED0843">
        <w:rPr>
          <w:rFonts w:ascii="Times New Roman" w:hAnsi="Times New Roman"/>
          <w:sz w:val="24"/>
          <w:szCs w:val="24"/>
          <w:lang w:val="nl-NL"/>
        </w:rPr>
        <w:t>,</w:t>
      </w:r>
      <w:r w:rsidR="005C7840">
        <w:rPr>
          <w:rFonts w:ascii="Times New Roman" w:hAnsi="Times New Roman"/>
          <w:sz w:val="24"/>
          <w:szCs w:val="24"/>
          <w:lang w:val="nl-NL"/>
        </w:rPr>
        <w:t>1</w:t>
      </w:r>
      <w:r w:rsidR="001B4B62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1E179769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5C7840">
        <w:rPr>
          <w:rFonts w:ascii="Times New Roman" w:hAnsi="Times New Roman"/>
          <w:sz w:val="24"/>
          <w:szCs w:val="24"/>
          <w:lang w:val="nl-NL"/>
        </w:rPr>
        <w:t xml:space="preserve">bán niên </w:t>
      </w:r>
      <w:r w:rsidR="00AC6CC7">
        <w:rPr>
          <w:rFonts w:ascii="Times New Roman" w:hAnsi="Times New Roman"/>
          <w:sz w:val="24"/>
          <w:szCs w:val="24"/>
          <w:lang w:val="nl-NL"/>
        </w:rPr>
        <w:t>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5C7840" w:rsidRPr="005C7840">
        <w:rPr>
          <w:rFonts w:ascii="Times New Roman" w:hAnsi="Times New Roman"/>
          <w:sz w:val="24"/>
          <w:szCs w:val="24"/>
          <w:lang w:val="nl-NL"/>
        </w:rPr>
        <w:t>1.632.618.258</w:t>
      </w:r>
      <w:r w:rsidR="005C7840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144FD">
        <w:rPr>
          <w:rFonts w:ascii="Times New Roman" w:hAnsi="Times New Roman"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5C7840">
        <w:rPr>
          <w:rFonts w:ascii="Times New Roman" w:hAnsi="Times New Roman"/>
          <w:sz w:val="24"/>
          <w:szCs w:val="24"/>
          <w:lang w:val="nl-NL"/>
        </w:rPr>
        <w:t>9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C7840" w:rsidRPr="005C7840">
        <w:rPr>
          <w:rFonts w:ascii="Times New Roman" w:hAnsi="Times New Roman"/>
          <w:sz w:val="24"/>
          <w:szCs w:val="24"/>
          <w:lang w:val="nl-NL"/>
        </w:rPr>
        <w:t xml:space="preserve">1.306.094.606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>
        <w:rPr>
          <w:rFonts w:ascii="Times New Roman" w:hAnsi="Times New Roman"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5C7840">
        <w:rPr>
          <w:rFonts w:ascii="Times New Roman" w:hAnsi="Times New Roman"/>
          <w:sz w:val="24"/>
          <w:szCs w:val="24"/>
          <w:lang w:val="nl-NL"/>
        </w:rPr>
        <w:t>9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do </w:t>
      </w:r>
      <w:r w:rsidR="00D268C6" w:rsidRPr="001763DB">
        <w:rPr>
          <w:rFonts w:ascii="Times New Roman" w:hAnsi="Times New Roman"/>
          <w:sz w:val="24"/>
          <w:szCs w:val="24"/>
          <w:lang w:val="nl-NL"/>
        </w:rPr>
        <w:t>giá trị hợp đồng quản lý danh mục đầu tư tăng</w:t>
      </w:r>
      <w:r w:rsidR="002A5C3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3A7B205D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5C7840">
        <w:rPr>
          <w:rFonts w:ascii="Times New Roman" w:hAnsi="Times New Roman"/>
          <w:sz w:val="24"/>
          <w:szCs w:val="24"/>
          <w:lang w:val="nl-NL"/>
        </w:rPr>
        <w:t xml:space="preserve">bán niên </w:t>
      </w:r>
      <w:r w:rsidR="00176EE5">
        <w:rPr>
          <w:rFonts w:ascii="Times New Roman" w:hAnsi="Times New Roman"/>
          <w:sz w:val="24"/>
          <w:szCs w:val="24"/>
          <w:lang w:val="nl-NL"/>
        </w:rPr>
        <w:t>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DE27AE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4C903E88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35064B7F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A259DE">
              <w:rPr>
                <w:i/>
                <w:lang w:val="nl-NL"/>
              </w:rPr>
              <w:t>1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176508">
              <w:rPr>
                <w:i/>
                <w:lang w:val="nl-NL"/>
              </w:rPr>
              <w:t>0</w:t>
            </w:r>
            <w:r w:rsidR="00DE27AE">
              <w:rPr>
                <w:i/>
                <w:lang w:val="nl-NL"/>
              </w:rPr>
              <w:t>8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176508">
              <w:rPr>
                <w:i/>
                <w:lang w:val="nl-NL"/>
              </w:rPr>
              <w:t>3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9E2C6D3" w14:textId="4BEE12B3" w:rsidR="00407A6E" w:rsidRPr="000119AC" w:rsidRDefault="00F775CA" w:rsidP="002A5C3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</w:tc>
      </w:tr>
    </w:tbl>
    <w:p w14:paraId="3D024511" w14:textId="77777777" w:rsidR="003855E7" w:rsidRPr="00F775CA" w:rsidRDefault="003855E7" w:rsidP="003430C1">
      <w:pPr>
        <w:jc w:val="both"/>
        <w:rPr>
          <w:lang w:val="nl-NL"/>
        </w:rPr>
      </w:pPr>
    </w:p>
    <w:sectPr w:rsidR="003855E7" w:rsidRPr="00F775CA" w:rsidSect="005D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7177377">
    <w:abstractNumId w:val="0"/>
  </w:num>
  <w:num w:numId="2" w16cid:durableId="2029721395">
    <w:abstractNumId w:val="1"/>
  </w:num>
  <w:num w:numId="3" w16cid:durableId="1763187210">
    <w:abstractNumId w:val="5"/>
  </w:num>
  <w:num w:numId="4" w16cid:durableId="614558570">
    <w:abstractNumId w:val="6"/>
  </w:num>
  <w:num w:numId="5" w16cid:durableId="1526165372">
    <w:abstractNumId w:val="13"/>
  </w:num>
  <w:num w:numId="6" w16cid:durableId="1659729648">
    <w:abstractNumId w:val="9"/>
  </w:num>
  <w:num w:numId="7" w16cid:durableId="1394350419">
    <w:abstractNumId w:val="11"/>
  </w:num>
  <w:num w:numId="8" w16cid:durableId="355154621">
    <w:abstractNumId w:val="15"/>
  </w:num>
  <w:num w:numId="9" w16cid:durableId="963854134">
    <w:abstractNumId w:val="12"/>
  </w:num>
  <w:num w:numId="10" w16cid:durableId="915747862">
    <w:abstractNumId w:val="14"/>
  </w:num>
  <w:num w:numId="11" w16cid:durableId="2064480823">
    <w:abstractNumId w:val="4"/>
  </w:num>
  <w:num w:numId="12" w16cid:durableId="928580980">
    <w:abstractNumId w:val="8"/>
  </w:num>
  <w:num w:numId="13" w16cid:durableId="1498567868">
    <w:abstractNumId w:val="7"/>
  </w:num>
  <w:num w:numId="14" w16cid:durableId="455759568">
    <w:abstractNumId w:val="3"/>
  </w:num>
  <w:num w:numId="15" w16cid:durableId="204021945">
    <w:abstractNumId w:val="2"/>
  </w:num>
  <w:num w:numId="16" w16cid:durableId="180435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22DFE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08C7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508"/>
    <w:rsid w:val="00176EE5"/>
    <w:rsid w:val="00183E46"/>
    <w:rsid w:val="00191653"/>
    <w:rsid w:val="001927D3"/>
    <w:rsid w:val="00195B30"/>
    <w:rsid w:val="001B4B62"/>
    <w:rsid w:val="001C3D11"/>
    <w:rsid w:val="001D53C7"/>
    <w:rsid w:val="001E0636"/>
    <w:rsid w:val="001E5701"/>
    <w:rsid w:val="001E5C9C"/>
    <w:rsid w:val="001F0F6A"/>
    <w:rsid w:val="002040AE"/>
    <w:rsid w:val="00234D3F"/>
    <w:rsid w:val="00237C5D"/>
    <w:rsid w:val="00255F19"/>
    <w:rsid w:val="002607A4"/>
    <w:rsid w:val="00293E03"/>
    <w:rsid w:val="002A5C37"/>
    <w:rsid w:val="002B3CC9"/>
    <w:rsid w:val="002B7872"/>
    <w:rsid w:val="002C1C29"/>
    <w:rsid w:val="002F1B57"/>
    <w:rsid w:val="002F6275"/>
    <w:rsid w:val="002F6E08"/>
    <w:rsid w:val="002F6F6A"/>
    <w:rsid w:val="00307E1D"/>
    <w:rsid w:val="00333605"/>
    <w:rsid w:val="003400DA"/>
    <w:rsid w:val="003430C1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D4A54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840"/>
    <w:rsid w:val="005C79B8"/>
    <w:rsid w:val="005D0AF6"/>
    <w:rsid w:val="005D394A"/>
    <w:rsid w:val="005D3A94"/>
    <w:rsid w:val="005E4F6E"/>
    <w:rsid w:val="005E6B49"/>
    <w:rsid w:val="005F1A24"/>
    <w:rsid w:val="005F545E"/>
    <w:rsid w:val="0061571B"/>
    <w:rsid w:val="00616DCB"/>
    <w:rsid w:val="00624D4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19AD"/>
    <w:rsid w:val="00757F91"/>
    <w:rsid w:val="007644F7"/>
    <w:rsid w:val="007A6DE8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B04"/>
    <w:rsid w:val="00860D1A"/>
    <w:rsid w:val="008927BA"/>
    <w:rsid w:val="008A3286"/>
    <w:rsid w:val="008B736D"/>
    <w:rsid w:val="008C79C1"/>
    <w:rsid w:val="008D1ED9"/>
    <w:rsid w:val="008D2047"/>
    <w:rsid w:val="00902FA5"/>
    <w:rsid w:val="00904767"/>
    <w:rsid w:val="00905919"/>
    <w:rsid w:val="00905D58"/>
    <w:rsid w:val="00925B44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259DE"/>
    <w:rsid w:val="00A319A9"/>
    <w:rsid w:val="00A45B67"/>
    <w:rsid w:val="00A4786D"/>
    <w:rsid w:val="00A51672"/>
    <w:rsid w:val="00A5315C"/>
    <w:rsid w:val="00A567BF"/>
    <w:rsid w:val="00A600BF"/>
    <w:rsid w:val="00A73630"/>
    <w:rsid w:val="00A81CE2"/>
    <w:rsid w:val="00A832EA"/>
    <w:rsid w:val="00AA4219"/>
    <w:rsid w:val="00AC6CC7"/>
    <w:rsid w:val="00AC7E3A"/>
    <w:rsid w:val="00AD16F5"/>
    <w:rsid w:val="00AD3073"/>
    <w:rsid w:val="00AD7CDB"/>
    <w:rsid w:val="00AE4148"/>
    <w:rsid w:val="00B02B2C"/>
    <w:rsid w:val="00B2141C"/>
    <w:rsid w:val="00B232ED"/>
    <w:rsid w:val="00B23B28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C04022"/>
    <w:rsid w:val="00C16ACB"/>
    <w:rsid w:val="00C2667B"/>
    <w:rsid w:val="00C4439F"/>
    <w:rsid w:val="00C5421D"/>
    <w:rsid w:val="00C80DB8"/>
    <w:rsid w:val="00C817D0"/>
    <w:rsid w:val="00C92175"/>
    <w:rsid w:val="00C9660A"/>
    <w:rsid w:val="00C976E6"/>
    <w:rsid w:val="00CB30DC"/>
    <w:rsid w:val="00CB614A"/>
    <w:rsid w:val="00CC4FFE"/>
    <w:rsid w:val="00CC5022"/>
    <w:rsid w:val="00CD32E5"/>
    <w:rsid w:val="00CE2E6F"/>
    <w:rsid w:val="00CF2D32"/>
    <w:rsid w:val="00D06187"/>
    <w:rsid w:val="00D06D0C"/>
    <w:rsid w:val="00D1258A"/>
    <w:rsid w:val="00D15A11"/>
    <w:rsid w:val="00D17F5B"/>
    <w:rsid w:val="00D25237"/>
    <w:rsid w:val="00D268C6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B378D"/>
    <w:rsid w:val="00DC11AC"/>
    <w:rsid w:val="00DC1F29"/>
    <w:rsid w:val="00DC67F3"/>
    <w:rsid w:val="00DD15D5"/>
    <w:rsid w:val="00DD441A"/>
    <w:rsid w:val="00DE27AE"/>
    <w:rsid w:val="00DE2CF4"/>
    <w:rsid w:val="00DE6BF3"/>
    <w:rsid w:val="00DE7819"/>
    <w:rsid w:val="00E144FD"/>
    <w:rsid w:val="00E20082"/>
    <w:rsid w:val="00E206F2"/>
    <w:rsid w:val="00E2579A"/>
    <w:rsid w:val="00E35567"/>
    <w:rsid w:val="00E36560"/>
    <w:rsid w:val="00E41C13"/>
    <w:rsid w:val="00E4396B"/>
    <w:rsid w:val="00E550D5"/>
    <w:rsid w:val="00E7308B"/>
    <w:rsid w:val="00E80A74"/>
    <w:rsid w:val="00EB4C19"/>
    <w:rsid w:val="00ED0843"/>
    <w:rsid w:val="00EE41F6"/>
    <w:rsid w:val="00EF0879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779F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kwxtWlb6mFwsF2CJQjAcQvFt8s4=</DigestValue>
    </Reference>
    <Reference Type="http://www.w3.org/2000/09/xmldsig#Object" URI="#idOfficeObject">
      <DigestMethod Algorithm="http://www.w3.org/2000/09/xmldsig#sha1"/>
      <DigestValue>GXuBeVu8UM5OfTZBTlSfWAcGPqA=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VOG7BDdbaof9kB3I/bYMy93KpdE=</DigestValue>
    </Reference>
  </SignedInfo>
  <SignatureValue>laOfVMPtCfq5HZ2/G/mRa2tL4myAXI2L/+72l9KrG0wbgVsgD/l/D3e6mpn92GQb4nBxUJaBL5by
7rMKNk7p5Bw0tPFGCkObf+5ksecGmA3CC6poWA7iyJk/qOo2JpTtGWddInt9BjbNruz3V0OMUYRI
J2gHisFnS+Em2/UhyuM=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4ZE1y0tAOng74FtnyM+asW+7XKg=</DigestValue>
      </Reference>
      <Reference URI="/word/endnotes.xml?ContentType=application/vnd.openxmlformats-officedocument.wordprocessingml.endnotes+xml">
        <DigestMethod Algorithm="http://www.w3.org/2000/09/xmldsig#sha1"/>
        <DigestValue>+hQuZrLJiHcoP5FYb+APhHIblrU=</DigestValue>
      </Reference>
      <Reference URI="/word/fontTable.xml?ContentType=application/vnd.openxmlformats-officedocument.wordprocessingml.fontTable+xml">
        <DigestMethod Algorithm="http://www.w3.org/2000/09/xmldsig#sha1"/>
        <DigestValue>+gXa0310JTBqOtFhUtFKrgLVOnU=</DigestValue>
      </Reference>
      <Reference URI="/word/footer1.xml?ContentType=application/vnd.openxmlformats-officedocument.wordprocessingml.footer+xml">
        <DigestMethod Algorithm="http://www.w3.org/2000/09/xmldsig#sha1"/>
        <DigestValue>rhYaJ9Gjtycr+8k3VLrIjwBto9c=</DigestValue>
      </Reference>
      <Reference URI="/word/footer2.xml?ContentType=application/vnd.openxmlformats-officedocument.wordprocessingml.footer+xml">
        <DigestMethod Algorithm="http://www.w3.org/2000/09/xmldsig#sha1"/>
        <DigestValue>plCCtk0SkE4gMj8nXKsAHSoz+Mg=</DigestValue>
      </Reference>
      <Reference URI="/word/footer3.xml?ContentType=application/vnd.openxmlformats-officedocument.wordprocessingml.footer+xml">
        <DigestMethod Algorithm="http://www.w3.org/2000/09/xmldsig#sha1"/>
        <DigestValue>QFHsnfLv+SiBwNTCrIDZNlC+RLQ=</DigestValue>
      </Reference>
      <Reference URI="/word/footnotes.xml?ContentType=application/vnd.openxmlformats-officedocument.wordprocessingml.footnotes+xml">
        <DigestMethod Algorithm="http://www.w3.org/2000/09/xmldsig#sha1"/>
        <DigestValue>ffsCHm0OBBgZ+rl0wQjDLBTX71U=</DigestValue>
      </Reference>
      <Reference URI="/word/header1.xml?ContentType=application/vnd.openxmlformats-officedocument.wordprocessingml.header+xml">
        <DigestMethod Algorithm="http://www.w3.org/2000/09/xmldsig#sha1"/>
        <DigestValue>JP/nWkAlrpa7sjFFL6pgM+2w6Uk=</DigestValue>
      </Reference>
      <Reference URI="/word/header2.xml?ContentType=application/vnd.openxmlformats-officedocument.wordprocessingml.header+xml">
        <DigestMethod Algorithm="http://www.w3.org/2000/09/xmldsig#sha1"/>
        <DigestValue>JnACC87W0xk4P8Ug8eCdE6JeEwo=</DigestValue>
      </Reference>
      <Reference URI="/word/header3.xml?ContentType=application/vnd.openxmlformats-officedocument.wordprocessingml.header+xml">
        <DigestMethod Algorithm="http://www.w3.org/2000/09/xmldsig#sha1"/>
        <DigestValue>9VZYe3j/JSGPTbcFBZws+rX5oLY=</DigestValue>
      </Reference>
      <Reference URI="/word/numbering.xml?ContentType=application/vnd.openxmlformats-officedocument.wordprocessingml.numbering+xml">
        <DigestMethod Algorithm="http://www.w3.org/2000/09/xmldsig#sha1"/>
        <DigestValue>HZoXmSgZtfpcQcT9rdd/OjW8IhU=</DigestValue>
      </Reference>
      <Reference URI="/word/settings.xml?ContentType=application/vnd.openxmlformats-officedocument.wordprocessingml.settings+xml">
        <DigestMethod Algorithm="http://www.w3.org/2000/09/xmldsig#sha1"/>
        <DigestValue>1vFKPbRxakaoRlX9h6NweTIV/NA=</DigestValue>
      </Reference>
      <Reference URI="/word/styles.xml?ContentType=application/vnd.openxmlformats-officedocument.wordprocessingml.styles+xml">
        <DigestMethod Algorithm="http://www.w3.org/2000/09/xmldsig#sha1"/>
        <DigestValue>fA9SxkEyQSSFpa2x5JQS/i7vNw0=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qm3dY9N2LuSh2eoZ3emGYz3IwFs=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2023-08-11T08:44:02Z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2023-08-11T08:44:02Z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CFMC Vietnam</cp:lastModifiedBy>
  <cp:revision>7</cp:revision>
  <cp:lastPrinted>2022-01-19T07:35:00Z</cp:lastPrinted>
  <dcterms:created xsi:type="dcterms:W3CDTF">2023-08-11T04:46:00Z</dcterms:created>
  <dcterms:modified xsi:type="dcterms:W3CDTF">2023-08-11T08:43:00Z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